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6B1" w:rsidRDefault="00301EEF" w:rsidP="005F774E">
      <w:pPr>
        <w:pStyle w:val="big-header"/>
        <w:ind w:left="0" w:right="1134"/>
        <w:rPr>
          <w:rFonts w:cs="FrankRuehl" w:hint="cs"/>
          <w:sz w:val="32"/>
          <w:rtl/>
        </w:rPr>
      </w:pPr>
      <w:r>
        <w:rPr>
          <w:rFonts w:cs="FrankRuehl" w:hint="cs"/>
          <w:sz w:val="32"/>
          <w:rtl/>
        </w:rPr>
        <w:t>חוק המאבק בתכנית הגרעין של איראן</w:t>
      </w:r>
      <w:r w:rsidR="00DD06B1">
        <w:rPr>
          <w:rFonts w:cs="FrankRuehl"/>
          <w:sz w:val="32"/>
          <w:rtl/>
        </w:rPr>
        <w:t xml:space="preserve">, </w:t>
      </w:r>
      <w:r w:rsidR="00CC057B">
        <w:rPr>
          <w:rFonts w:cs="FrankRuehl" w:hint="cs"/>
          <w:sz w:val="32"/>
          <w:rtl/>
        </w:rPr>
        <w:t>תשע"</w:t>
      </w:r>
      <w:r w:rsidR="005F774E">
        <w:rPr>
          <w:rFonts w:cs="FrankRuehl" w:hint="cs"/>
          <w:sz w:val="32"/>
          <w:rtl/>
        </w:rPr>
        <w:t>ב-2012</w:t>
      </w:r>
    </w:p>
    <w:p w:rsidR="00301EEF" w:rsidRPr="00301EEF" w:rsidRDefault="00301EEF" w:rsidP="00301EEF">
      <w:pPr>
        <w:spacing w:line="320" w:lineRule="auto"/>
        <w:jc w:val="left"/>
        <w:rPr>
          <w:rFonts w:cs="FrankRuehl"/>
          <w:szCs w:val="26"/>
          <w:rtl/>
        </w:rPr>
      </w:pPr>
    </w:p>
    <w:p w:rsidR="00301EEF" w:rsidRDefault="00301EEF" w:rsidP="00301EEF">
      <w:pPr>
        <w:spacing w:line="320" w:lineRule="auto"/>
        <w:jc w:val="left"/>
        <w:rPr>
          <w:rtl/>
        </w:rPr>
      </w:pPr>
    </w:p>
    <w:p w:rsidR="00301EEF" w:rsidRPr="00301EEF" w:rsidRDefault="00301EEF" w:rsidP="00301EEF">
      <w:pPr>
        <w:spacing w:line="320" w:lineRule="auto"/>
        <w:jc w:val="left"/>
        <w:rPr>
          <w:rFonts w:cs="Miriam" w:hint="cs"/>
          <w:szCs w:val="22"/>
          <w:rtl/>
        </w:rPr>
      </w:pPr>
      <w:r w:rsidRPr="00301EEF">
        <w:rPr>
          <w:rFonts w:cs="Miriam"/>
          <w:szCs w:val="22"/>
          <w:rtl/>
        </w:rPr>
        <w:t>בטחון</w:t>
      </w:r>
      <w:r w:rsidRPr="00301EEF">
        <w:rPr>
          <w:rFonts w:cs="FrankRuehl"/>
          <w:szCs w:val="26"/>
          <w:rtl/>
        </w:rPr>
        <w:t xml:space="preserve"> – טרור</w:t>
      </w:r>
    </w:p>
    <w:p w:rsidR="00DD06B1" w:rsidRDefault="00DD06B1">
      <w:pPr>
        <w:pStyle w:val="big-header"/>
        <w:ind w:left="0" w:right="1134"/>
        <w:rPr>
          <w:rStyle w:val="default"/>
          <w:rFonts w:cs="FrankRuehl"/>
          <w:sz w:val="32"/>
          <w:szCs w:val="32"/>
          <w:rtl/>
        </w:rPr>
      </w:pPr>
      <w:r>
        <w:rPr>
          <w:rStyle w:val="default"/>
          <w:rFonts w:cs="FrankRuehl"/>
          <w:sz w:val="32"/>
          <w:szCs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פרק א': מטרה ופרשנות</w:t>
            </w:r>
          </w:p>
        </w:tc>
        <w:tc>
          <w:tcPr>
            <w:tcW w:w="567" w:type="dxa"/>
          </w:tcPr>
          <w:p w:rsidR="00982D80" w:rsidRPr="00982D80" w:rsidRDefault="00982D80" w:rsidP="00982D80">
            <w:pPr>
              <w:spacing w:line="240" w:lineRule="auto"/>
              <w:jc w:val="left"/>
              <w:rPr>
                <w:rStyle w:val="Hyperlink"/>
                <w:rtl/>
              </w:rPr>
            </w:pPr>
            <w:hyperlink w:anchor="med0" w:tooltip="פרק א: מטרה ופרשנו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מטרה</w:t>
            </w:r>
          </w:p>
        </w:tc>
        <w:tc>
          <w:tcPr>
            <w:tcW w:w="567" w:type="dxa"/>
          </w:tcPr>
          <w:p w:rsidR="00982D80" w:rsidRPr="00982D80" w:rsidRDefault="00982D80" w:rsidP="00982D80">
            <w:pPr>
              <w:spacing w:line="240" w:lineRule="auto"/>
              <w:jc w:val="left"/>
              <w:rPr>
                <w:rStyle w:val="Hyperlink"/>
                <w:rtl/>
              </w:rPr>
            </w:pPr>
            <w:hyperlink w:anchor="Seif1" w:tooltip="מטר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הגדרות</w:t>
            </w:r>
          </w:p>
        </w:tc>
        <w:tc>
          <w:tcPr>
            <w:tcW w:w="567" w:type="dxa"/>
          </w:tcPr>
          <w:p w:rsidR="00982D80" w:rsidRPr="00982D80" w:rsidRDefault="00982D80" w:rsidP="00982D80">
            <w:pPr>
              <w:spacing w:line="240" w:lineRule="auto"/>
              <w:jc w:val="left"/>
              <w:rPr>
                <w:rStyle w:val="Hyperlink"/>
                <w:rtl/>
              </w:rPr>
            </w:pPr>
            <w:hyperlink w:anchor="Seif2" w:tooltip="הגדרו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פרק ב': הכרזות ועדת השרים</w:t>
            </w:r>
          </w:p>
        </w:tc>
        <w:tc>
          <w:tcPr>
            <w:tcW w:w="567" w:type="dxa"/>
          </w:tcPr>
          <w:p w:rsidR="00982D80" w:rsidRPr="00982D80" w:rsidRDefault="00982D80" w:rsidP="00982D80">
            <w:pPr>
              <w:spacing w:line="240" w:lineRule="auto"/>
              <w:jc w:val="left"/>
              <w:rPr>
                <w:rStyle w:val="Hyperlink"/>
                <w:rtl/>
              </w:rPr>
            </w:pPr>
            <w:hyperlink w:anchor="med1" w:tooltip="פרק ב: הכרזות ועדת השרים"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סימן א': הכרזה על גורם זר מסייע</w:t>
            </w:r>
          </w:p>
        </w:tc>
        <w:tc>
          <w:tcPr>
            <w:tcW w:w="567" w:type="dxa"/>
          </w:tcPr>
          <w:p w:rsidR="00982D80" w:rsidRPr="00982D80" w:rsidRDefault="00982D80" w:rsidP="00982D80">
            <w:pPr>
              <w:spacing w:line="240" w:lineRule="auto"/>
              <w:jc w:val="left"/>
              <w:rPr>
                <w:rStyle w:val="Hyperlink"/>
                <w:rtl/>
              </w:rPr>
            </w:pPr>
            <w:hyperlink w:anchor="hed20" w:tooltip="סימן א: הכרזה על גורם זר מסייע"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הכרזה על גורם זר מסייע</w:t>
            </w:r>
          </w:p>
        </w:tc>
        <w:tc>
          <w:tcPr>
            <w:tcW w:w="567" w:type="dxa"/>
          </w:tcPr>
          <w:p w:rsidR="00982D80" w:rsidRPr="00982D80" w:rsidRDefault="00982D80" w:rsidP="00982D80">
            <w:pPr>
              <w:spacing w:line="240" w:lineRule="auto"/>
              <w:jc w:val="left"/>
              <w:rPr>
                <w:rStyle w:val="Hyperlink"/>
                <w:rtl/>
              </w:rPr>
            </w:pPr>
            <w:hyperlink w:anchor="Seif3" w:tooltip="הכרזה על גורם זר מסייע"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איסור קיום פעילות כלכלית עם גורם זר מסייע והפסקת פעילות כלכלית קיימת</w:t>
            </w:r>
          </w:p>
        </w:tc>
        <w:tc>
          <w:tcPr>
            <w:tcW w:w="567" w:type="dxa"/>
          </w:tcPr>
          <w:p w:rsidR="00982D80" w:rsidRPr="00982D80" w:rsidRDefault="00982D80" w:rsidP="00982D80">
            <w:pPr>
              <w:spacing w:line="240" w:lineRule="auto"/>
              <w:jc w:val="left"/>
              <w:rPr>
                <w:rStyle w:val="Hyperlink"/>
                <w:rtl/>
              </w:rPr>
            </w:pPr>
            <w:hyperlink w:anchor="Seif4" w:tooltip="איסור קיום פעילות כלכלית עם גורם זר מסייע והפסקת פעילות כלכלית קיימ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הגבלות על גורמים הקשורים לתאגיד שהוכרז כגורם זר מסייע</w:t>
            </w:r>
          </w:p>
        </w:tc>
        <w:tc>
          <w:tcPr>
            <w:tcW w:w="567" w:type="dxa"/>
          </w:tcPr>
          <w:p w:rsidR="00982D80" w:rsidRPr="00982D80" w:rsidRDefault="00982D80" w:rsidP="00982D80">
            <w:pPr>
              <w:spacing w:line="240" w:lineRule="auto"/>
              <w:jc w:val="left"/>
              <w:rPr>
                <w:rStyle w:val="Hyperlink"/>
                <w:rtl/>
              </w:rPr>
            </w:pPr>
            <w:hyperlink w:anchor="Seif5" w:tooltip="הגבלות על גורמים הקשורים לתאגיד שהוכרז כגורם זר מסייע"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חובת דיווח למשטרת ישראל על קיום פעילות כלכלית עם גורם זר מסייע</w:t>
            </w:r>
          </w:p>
        </w:tc>
        <w:tc>
          <w:tcPr>
            <w:tcW w:w="567" w:type="dxa"/>
          </w:tcPr>
          <w:p w:rsidR="00982D80" w:rsidRPr="00982D80" w:rsidRDefault="00982D80" w:rsidP="00982D80">
            <w:pPr>
              <w:spacing w:line="240" w:lineRule="auto"/>
              <w:jc w:val="left"/>
              <w:rPr>
                <w:rStyle w:val="Hyperlink"/>
                <w:rtl/>
              </w:rPr>
            </w:pPr>
            <w:hyperlink w:anchor="Seif6" w:tooltip="חובת דיווח למשטרת ישראל על קיום פעילות כלכלית עם גורם זר מסייע"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פטור מאחריות והגבלות על גילוי דיווח</w:t>
            </w:r>
          </w:p>
        </w:tc>
        <w:tc>
          <w:tcPr>
            <w:tcW w:w="567" w:type="dxa"/>
          </w:tcPr>
          <w:p w:rsidR="00982D80" w:rsidRPr="00982D80" w:rsidRDefault="00982D80" w:rsidP="00982D80">
            <w:pPr>
              <w:spacing w:line="240" w:lineRule="auto"/>
              <w:jc w:val="left"/>
              <w:rPr>
                <w:rStyle w:val="Hyperlink"/>
                <w:rtl/>
              </w:rPr>
            </w:pPr>
            <w:hyperlink w:anchor="Seif7" w:tooltip="פטור מאחריות והגבלות על גילוי דיווח"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תחולת הוראות חוק איסור הלבנת הון</w:t>
            </w:r>
          </w:p>
        </w:tc>
        <w:tc>
          <w:tcPr>
            <w:tcW w:w="567" w:type="dxa"/>
          </w:tcPr>
          <w:p w:rsidR="00982D80" w:rsidRPr="00982D80" w:rsidRDefault="00982D80" w:rsidP="00982D80">
            <w:pPr>
              <w:spacing w:line="240" w:lineRule="auto"/>
              <w:jc w:val="left"/>
              <w:rPr>
                <w:rStyle w:val="Hyperlink"/>
                <w:rtl/>
              </w:rPr>
            </w:pPr>
            <w:hyperlink w:anchor="Seif8" w:tooltip="תחולת הוראות חוק איסור הלבנת הון"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סימן ב': הכרזה על גורם זר שהוא תאגיד כמקיים קשר עסקי עם איראן</w:t>
            </w:r>
          </w:p>
        </w:tc>
        <w:tc>
          <w:tcPr>
            <w:tcW w:w="567" w:type="dxa"/>
          </w:tcPr>
          <w:p w:rsidR="00982D80" w:rsidRPr="00982D80" w:rsidRDefault="00982D80" w:rsidP="00982D80">
            <w:pPr>
              <w:spacing w:line="240" w:lineRule="auto"/>
              <w:jc w:val="left"/>
              <w:rPr>
                <w:rStyle w:val="Hyperlink"/>
                <w:rtl/>
              </w:rPr>
            </w:pPr>
            <w:hyperlink w:anchor="hed21" w:tooltip="סימן ב: הכרזה על גורם זר שהוא תאגיד כמקיים קשר עסקי עם איראן"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הכרזה על תאגיד המקיים קשר עסקי עם איראן</w:t>
            </w:r>
          </w:p>
        </w:tc>
        <w:tc>
          <w:tcPr>
            <w:tcW w:w="567" w:type="dxa"/>
          </w:tcPr>
          <w:p w:rsidR="00982D80" w:rsidRPr="00982D80" w:rsidRDefault="00982D80" w:rsidP="00982D80">
            <w:pPr>
              <w:spacing w:line="240" w:lineRule="auto"/>
              <w:jc w:val="left"/>
              <w:rPr>
                <w:rStyle w:val="Hyperlink"/>
                <w:rtl/>
              </w:rPr>
            </w:pPr>
            <w:hyperlink w:anchor="Seif9" w:tooltip="הכרזה על תאגיד המקיים קשר עסקי עם איראן"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איסור השקעה בתאגיד המקיים קשר עסקי עם איראן והפסקת השקעה קיימת</w:t>
            </w:r>
          </w:p>
        </w:tc>
        <w:tc>
          <w:tcPr>
            <w:tcW w:w="567" w:type="dxa"/>
          </w:tcPr>
          <w:p w:rsidR="00982D80" w:rsidRPr="00982D80" w:rsidRDefault="00982D80" w:rsidP="00982D80">
            <w:pPr>
              <w:spacing w:line="240" w:lineRule="auto"/>
              <w:jc w:val="left"/>
              <w:rPr>
                <w:rStyle w:val="Hyperlink"/>
                <w:rtl/>
              </w:rPr>
            </w:pPr>
            <w:hyperlink w:anchor="Seif10" w:tooltip="איסור השקעה בתאגיד המקיים קשר עסקי עם איראן והפסקת השקעה קיימ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הגבלות על תאגיד המקיים קשר עסקי עם איראן ועל גורמים הקשורים לתאגיד</w:t>
            </w:r>
          </w:p>
        </w:tc>
        <w:tc>
          <w:tcPr>
            <w:tcW w:w="567" w:type="dxa"/>
          </w:tcPr>
          <w:p w:rsidR="00982D80" w:rsidRPr="00982D80" w:rsidRDefault="00982D80" w:rsidP="00982D80">
            <w:pPr>
              <w:spacing w:line="240" w:lineRule="auto"/>
              <w:jc w:val="left"/>
              <w:rPr>
                <w:rStyle w:val="Hyperlink"/>
                <w:rtl/>
              </w:rPr>
            </w:pPr>
            <w:hyperlink w:anchor="Seif11" w:tooltip="הגבלות על תאגיד המקיים קשר עסקי עם איראן ועל גורמים הקשורים לתאגיד"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סימן ג': הוראות כלליות לעניין הכרזות לפי סעיפים 3 ו-9</w:t>
            </w:r>
          </w:p>
        </w:tc>
        <w:tc>
          <w:tcPr>
            <w:tcW w:w="567" w:type="dxa"/>
          </w:tcPr>
          <w:p w:rsidR="00982D80" w:rsidRPr="00982D80" w:rsidRDefault="00982D80" w:rsidP="00982D80">
            <w:pPr>
              <w:spacing w:line="240" w:lineRule="auto"/>
              <w:jc w:val="left"/>
              <w:rPr>
                <w:rStyle w:val="Hyperlink"/>
                <w:rtl/>
              </w:rPr>
            </w:pPr>
            <w:hyperlink w:anchor="hed22" w:tooltip="סימן ג: הוראות כלליות לעניין הכרזות לפי סעיפים 3 ו-9"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הודעה על כוונה להכריז</w:t>
            </w:r>
          </w:p>
        </w:tc>
        <w:tc>
          <w:tcPr>
            <w:tcW w:w="567" w:type="dxa"/>
          </w:tcPr>
          <w:p w:rsidR="00982D80" w:rsidRPr="00982D80" w:rsidRDefault="00982D80" w:rsidP="00982D80">
            <w:pPr>
              <w:spacing w:line="240" w:lineRule="auto"/>
              <w:jc w:val="left"/>
              <w:rPr>
                <w:rStyle w:val="Hyperlink"/>
                <w:rtl/>
              </w:rPr>
            </w:pPr>
            <w:hyperlink w:anchor="Seif12" w:tooltip="הודעה על כוונה להכריז"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בקשה שלא להכריז</w:t>
            </w:r>
          </w:p>
        </w:tc>
        <w:tc>
          <w:tcPr>
            <w:tcW w:w="567" w:type="dxa"/>
          </w:tcPr>
          <w:p w:rsidR="00982D80" w:rsidRPr="00982D80" w:rsidRDefault="00982D80" w:rsidP="00982D80">
            <w:pPr>
              <w:spacing w:line="240" w:lineRule="auto"/>
              <w:jc w:val="left"/>
              <w:rPr>
                <w:rStyle w:val="Hyperlink"/>
                <w:rtl/>
              </w:rPr>
            </w:pPr>
            <w:hyperlink w:anchor="Seif13" w:tooltip="בקשה שלא להכריז"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דיוני הוועד המייעצת בבקשה שלא להכריז</w:t>
            </w:r>
          </w:p>
        </w:tc>
        <w:tc>
          <w:tcPr>
            <w:tcW w:w="567" w:type="dxa"/>
          </w:tcPr>
          <w:p w:rsidR="00982D80" w:rsidRPr="00982D80" w:rsidRDefault="00982D80" w:rsidP="00982D80">
            <w:pPr>
              <w:spacing w:line="240" w:lineRule="auto"/>
              <w:jc w:val="left"/>
              <w:rPr>
                <w:rStyle w:val="Hyperlink"/>
                <w:rtl/>
              </w:rPr>
            </w:pPr>
            <w:hyperlink w:anchor="Seif14" w:tooltip="דיוני הוועד המייעצת בבקשה שלא להכריז"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המלצת הוועדה המייעצת בבקשה שלא להכריז</w:t>
            </w:r>
          </w:p>
        </w:tc>
        <w:tc>
          <w:tcPr>
            <w:tcW w:w="567" w:type="dxa"/>
          </w:tcPr>
          <w:p w:rsidR="00982D80" w:rsidRPr="00982D80" w:rsidRDefault="00982D80" w:rsidP="00982D80">
            <w:pPr>
              <w:spacing w:line="240" w:lineRule="auto"/>
              <w:jc w:val="left"/>
              <w:rPr>
                <w:rStyle w:val="Hyperlink"/>
                <w:rtl/>
              </w:rPr>
            </w:pPr>
            <w:hyperlink w:anchor="Seif15" w:tooltip="המלצת הוועדה המייעצת בבקשה שלא להכריז"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החלטת ועדת השרים בבקשה שלא להכריז</w:t>
            </w:r>
          </w:p>
        </w:tc>
        <w:tc>
          <w:tcPr>
            <w:tcW w:w="567" w:type="dxa"/>
          </w:tcPr>
          <w:p w:rsidR="00982D80" w:rsidRPr="00982D80" w:rsidRDefault="00982D80" w:rsidP="00982D80">
            <w:pPr>
              <w:spacing w:line="240" w:lineRule="auto"/>
              <w:jc w:val="left"/>
              <w:rPr>
                <w:rStyle w:val="Hyperlink"/>
                <w:rtl/>
              </w:rPr>
            </w:pPr>
            <w:hyperlink w:anchor="Seif16" w:tooltip="החלטת ועדת השרים בבקשה שלא להכריז"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בקשה לביטול הכרזה</w:t>
            </w:r>
          </w:p>
        </w:tc>
        <w:tc>
          <w:tcPr>
            <w:tcW w:w="567" w:type="dxa"/>
          </w:tcPr>
          <w:p w:rsidR="00982D80" w:rsidRPr="00982D80" w:rsidRDefault="00982D80" w:rsidP="00982D80">
            <w:pPr>
              <w:spacing w:line="240" w:lineRule="auto"/>
              <w:jc w:val="left"/>
              <w:rPr>
                <w:rStyle w:val="Hyperlink"/>
                <w:rtl/>
              </w:rPr>
            </w:pPr>
            <w:hyperlink w:anchor="Seif17" w:tooltip="בקשה לביטול הכרז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ביטול הכרזה</w:t>
            </w:r>
          </w:p>
        </w:tc>
        <w:tc>
          <w:tcPr>
            <w:tcW w:w="567" w:type="dxa"/>
          </w:tcPr>
          <w:p w:rsidR="00982D80" w:rsidRPr="00982D80" w:rsidRDefault="00982D80" w:rsidP="00982D80">
            <w:pPr>
              <w:spacing w:line="240" w:lineRule="auto"/>
              <w:jc w:val="left"/>
              <w:rPr>
                <w:rStyle w:val="Hyperlink"/>
                <w:rtl/>
              </w:rPr>
            </w:pPr>
            <w:hyperlink w:anchor="Seif18" w:tooltip="ביטול הכרז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זכות עיון לצורך הגשת בקשה שלא להכריז או בקשה לביטול הכרזה</w:t>
            </w:r>
          </w:p>
        </w:tc>
        <w:tc>
          <w:tcPr>
            <w:tcW w:w="567" w:type="dxa"/>
          </w:tcPr>
          <w:p w:rsidR="00982D80" w:rsidRPr="00982D80" w:rsidRDefault="00982D80" w:rsidP="00982D80">
            <w:pPr>
              <w:spacing w:line="240" w:lineRule="auto"/>
              <w:jc w:val="left"/>
              <w:rPr>
                <w:rStyle w:val="Hyperlink"/>
                <w:rtl/>
              </w:rPr>
            </w:pPr>
            <w:hyperlink w:anchor="Seif19" w:tooltip="זכות עיון לצורך הגשת בקשה שלא להכריז או בקשה לביטול הכרז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עיון במידע חסוי</w:t>
            </w:r>
          </w:p>
        </w:tc>
        <w:tc>
          <w:tcPr>
            <w:tcW w:w="567" w:type="dxa"/>
          </w:tcPr>
          <w:p w:rsidR="00982D80" w:rsidRPr="00982D80" w:rsidRDefault="00982D80" w:rsidP="00982D80">
            <w:pPr>
              <w:spacing w:line="240" w:lineRule="auto"/>
              <w:jc w:val="left"/>
              <w:rPr>
                <w:rStyle w:val="Hyperlink"/>
                <w:rtl/>
              </w:rPr>
            </w:pPr>
            <w:hyperlink w:anchor="Seif20" w:tooltip="עיון במידע חסוי"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ביקורת תקופתית</w:t>
            </w:r>
          </w:p>
        </w:tc>
        <w:tc>
          <w:tcPr>
            <w:tcW w:w="567" w:type="dxa"/>
          </w:tcPr>
          <w:p w:rsidR="00982D80" w:rsidRPr="00982D80" w:rsidRDefault="00982D80" w:rsidP="00982D80">
            <w:pPr>
              <w:spacing w:line="240" w:lineRule="auto"/>
              <w:jc w:val="left"/>
              <w:rPr>
                <w:rStyle w:val="Hyperlink"/>
                <w:rtl/>
              </w:rPr>
            </w:pPr>
            <w:hyperlink w:anchor="Seif21" w:tooltip="ביקורת תקופתי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פרק ג': ועדת השרים, הוועדה המייעצת ומטה הסנקציות</w:t>
            </w:r>
          </w:p>
        </w:tc>
        <w:tc>
          <w:tcPr>
            <w:tcW w:w="567" w:type="dxa"/>
          </w:tcPr>
          <w:p w:rsidR="00982D80" w:rsidRPr="00982D80" w:rsidRDefault="00982D80" w:rsidP="00982D80">
            <w:pPr>
              <w:spacing w:line="240" w:lineRule="auto"/>
              <w:jc w:val="left"/>
              <w:rPr>
                <w:rStyle w:val="Hyperlink"/>
                <w:rtl/>
              </w:rPr>
            </w:pPr>
            <w:hyperlink w:anchor="med2" w:tooltip="פרק ג: ועדת השרים, הוועדה המייעצת ומטה הסנקציו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סימן א': ועדת השרים</w:t>
            </w:r>
          </w:p>
        </w:tc>
        <w:tc>
          <w:tcPr>
            <w:tcW w:w="567" w:type="dxa"/>
          </w:tcPr>
          <w:p w:rsidR="00982D80" w:rsidRPr="00982D80" w:rsidRDefault="00982D80" w:rsidP="00982D80">
            <w:pPr>
              <w:spacing w:line="240" w:lineRule="auto"/>
              <w:jc w:val="left"/>
              <w:rPr>
                <w:rStyle w:val="Hyperlink"/>
                <w:rtl/>
              </w:rPr>
            </w:pPr>
            <w:hyperlink w:anchor="hed23" w:tooltip="סימן א: ועדת השרים"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הקמת ועדת השרים ותפקידיה</w:t>
            </w:r>
          </w:p>
        </w:tc>
        <w:tc>
          <w:tcPr>
            <w:tcW w:w="567" w:type="dxa"/>
          </w:tcPr>
          <w:p w:rsidR="00982D80" w:rsidRPr="00982D80" w:rsidRDefault="00982D80" w:rsidP="00982D80">
            <w:pPr>
              <w:spacing w:line="240" w:lineRule="auto"/>
              <w:jc w:val="left"/>
              <w:rPr>
                <w:rStyle w:val="Hyperlink"/>
                <w:rtl/>
              </w:rPr>
            </w:pPr>
            <w:hyperlink w:anchor="Seif22" w:tooltip="הקמת ועדת השרים ותפקידי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סדרי עבודת ועדת השרים</w:t>
            </w:r>
          </w:p>
        </w:tc>
        <w:tc>
          <w:tcPr>
            <w:tcW w:w="567" w:type="dxa"/>
          </w:tcPr>
          <w:p w:rsidR="00982D80" w:rsidRPr="00982D80" w:rsidRDefault="00982D80" w:rsidP="00982D80">
            <w:pPr>
              <w:spacing w:line="240" w:lineRule="auto"/>
              <w:jc w:val="left"/>
              <w:rPr>
                <w:rStyle w:val="Hyperlink"/>
                <w:rtl/>
              </w:rPr>
            </w:pPr>
            <w:hyperlink w:anchor="Seif23" w:tooltip="סדרי עבודת ועדת השרים"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סימן ב': הוועדה המייעצת</w:t>
            </w:r>
          </w:p>
        </w:tc>
        <w:tc>
          <w:tcPr>
            <w:tcW w:w="567" w:type="dxa"/>
          </w:tcPr>
          <w:p w:rsidR="00982D80" w:rsidRPr="00982D80" w:rsidRDefault="00982D80" w:rsidP="00982D80">
            <w:pPr>
              <w:spacing w:line="240" w:lineRule="auto"/>
              <w:jc w:val="left"/>
              <w:rPr>
                <w:rStyle w:val="Hyperlink"/>
                <w:rtl/>
              </w:rPr>
            </w:pPr>
            <w:hyperlink w:anchor="hed24" w:tooltip="סימן ב: הוועדה המייעצ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מינוי הוועדה המייעצת</w:t>
            </w:r>
          </w:p>
        </w:tc>
        <w:tc>
          <w:tcPr>
            <w:tcW w:w="567" w:type="dxa"/>
          </w:tcPr>
          <w:p w:rsidR="00982D80" w:rsidRPr="00982D80" w:rsidRDefault="00982D80" w:rsidP="00982D80">
            <w:pPr>
              <w:spacing w:line="240" w:lineRule="auto"/>
              <w:jc w:val="left"/>
              <w:rPr>
                <w:rStyle w:val="Hyperlink"/>
                <w:rtl/>
              </w:rPr>
            </w:pPr>
            <w:hyperlink w:anchor="Seif24" w:tooltip="מינוי הוועדה המייעצ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איסור ניגוד עניינים</w:t>
            </w:r>
          </w:p>
        </w:tc>
        <w:tc>
          <w:tcPr>
            <w:tcW w:w="567" w:type="dxa"/>
          </w:tcPr>
          <w:p w:rsidR="00982D80" w:rsidRPr="00982D80" w:rsidRDefault="00982D80" w:rsidP="00982D80">
            <w:pPr>
              <w:spacing w:line="240" w:lineRule="auto"/>
              <w:jc w:val="left"/>
              <w:rPr>
                <w:rStyle w:val="Hyperlink"/>
                <w:rtl/>
              </w:rPr>
            </w:pPr>
            <w:hyperlink w:anchor="Seif25" w:tooltip="איסור ניגוד עניינים"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סימן ג': מטה הסנקציות</w:t>
            </w:r>
          </w:p>
        </w:tc>
        <w:tc>
          <w:tcPr>
            <w:tcW w:w="567" w:type="dxa"/>
          </w:tcPr>
          <w:p w:rsidR="00982D80" w:rsidRPr="00982D80" w:rsidRDefault="00982D80" w:rsidP="00982D80">
            <w:pPr>
              <w:spacing w:line="240" w:lineRule="auto"/>
              <w:jc w:val="left"/>
              <w:rPr>
                <w:rStyle w:val="Hyperlink"/>
                <w:rtl/>
              </w:rPr>
            </w:pPr>
            <w:hyperlink w:anchor="hed25" w:tooltip="סימן ג: מטה הסנקציו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הקמת מטה הסנקציות ותפקידיו</w:t>
            </w:r>
          </w:p>
        </w:tc>
        <w:tc>
          <w:tcPr>
            <w:tcW w:w="567" w:type="dxa"/>
          </w:tcPr>
          <w:p w:rsidR="00982D80" w:rsidRPr="00982D80" w:rsidRDefault="00982D80" w:rsidP="00982D80">
            <w:pPr>
              <w:spacing w:line="240" w:lineRule="auto"/>
              <w:jc w:val="left"/>
              <w:rPr>
                <w:rStyle w:val="Hyperlink"/>
                <w:rtl/>
              </w:rPr>
            </w:pPr>
            <w:hyperlink w:anchor="Seif26" w:tooltip="הקמת מטה הסנקציות ותפקידיו"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27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מבנה מטה הסנקציות</w:t>
            </w:r>
          </w:p>
        </w:tc>
        <w:tc>
          <w:tcPr>
            <w:tcW w:w="567" w:type="dxa"/>
          </w:tcPr>
          <w:p w:rsidR="00982D80" w:rsidRPr="00982D80" w:rsidRDefault="00982D80" w:rsidP="00982D80">
            <w:pPr>
              <w:spacing w:line="240" w:lineRule="auto"/>
              <w:jc w:val="left"/>
              <w:rPr>
                <w:rStyle w:val="Hyperlink"/>
                <w:rtl/>
              </w:rPr>
            </w:pPr>
            <w:hyperlink w:anchor="Seif27" w:tooltip="מבנה מטה הסנקציו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28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סמכות לקבלת מידע ושמירתו</w:t>
            </w:r>
          </w:p>
        </w:tc>
        <w:tc>
          <w:tcPr>
            <w:tcW w:w="567" w:type="dxa"/>
          </w:tcPr>
          <w:p w:rsidR="00982D80" w:rsidRPr="00982D80" w:rsidRDefault="00982D80" w:rsidP="00982D80">
            <w:pPr>
              <w:spacing w:line="240" w:lineRule="auto"/>
              <w:jc w:val="left"/>
              <w:rPr>
                <w:rStyle w:val="Hyperlink"/>
                <w:rtl/>
              </w:rPr>
            </w:pPr>
            <w:hyperlink w:anchor="Seif28" w:tooltip="סמכות לקבלת מידע ושמירתו"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פרק ד': עונשין וסמכויות אכיפה</w:t>
            </w:r>
          </w:p>
        </w:tc>
        <w:tc>
          <w:tcPr>
            <w:tcW w:w="567" w:type="dxa"/>
          </w:tcPr>
          <w:p w:rsidR="00982D80" w:rsidRPr="00982D80" w:rsidRDefault="00982D80" w:rsidP="00982D80">
            <w:pPr>
              <w:spacing w:line="240" w:lineRule="auto"/>
              <w:jc w:val="left"/>
              <w:rPr>
                <w:rStyle w:val="Hyperlink"/>
                <w:rtl/>
              </w:rPr>
            </w:pPr>
            <w:hyperlink w:anchor="med3" w:tooltip="פרק ד: עונשין וסמכויות אכיפ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29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עונשין</w:t>
            </w:r>
          </w:p>
        </w:tc>
        <w:tc>
          <w:tcPr>
            <w:tcW w:w="567" w:type="dxa"/>
          </w:tcPr>
          <w:p w:rsidR="00982D80" w:rsidRPr="00982D80" w:rsidRDefault="00982D80" w:rsidP="00982D80">
            <w:pPr>
              <w:spacing w:line="240" w:lineRule="auto"/>
              <w:jc w:val="left"/>
              <w:rPr>
                <w:rStyle w:val="Hyperlink"/>
                <w:rtl/>
              </w:rPr>
            </w:pPr>
            <w:hyperlink w:anchor="Seif29" w:tooltip="עונשין"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30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אחריות נושא משרה בתאגיד</w:t>
            </w:r>
          </w:p>
        </w:tc>
        <w:tc>
          <w:tcPr>
            <w:tcW w:w="567" w:type="dxa"/>
          </w:tcPr>
          <w:p w:rsidR="00982D80" w:rsidRPr="00982D80" w:rsidRDefault="00982D80" w:rsidP="00982D80">
            <w:pPr>
              <w:spacing w:line="240" w:lineRule="auto"/>
              <w:jc w:val="left"/>
              <w:rPr>
                <w:rStyle w:val="Hyperlink"/>
                <w:rtl/>
              </w:rPr>
            </w:pPr>
            <w:hyperlink w:anchor="Seif30" w:tooltip="אחריות נושא משרה בתאגיד"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31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חילוט לאחר הרשעה</w:t>
            </w:r>
          </w:p>
        </w:tc>
        <w:tc>
          <w:tcPr>
            <w:tcW w:w="567" w:type="dxa"/>
          </w:tcPr>
          <w:p w:rsidR="00982D80" w:rsidRPr="00982D80" w:rsidRDefault="00982D80" w:rsidP="00982D80">
            <w:pPr>
              <w:spacing w:line="240" w:lineRule="auto"/>
              <w:jc w:val="left"/>
              <w:rPr>
                <w:rStyle w:val="Hyperlink"/>
                <w:rtl/>
              </w:rPr>
            </w:pPr>
            <w:hyperlink w:anchor="Seif31" w:tooltip="חילוט לאחר הרשע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32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חילוט שלא בעקבות הרשעה</w:t>
            </w:r>
          </w:p>
        </w:tc>
        <w:tc>
          <w:tcPr>
            <w:tcW w:w="567" w:type="dxa"/>
          </w:tcPr>
          <w:p w:rsidR="00982D80" w:rsidRPr="00982D80" w:rsidRDefault="00982D80" w:rsidP="00982D80">
            <w:pPr>
              <w:spacing w:line="240" w:lineRule="auto"/>
              <w:jc w:val="left"/>
              <w:rPr>
                <w:rStyle w:val="Hyperlink"/>
                <w:rtl/>
              </w:rPr>
            </w:pPr>
            <w:hyperlink w:anchor="Seif32" w:tooltip="חילוט שלא בעקבות הרשע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33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סמכויות חיפוש ותפיסה</w:t>
            </w:r>
          </w:p>
        </w:tc>
        <w:tc>
          <w:tcPr>
            <w:tcW w:w="567" w:type="dxa"/>
          </w:tcPr>
          <w:p w:rsidR="00982D80" w:rsidRPr="00982D80" w:rsidRDefault="00982D80" w:rsidP="00982D80">
            <w:pPr>
              <w:spacing w:line="240" w:lineRule="auto"/>
              <w:jc w:val="left"/>
              <w:rPr>
                <w:rStyle w:val="Hyperlink"/>
                <w:rtl/>
              </w:rPr>
            </w:pPr>
            <w:hyperlink w:anchor="Seif33" w:tooltip="סמכויות חיפוש ותפיס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פרק ה': הוראות שונות</w:t>
            </w:r>
          </w:p>
        </w:tc>
        <w:tc>
          <w:tcPr>
            <w:tcW w:w="567" w:type="dxa"/>
          </w:tcPr>
          <w:p w:rsidR="00982D80" w:rsidRPr="00982D80" w:rsidRDefault="00982D80" w:rsidP="00982D80">
            <w:pPr>
              <w:spacing w:line="240" w:lineRule="auto"/>
              <w:jc w:val="left"/>
              <w:rPr>
                <w:rStyle w:val="Hyperlink"/>
                <w:rtl/>
              </w:rPr>
            </w:pPr>
            <w:hyperlink w:anchor="med4" w:tooltip="פרק ה: הוראות שונו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34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תחולת הוראות על המדינה</w:t>
            </w:r>
          </w:p>
        </w:tc>
        <w:tc>
          <w:tcPr>
            <w:tcW w:w="567" w:type="dxa"/>
          </w:tcPr>
          <w:p w:rsidR="00982D80" w:rsidRPr="00982D80" w:rsidRDefault="00982D80" w:rsidP="00982D80">
            <w:pPr>
              <w:spacing w:line="240" w:lineRule="auto"/>
              <w:jc w:val="left"/>
              <w:rPr>
                <w:rStyle w:val="Hyperlink"/>
                <w:rtl/>
              </w:rPr>
            </w:pPr>
            <w:hyperlink w:anchor="Seif34" w:tooltip="תחולת הוראות על המדינ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35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שמירת דינים</w:t>
            </w:r>
          </w:p>
        </w:tc>
        <w:tc>
          <w:tcPr>
            <w:tcW w:w="567" w:type="dxa"/>
          </w:tcPr>
          <w:p w:rsidR="00982D80" w:rsidRPr="00982D80" w:rsidRDefault="00982D80" w:rsidP="00982D80">
            <w:pPr>
              <w:spacing w:line="240" w:lineRule="auto"/>
              <w:jc w:val="left"/>
              <w:rPr>
                <w:rStyle w:val="Hyperlink"/>
                <w:rtl/>
              </w:rPr>
            </w:pPr>
            <w:hyperlink w:anchor="Seif35" w:tooltip="שמירת דינים"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37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ביצוע ותקנות</w:t>
            </w:r>
          </w:p>
        </w:tc>
        <w:tc>
          <w:tcPr>
            <w:tcW w:w="567" w:type="dxa"/>
          </w:tcPr>
          <w:p w:rsidR="00982D80" w:rsidRPr="00982D80" w:rsidRDefault="00982D80" w:rsidP="00982D80">
            <w:pPr>
              <w:spacing w:line="240" w:lineRule="auto"/>
              <w:jc w:val="left"/>
              <w:rPr>
                <w:rStyle w:val="Hyperlink"/>
                <w:rtl/>
              </w:rPr>
            </w:pPr>
            <w:hyperlink w:anchor="Seif36" w:tooltip="ביצוע ותקנו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38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ביטול חוק איסור השקעה בתאגידים המקיימים קשר עסקי עם איראן</w:t>
            </w:r>
          </w:p>
        </w:tc>
        <w:tc>
          <w:tcPr>
            <w:tcW w:w="567" w:type="dxa"/>
          </w:tcPr>
          <w:p w:rsidR="00982D80" w:rsidRPr="00982D80" w:rsidRDefault="00982D80" w:rsidP="00982D80">
            <w:pPr>
              <w:spacing w:line="240" w:lineRule="auto"/>
              <w:jc w:val="left"/>
              <w:rPr>
                <w:rStyle w:val="Hyperlink"/>
                <w:rtl/>
              </w:rPr>
            </w:pPr>
            <w:hyperlink w:anchor="Seif37" w:tooltip="ביטול חוק איסור השקעה בתאגידים המקיימים קשר עסקי עם איראן"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39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תיקון חוק איסור הלבנת הון   מס' 12</w:t>
            </w:r>
          </w:p>
        </w:tc>
        <w:tc>
          <w:tcPr>
            <w:tcW w:w="567" w:type="dxa"/>
          </w:tcPr>
          <w:p w:rsidR="00982D80" w:rsidRPr="00982D80" w:rsidRDefault="00982D80" w:rsidP="00982D80">
            <w:pPr>
              <w:spacing w:line="240" w:lineRule="auto"/>
              <w:jc w:val="left"/>
              <w:rPr>
                <w:rStyle w:val="Hyperlink"/>
                <w:rtl/>
              </w:rPr>
            </w:pPr>
            <w:hyperlink w:anchor="Seif38" w:tooltip="תיקון חוק איסור הלבנת הון   מס 12"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40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תיקון פקודת המסחר עם האויב   מס' 2</w:t>
            </w:r>
          </w:p>
        </w:tc>
        <w:tc>
          <w:tcPr>
            <w:tcW w:w="567" w:type="dxa"/>
          </w:tcPr>
          <w:p w:rsidR="00982D80" w:rsidRPr="00982D80" w:rsidRDefault="00982D80" w:rsidP="00982D80">
            <w:pPr>
              <w:spacing w:line="240" w:lineRule="auto"/>
              <w:jc w:val="left"/>
              <w:rPr>
                <w:rStyle w:val="Hyperlink"/>
                <w:rtl/>
              </w:rPr>
            </w:pPr>
            <w:hyperlink w:anchor="Seif39" w:tooltip="תיקון פקודת המסחר עם האויב   מס 2"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41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תיקון חוק בתי משפט לעניינים מינהליים   מס' 77</w:t>
            </w:r>
          </w:p>
        </w:tc>
        <w:tc>
          <w:tcPr>
            <w:tcW w:w="567" w:type="dxa"/>
          </w:tcPr>
          <w:p w:rsidR="00982D80" w:rsidRPr="00982D80" w:rsidRDefault="00982D80" w:rsidP="00982D80">
            <w:pPr>
              <w:spacing w:line="240" w:lineRule="auto"/>
              <w:jc w:val="left"/>
              <w:rPr>
                <w:rStyle w:val="Hyperlink"/>
                <w:rtl/>
              </w:rPr>
            </w:pPr>
            <w:hyperlink w:anchor="Seif40" w:tooltip="תיקון חוק בתי משפט לעניינים מינהליים   מס 77"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 xml:space="preserve">סעיף 42 </w:t>
            </w: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תחילה</w:t>
            </w:r>
          </w:p>
        </w:tc>
        <w:tc>
          <w:tcPr>
            <w:tcW w:w="567" w:type="dxa"/>
          </w:tcPr>
          <w:p w:rsidR="00982D80" w:rsidRPr="00982D80" w:rsidRDefault="00982D80" w:rsidP="00982D80">
            <w:pPr>
              <w:spacing w:line="240" w:lineRule="auto"/>
              <w:jc w:val="left"/>
              <w:rPr>
                <w:rStyle w:val="Hyperlink"/>
                <w:rtl/>
              </w:rPr>
            </w:pPr>
            <w:hyperlink w:anchor="Seif41" w:tooltip="תחילה"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982D80" w:rsidRPr="00982D80" w:rsidTr="00982D80">
        <w:tblPrEx>
          <w:tblCellMar>
            <w:top w:w="0" w:type="dxa"/>
            <w:bottom w:w="0" w:type="dxa"/>
          </w:tblCellMar>
        </w:tblPrEx>
        <w:tc>
          <w:tcPr>
            <w:tcW w:w="1247" w:type="dxa"/>
          </w:tcPr>
          <w:p w:rsidR="00982D80" w:rsidRPr="00982D80" w:rsidRDefault="00982D80" w:rsidP="00982D80">
            <w:pPr>
              <w:spacing w:line="240" w:lineRule="auto"/>
              <w:jc w:val="left"/>
              <w:rPr>
                <w:rStyle w:val="default"/>
                <w:rFonts w:cs="Frankruhel"/>
                <w:sz w:val="24"/>
                <w:szCs w:val="24"/>
                <w:rtl/>
              </w:rPr>
            </w:pPr>
          </w:p>
        </w:tc>
        <w:tc>
          <w:tcPr>
            <w:tcW w:w="5669" w:type="dxa"/>
          </w:tcPr>
          <w:p w:rsidR="00982D80" w:rsidRPr="00982D80" w:rsidRDefault="00982D80" w:rsidP="00982D80">
            <w:pPr>
              <w:spacing w:line="240" w:lineRule="auto"/>
              <w:jc w:val="left"/>
              <w:rPr>
                <w:rStyle w:val="default"/>
                <w:rFonts w:cs="Frankruhel"/>
                <w:sz w:val="24"/>
                <w:szCs w:val="24"/>
                <w:rtl/>
              </w:rPr>
            </w:pPr>
            <w:r>
              <w:rPr>
                <w:rStyle w:val="default"/>
                <w:sz w:val="24"/>
                <w:szCs w:val="24"/>
                <w:rtl/>
              </w:rPr>
              <w:t>תוספת</w:t>
            </w:r>
          </w:p>
        </w:tc>
        <w:tc>
          <w:tcPr>
            <w:tcW w:w="567" w:type="dxa"/>
          </w:tcPr>
          <w:p w:rsidR="00982D80" w:rsidRPr="00982D80" w:rsidRDefault="00982D80" w:rsidP="00982D80">
            <w:pPr>
              <w:spacing w:line="240" w:lineRule="auto"/>
              <w:jc w:val="left"/>
              <w:rPr>
                <w:rStyle w:val="Hyperlink"/>
                <w:rtl/>
              </w:rPr>
            </w:pPr>
            <w:hyperlink w:anchor="med5" w:tooltip="תוספת" w:history="1">
              <w:r w:rsidRPr="00982D80">
                <w:rPr>
                  <w:rStyle w:val="Hyperlink"/>
                </w:rPr>
                <w:t>Go</w:t>
              </w:r>
            </w:hyperlink>
          </w:p>
        </w:tc>
        <w:tc>
          <w:tcPr>
            <w:tcW w:w="850" w:type="dxa"/>
          </w:tcPr>
          <w:p w:rsidR="00982D80" w:rsidRPr="00982D80" w:rsidRDefault="00982D80" w:rsidP="00982D8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bl>
    <w:p w:rsidR="00DD06B1" w:rsidRDefault="00DD06B1">
      <w:pPr>
        <w:pStyle w:val="big-header"/>
        <w:ind w:left="0" w:right="1134"/>
        <w:rPr>
          <w:rStyle w:val="default"/>
          <w:rFonts w:cs="FrankRuehl"/>
          <w:rtl/>
        </w:rPr>
      </w:pPr>
    </w:p>
    <w:p w:rsidR="00DD06B1" w:rsidRPr="002914E8" w:rsidRDefault="00DD06B1" w:rsidP="00301EEF">
      <w:pPr>
        <w:pStyle w:val="big-header"/>
        <w:ind w:left="0" w:right="1134"/>
        <w:rPr>
          <w:rStyle w:val="default"/>
          <w:rFonts w:cs="FrankRuehl" w:hint="cs"/>
          <w:sz w:val="32"/>
          <w:szCs w:val="32"/>
          <w:rtl/>
        </w:rPr>
      </w:pPr>
      <w:r>
        <w:rPr>
          <w:rStyle w:val="default"/>
          <w:rFonts w:cs="FrankRuehl"/>
          <w:rtl/>
        </w:rPr>
        <w:br w:type="page"/>
      </w:r>
      <w:r w:rsidR="00301EEF">
        <w:rPr>
          <w:rFonts w:cs="FrankRuehl" w:hint="cs"/>
          <w:sz w:val="32"/>
          <w:rtl/>
        </w:rPr>
        <w:lastRenderedPageBreak/>
        <w:t>חוק המאבק בתכנית הגרעין של איראן</w:t>
      </w:r>
      <w:r w:rsidR="00301EEF">
        <w:rPr>
          <w:rFonts w:cs="FrankRuehl"/>
          <w:sz w:val="32"/>
          <w:rtl/>
        </w:rPr>
        <w:t xml:space="preserve">, </w:t>
      </w:r>
      <w:r w:rsidR="00301EEF">
        <w:rPr>
          <w:rFonts w:cs="FrankRuehl" w:hint="cs"/>
          <w:sz w:val="32"/>
          <w:rtl/>
        </w:rPr>
        <w:t>תשע"ב-2012</w:t>
      </w:r>
      <w:r>
        <w:rPr>
          <w:rStyle w:val="default"/>
          <w:rtl/>
        </w:rPr>
        <w:footnoteReference w:customMarkFollows="1" w:id="1"/>
        <w:t>*</w:t>
      </w:r>
    </w:p>
    <w:p w:rsidR="00DD06B1" w:rsidRPr="008D4811" w:rsidRDefault="00BB5B79" w:rsidP="008D4811">
      <w:pPr>
        <w:pStyle w:val="medium2-header"/>
        <w:keepLines w:val="0"/>
        <w:spacing w:before="72"/>
        <w:ind w:left="0" w:right="1134"/>
        <w:rPr>
          <w:rFonts w:cs="FrankRuehl" w:hint="cs"/>
          <w:noProof/>
          <w:sz w:val="20"/>
          <w:rtl/>
        </w:rPr>
      </w:pPr>
      <w:bookmarkStart w:id="0" w:name="med0"/>
      <w:bookmarkEnd w:id="0"/>
      <w:r w:rsidRPr="008D4811">
        <w:rPr>
          <w:rFonts w:cs="FrankRuehl" w:hint="cs"/>
          <w:noProof/>
          <w:sz w:val="20"/>
          <w:rtl/>
        </w:rPr>
        <w:t>פרק א': מטרה ופרשנות</w:t>
      </w:r>
    </w:p>
    <w:p w:rsidR="00DD06B1" w:rsidRDefault="00DD06B1" w:rsidP="008D4811">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4pt;z-index:251632640" o:allowincell="f" filled="f" stroked="f" strokecolor="lime" strokeweight=".25pt">
            <v:textbox style="mso-next-textbox:#_x0000_s1026" inset="0,0,0,0">
              <w:txbxContent>
                <w:p w:rsidR="00A45F06" w:rsidRDefault="00A45F06">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8D4811">
        <w:rPr>
          <w:rStyle w:val="default"/>
          <w:rFonts w:cs="FrankRuehl" w:hint="cs"/>
          <w:rtl/>
        </w:rPr>
        <w:t xml:space="preserve">מטרתו של חוק זה הטלת סנקציות על גורמים המסייעים לאיראן </w:t>
      </w:r>
      <w:r w:rsidR="00014C7C">
        <w:rPr>
          <w:rStyle w:val="default"/>
          <w:rFonts w:cs="FrankRuehl" w:hint="cs"/>
          <w:rtl/>
        </w:rPr>
        <w:t>בקידום תכנית הגרעין שלה או בהשגת נשק להשמדה המונית או אמצעי נשיאה לנשק להשמדה המונית וקביעת מגבלות על תאגידים המקיימים קשר עסקי עם איראן, לטובתה או בשטחה, והכל כחלק מהמאבק הבין-לאומי בתכנית הגרעין של איראן.</w:t>
      </w:r>
    </w:p>
    <w:p w:rsidR="00DD06B1" w:rsidRDefault="00DD06B1" w:rsidP="00014C7C">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8.25pt;z-index:251633664" o:allowincell="f" filled="f" stroked="f" strokecolor="lime" strokeweight=".25pt">
            <v:textbox style="mso-next-textbox:#_x0000_s1027" inset="0,0,0,0">
              <w:txbxContent>
                <w:p w:rsidR="00A45F06" w:rsidRDefault="00A45F06">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2</w:t>
      </w:r>
      <w:r w:rsidRPr="00301EEF">
        <w:rPr>
          <w:rStyle w:val="default"/>
          <w:rFonts w:cs="FrankRuehl"/>
          <w:rtl/>
        </w:rPr>
        <w:t>.</w:t>
      </w:r>
      <w:r w:rsidRPr="00301EEF">
        <w:rPr>
          <w:rStyle w:val="default"/>
          <w:rFonts w:cs="FrankRuehl"/>
          <w:rtl/>
        </w:rPr>
        <w:tab/>
      </w:r>
      <w:r w:rsidR="00014C7C">
        <w:rPr>
          <w:rStyle w:val="default"/>
          <w:rFonts w:cs="FrankRuehl" w:hint="cs"/>
          <w:rtl/>
        </w:rPr>
        <w:t xml:space="preserve">בחוק זה </w:t>
      </w:r>
      <w:r w:rsidR="00014C7C">
        <w:rPr>
          <w:rStyle w:val="default"/>
          <w:rFonts w:cs="FrankRuehl"/>
          <w:rtl/>
        </w:rPr>
        <w:t>–</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"איראן" </w:t>
      </w:r>
      <w:r>
        <w:rPr>
          <w:rStyle w:val="default"/>
          <w:rFonts w:cs="FrankRuehl"/>
          <w:rtl/>
        </w:rPr>
        <w:t>–</w:t>
      </w:r>
      <w:r>
        <w:rPr>
          <w:rStyle w:val="default"/>
          <w:rFonts w:cs="FrankRuehl" w:hint="cs"/>
          <w:rtl/>
        </w:rPr>
        <w:t xml:space="preserve"> הרפובליקה האסלאמית של איראן;</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"בעל עניין", "נושא משרה", "ניירות ערך", ו"שליטה" </w:t>
      </w:r>
      <w:r>
        <w:rPr>
          <w:rStyle w:val="default"/>
          <w:rFonts w:cs="FrankRuehl"/>
          <w:rtl/>
        </w:rPr>
        <w:t>–</w:t>
      </w:r>
      <w:r>
        <w:rPr>
          <w:rStyle w:val="default"/>
          <w:rFonts w:cs="FrankRuehl" w:hint="cs"/>
          <w:rtl/>
        </w:rPr>
        <w:t xml:space="preserve"> כהגדרתם בחוק ניירות ערך;</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"גורם זר" </w:t>
      </w:r>
      <w:r>
        <w:rPr>
          <w:rStyle w:val="default"/>
          <w:rFonts w:cs="FrankRuehl"/>
          <w:rtl/>
        </w:rPr>
        <w:t>–</w:t>
      </w:r>
      <w:r>
        <w:rPr>
          <w:rStyle w:val="default"/>
          <w:rFonts w:cs="FrankRuehl" w:hint="cs"/>
          <w:rtl/>
        </w:rPr>
        <w:t xml:space="preserve"> מי שמתקיים לגביו אחד מאלה, לפי העניין:</w:t>
      </w:r>
    </w:p>
    <w:p w:rsidR="00014C7C" w:rsidRDefault="00014C7C" w:rsidP="00014C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יחיד </w:t>
      </w:r>
      <w:r>
        <w:rPr>
          <w:rStyle w:val="default"/>
          <w:rFonts w:cs="FrankRuehl"/>
          <w:rtl/>
        </w:rPr>
        <w:t>–</w:t>
      </w:r>
      <w:r>
        <w:rPr>
          <w:rStyle w:val="default"/>
          <w:rFonts w:cs="FrankRuehl" w:hint="cs"/>
          <w:rtl/>
        </w:rPr>
        <w:t xml:space="preserve"> הוא אינו אזרח ישראלי ואינו תושב ישראל;</w:t>
      </w:r>
    </w:p>
    <w:p w:rsidR="00014C7C" w:rsidRDefault="00014C7C" w:rsidP="00014C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חבר בני אדם </w:t>
      </w:r>
      <w:r>
        <w:rPr>
          <w:rStyle w:val="default"/>
          <w:rFonts w:cs="FrankRuehl"/>
          <w:rtl/>
        </w:rPr>
        <w:t>–</w:t>
      </w:r>
      <w:r>
        <w:rPr>
          <w:rStyle w:val="default"/>
          <w:rFonts w:cs="FrankRuehl" w:hint="cs"/>
          <w:rtl/>
        </w:rPr>
        <w:t xml:space="preserve"> מרכז פעילותו אינו בישראל, ואם הוא תאגיד </w:t>
      </w:r>
      <w:r>
        <w:rPr>
          <w:rStyle w:val="default"/>
          <w:rFonts w:cs="FrankRuehl"/>
          <w:rtl/>
        </w:rPr>
        <w:t>–</w:t>
      </w:r>
      <w:r>
        <w:rPr>
          <w:rStyle w:val="default"/>
          <w:rFonts w:cs="FrankRuehl" w:hint="cs"/>
          <w:rtl/>
        </w:rPr>
        <w:t xml:space="preserve"> מתקיימים בו גם שניים אלה:</w:t>
      </w:r>
    </w:p>
    <w:p w:rsidR="00014C7C" w:rsidRDefault="00014C7C" w:rsidP="00014C7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אינו רשום בישראל;</w:t>
      </w:r>
    </w:p>
    <w:p w:rsidR="00014C7C" w:rsidRDefault="00014C7C" w:rsidP="00014C7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השליטה בו אינה בידי תושב ישראל;</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"השקעה" </w:t>
      </w:r>
      <w:r>
        <w:rPr>
          <w:rStyle w:val="default"/>
          <w:rFonts w:cs="FrankRuehl"/>
          <w:rtl/>
        </w:rPr>
        <w:t>–</w:t>
      </w:r>
      <w:r>
        <w:rPr>
          <w:rStyle w:val="default"/>
          <w:rFonts w:cs="FrankRuehl" w:hint="cs"/>
          <w:rtl/>
        </w:rPr>
        <w:t xml:space="preserve"> החזקה של ניירות ערך או של זכויות אחרות בתאגיד, או מתן הלוואה לתאגיד ובלבד שסכום ההלוואה לא יפחת מחמישה אחוזים מההון העצמי של התאגיד;</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"הוועדה המייעצת" </w:t>
      </w:r>
      <w:r>
        <w:rPr>
          <w:rStyle w:val="default"/>
          <w:rFonts w:cs="FrankRuehl"/>
          <w:rtl/>
        </w:rPr>
        <w:t>–</w:t>
      </w:r>
      <w:r>
        <w:rPr>
          <w:rStyle w:val="default"/>
          <w:rFonts w:cs="FrankRuehl" w:hint="cs"/>
          <w:rtl/>
        </w:rPr>
        <w:t xml:space="preserve"> הוועדה שמונתה לפי סעיף 24;</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"ועדת השרים" </w:t>
      </w:r>
      <w:r>
        <w:rPr>
          <w:rStyle w:val="default"/>
          <w:rFonts w:cs="FrankRuehl"/>
          <w:rtl/>
        </w:rPr>
        <w:t>–</w:t>
      </w:r>
      <w:r>
        <w:rPr>
          <w:rStyle w:val="default"/>
          <w:rFonts w:cs="FrankRuehl" w:hint="cs"/>
          <w:rtl/>
        </w:rPr>
        <w:t xml:space="preserve"> ועדת השרים שהוקמה לפי סעיף 22;</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"חוק איסור הלבנת הון" </w:t>
      </w:r>
      <w:r>
        <w:rPr>
          <w:rStyle w:val="default"/>
          <w:rFonts w:cs="FrankRuehl"/>
          <w:rtl/>
        </w:rPr>
        <w:t>–</w:t>
      </w:r>
      <w:r>
        <w:rPr>
          <w:rStyle w:val="default"/>
          <w:rFonts w:cs="FrankRuehl" w:hint="cs"/>
          <w:rtl/>
        </w:rPr>
        <w:t xml:space="preserve"> חוק איסור הלבנת הון, התש"ס-2000;</w:t>
      </w:r>
    </w:p>
    <w:p w:rsidR="00014C7C" w:rsidRDefault="0097292E" w:rsidP="0097292E">
      <w:pPr>
        <w:pStyle w:val="P00"/>
        <w:spacing w:before="72"/>
        <w:ind w:left="0" w:right="1134"/>
        <w:rPr>
          <w:rStyle w:val="default"/>
          <w:rFonts w:cs="FrankRuehl"/>
          <w:rtl/>
        </w:rPr>
      </w:pPr>
      <w:r>
        <w:rPr>
          <w:lang w:val="he-IL"/>
        </w:rPr>
        <w:pict>
          <v:rect id="_x0000_s1093" style="position:absolute;left:0;text-align:left;margin-left:464.35pt;margin-top:7.1pt;width:75.05pt;height:15.35pt;z-index:251675648" o:allowincell="f" filled="f" stroked="f" strokecolor="lime" strokeweight=".25pt">
            <v:textbox style="mso-next-textbox:#_x0000_s1093" inset="0,0,0,0">
              <w:txbxContent>
                <w:p w:rsidR="0097292E" w:rsidRDefault="0097292E" w:rsidP="0097292E">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hint="cs"/>
          <w:rtl/>
        </w:rPr>
        <w:t xml:space="preserve">"חוק </w:t>
      </w:r>
      <w:r w:rsidR="00014C7C">
        <w:rPr>
          <w:rStyle w:val="default"/>
          <w:rFonts w:cs="FrankRuehl" w:hint="cs"/>
          <w:rtl/>
        </w:rPr>
        <w:t xml:space="preserve">איסור מימון טרור" </w:t>
      </w:r>
      <w:r w:rsidR="00014C7C">
        <w:rPr>
          <w:rStyle w:val="default"/>
          <w:rFonts w:cs="FrankRuehl"/>
          <w:rtl/>
        </w:rPr>
        <w:t>–</w:t>
      </w:r>
      <w:r w:rsidR="00014C7C">
        <w:rPr>
          <w:rStyle w:val="default"/>
          <w:rFonts w:cs="FrankRuehl" w:hint="cs"/>
          <w:rtl/>
        </w:rPr>
        <w:t xml:space="preserve"> </w:t>
      </w:r>
      <w:r>
        <w:rPr>
          <w:rStyle w:val="default"/>
          <w:rFonts w:cs="FrankRuehl" w:hint="cs"/>
          <w:rtl/>
        </w:rPr>
        <w:t>(נמחקה)</w:t>
      </w:r>
      <w:r w:rsidR="00014C7C">
        <w:rPr>
          <w:rStyle w:val="default"/>
          <w:rFonts w:cs="FrankRuehl" w:hint="cs"/>
          <w:rtl/>
        </w:rPr>
        <w:t>;</w:t>
      </w:r>
    </w:p>
    <w:p w:rsidR="0097292E" w:rsidRPr="0097292E" w:rsidRDefault="0097292E" w:rsidP="0097292E">
      <w:pPr>
        <w:pStyle w:val="P00"/>
        <w:spacing w:before="0"/>
        <w:ind w:left="0" w:right="1134"/>
        <w:rPr>
          <w:rStyle w:val="default"/>
          <w:rFonts w:ascii="FrankRuehl" w:hAnsi="FrankRuehl" w:cs="FrankRuehl"/>
          <w:vanish/>
          <w:color w:val="FF0000"/>
          <w:sz w:val="20"/>
          <w:szCs w:val="20"/>
          <w:shd w:val="clear" w:color="auto" w:fill="FFFF99"/>
          <w:rtl/>
        </w:rPr>
      </w:pPr>
      <w:bookmarkStart w:id="3" w:name="Rov53"/>
      <w:r w:rsidRPr="0097292E">
        <w:rPr>
          <w:rStyle w:val="default"/>
          <w:rFonts w:ascii="FrankRuehl" w:hAnsi="FrankRuehl" w:cs="FrankRuehl"/>
          <w:vanish/>
          <w:color w:val="FF0000"/>
          <w:sz w:val="20"/>
          <w:szCs w:val="20"/>
          <w:shd w:val="clear" w:color="auto" w:fill="FFFF99"/>
          <w:rtl/>
        </w:rPr>
        <w:t>מיום 11.3.2018</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b/>
          <w:bCs/>
          <w:vanish/>
          <w:sz w:val="20"/>
          <w:szCs w:val="20"/>
          <w:shd w:val="clear" w:color="auto" w:fill="FFFF99"/>
          <w:rtl/>
        </w:rPr>
        <w:t>תיקון מס' 1</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hyperlink r:id="rId6" w:history="1">
        <w:r w:rsidRPr="0097292E">
          <w:rPr>
            <w:rStyle w:val="Hyperlink"/>
            <w:rFonts w:ascii="FrankRuehl" w:hAnsi="FrankRuehl" w:cs="FrankRuehl"/>
            <w:vanish/>
            <w:szCs w:val="20"/>
            <w:shd w:val="clear" w:color="auto" w:fill="FFFF99"/>
            <w:rtl/>
          </w:rPr>
          <w:t>ס"ח תשע"ח מס' 2699</w:t>
        </w:r>
      </w:hyperlink>
      <w:r w:rsidRPr="0097292E">
        <w:rPr>
          <w:rStyle w:val="default"/>
          <w:rFonts w:ascii="FrankRuehl" w:hAnsi="FrankRuehl" w:cs="FrankRuehl"/>
          <w:vanish/>
          <w:sz w:val="20"/>
          <w:szCs w:val="20"/>
          <w:shd w:val="clear" w:color="auto" w:fill="FFFF99"/>
          <w:rtl/>
        </w:rPr>
        <w:t xml:space="preserve"> מיום 11.3.2018 עמ' 239 (</w:t>
      </w:r>
      <w:hyperlink r:id="rId7" w:history="1">
        <w:r w:rsidRPr="0097292E">
          <w:rPr>
            <w:rStyle w:val="Hyperlink"/>
            <w:rFonts w:ascii="FrankRuehl" w:hAnsi="FrankRuehl" w:cs="FrankRuehl"/>
            <w:vanish/>
            <w:szCs w:val="20"/>
            <w:shd w:val="clear" w:color="auto" w:fill="FFFF99"/>
            <w:rtl/>
          </w:rPr>
          <w:t>ה"ח 1186</w:t>
        </w:r>
      </w:hyperlink>
      <w:r w:rsidRPr="0097292E">
        <w:rPr>
          <w:rStyle w:val="default"/>
          <w:rFonts w:ascii="FrankRuehl" w:hAnsi="FrankRuehl" w:cs="FrankRuehl"/>
          <w:vanish/>
          <w:sz w:val="20"/>
          <w:szCs w:val="20"/>
          <w:shd w:val="clear" w:color="auto" w:fill="FFFF99"/>
          <w:rtl/>
        </w:rPr>
        <w:t>)</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hint="cs"/>
          <w:b/>
          <w:bCs/>
          <w:vanish/>
          <w:sz w:val="20"/>
          <w:szCs w:val="20"/>
          <w:shd w:val="clear" w:color="auto" w:fill="FFFF99"/>
          <w:rtl/>
        </w:rPr>
        <w:t>מחיקת הגדרת "חוק איסור מימון טרור"</w:t>
      </w:r>
    </w:p>
    <w:p w:rsidR="0097292E" w:rsidRPr="0097292E" w:rsidRDefault="0097292E" w:rsidP="0097292E">
      <w:pPr>
        <w:pStyle w:val="P0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hint="cs"/>
          <w:vanish/>
          <w:sz w:val="20"/>
          <w:szCs w:val="20"/>
          <w:shd w:val="clear" w:color="auto" w:fill="FFFF99"/>
          <w:rtl/>
        </w:rPr>
        <w:t>הנוסח הקודם:</w:t>
      </w:r>
    </w:p>
    <w:p w:rsidR="0097292E" w:rsidRPr="0097292E" w:rsidRDefault="0097292E" w:rsidP="0097292E">
      <w:pPr>
        <w:pStyle w:val="P00"/>
        <w:spacing w:before="0"/>
        <w:ind w:left="0" w:right="1134"/>
        <w:rPr>
          <w:rStyle w:val="default"/>
          <w:rFonts w:cs="FrankRuehl"/>
          <w:strike/>
          <w:sz w:val="2"/>
          <w:szCs w:val="2"/>
          <w:rtl/>
        </w:rPr>
      </w:pPr>
      <w:r w:rsidRPr="0097292E">
        <w:rPr>
          <w:rStyle w:val="default"/>
          <w:rFonts w:cs="FrankRuehl" w:hint="cs"/>
          <w:vanish/>
          <w:sz w:val="22"/>
          <w:szCs w:val="22"/>
          <w:shd w:val="clear" w:color="auto" w:fill="FFFF99"/>
          <w:rtl/>
        </w:rPr>
        <w:tab/>
      </w:r>
      <w:r w:rsidRPr="0097292E">
        <w:rPr>
          <w:rStyle w:val="default"/>
          <w:rFonts w:cs="FrankRuehl" w:hint="cs"/>
          <w:strike/>
          <w:vanish/>
          <w:sz w:val="22"/>
          <w:szCs w:val="22"/>
          <w:shd w:val="clear" w:color="auto" w:fill="FFFF99"/>
          <w:rtl/>
        </w:rPr>
        <w:t xml:space="preserve">"חוק איסור מימון טרור" </w:t>
      </w:r>
      <w:r w:rsidRPr="0097292E">
        <w:rPr>
          <w:rStyle w:val="default"/>
          <w:rFonts w:cs="FrankRuehl"/>
          <w:strike/>
          <w:vanish/>
          <w:sz w:val="22"/>
          <w:szCs w:val="22"/>
          <w:shd w:val="clear" w:color="auto" w:fill="FFFF99"/>
          <w:rtl/>
        </w:rPr>
        <w:t>–</w:t>
      </w:r>
      <w:r w:rsidRPr="0097292E">
        <w:rPr>
          <w:rStyle w:val="default"/>
          <w:rFonts w:cs="FrankRuehl" w:hint="cs"/>
          <w:strike/>
          <w:vanish/>
          <w:sz w:val="22"/>
          <w:szCs w:val="22"/>
          <w:shd w:val="clear" w:color="auto" w:fill="FFFF99"/>
          <w:rtl/>
        </w:rPr>
        <w:t xml:space="preserve"> חוק איסור מימון טרור, התשס"ה-2005;</w:t>
      </w:r>
      <w:bookmarkEnd w:id="3"/>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"חוק חובת המכרזים" </w:t>
      </w:r>
      <w:r>
        <w:rPr>
          <w:rStyle w:val="default"/>
          <w:rFonts w:cs="FrankRuehl"/>
          <w:rtl/>
        </w:rPr>
        <w:t>–</w:t>
      </w:r>
      <w:r>
        <w:rPr>
          <w:rStyle w:val="default"/>
          <w:rFonts w:cs="FrankRuehl" w:hint="cs"/>
          <w:rtl/>
        </w:rPr>
        <w:t xml:space="preserve"> חוק חובת המכרזים, התשנ"ב-1992;</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"חוק מאבק בארגוני פשיעה" </w:t>
      </w:r>
      <w:r>
        <w:rPr>
          <w:rStyle w:val="default"/>
          <w:rFonts w:cs="FrankRuehl"/>
          <w:rtl/>
        </w:rPr>
        <w:t>–</w:t>
      </w:r>
      <w:r>
        <w:rPr>
          <w:rStyle w:val="default"/>
          <w:rFonts w:cs="FrankRuehl" w:hint="cs"/>
          <w:rtl/>
        </w:rPr>
        <w:t xml:space="preserve"> חוק מאבק בארגוני פשיעה, התשס"ג-2003;</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"חוק ניירות ערך" </w:t>
      </w:r>
      <w:r>
        <w:rPr>
          <w:rStyle w:val="default"/>
          <w:rFonts w:cs="FrankRuehl"/>
          <w:rtl/>
        </w:rPr>
        <w:t>–</w:t>
      </w:r>
      <w:r>
        <w:rPr>
          <w:rStyle w:val="default"/>
          <w:rFonts w:cs="FrankRuehl" w:hint="cs"/>
          <w:rtl/>
        </w:rPr>
        <w:t xml:space="preserve"> חוק ניירות ערך, התשכ"ח-1968;</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"מדינה זרה" </w:t>
      </w:r>
      <w:r>
        <w:rPr>
          <w:rStyle w:val="default"/>
          <w:rFonts w:cs="FrankRuehl"/>
          <w:rtl/>
        </w:rPr>
        <w:t>–</w:t>
      </w:r>
      <w:r>
        <w:rPr>
          <w:rStyle w:val="default"/>
          <w:rFonts w:cs="FrankRuehl" w:hint="cs"/>
          <w:rtl/>
        </w:rPr>
        <w:t xml:space="preserve"> לרבות איחוד, ארגון או חבר של מדינות זרות;</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"מטה הסנקציות" </w:t>
      </w:r>
      <w:r>
        <w:rPr>
          <w:rStyle w:val="default"/>
          <w:rFonts w:cs="FrankRuehl"/>
          <w:rtl/>
        </w:rPr>
        <w:t>–</w:t>
      </w:r>
      <w:r>
        <w:rPr>
          <w:rStyle w:val="default"/>
          <w:rFonts w:cs="FrankRuehl" w:hint="cs"/>
          <w:rtl/>
        </w:rPr>
        <w:t xml:space="preserve"> המטה שהוקם לפי סעיף 26;</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"מידע חסוי" </w:t>
      </w:r>
      <w:r>
        <w:rPr>
          <w:rStyle w:val="default"/>
          <w:rFonts w:cs="FrankRuehl"/>
          <w:rtl/>
        </w:rPr>
        <w:t>–</w:t>
      </w:r>
      <w:r>
        <w:rPr>
          <w:rStyle w:val="default"/>
          <w:rFonts w:cs="FrankRuehl" w:hint="cs"/>
          <w:rtl/>
        </w:rPr>
        <w:t xml:space="preserve"> כמשמעותו בסעיף 19(א);</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"משרד ממשלתי" </w:t>
      </w:r>
      <w:r>
        <w:rPr>
          <w:rStyle w:val="default"/>
          <w:rFonts w:cs="FrankRuehl"/>
          <w:rtl/>
        </w:rPr>
        <w:t>–</w:t>
      </w:r>
      <w:r>
        <w:rPr>
          <w:rStyle w:val="default"/>
          <w:rFonts w:cs="FrankRuehl" w:hint="cs"/>
          <w:rtl/>
        </w:rPr>
        <w:t xml:space="preserve"> לרבות יחידת סמך של משרד ממשלתי;</w:t>
      </w:r>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"סיוע לאיראן בקידום תכנית הגרעין שלה או בהשגת נשק להשמדה המונית או אמצעי נשיאה לנשק כאמור" </w:t>
      </w:r>
      <w:r>
        <w:rPr>
          <w:rStyle w:val="default"/>
          <w:rFonts w:cs="FrankRuehl"/>
          <w:rtl/>
        </w:rPr>
        <w:t>–</w:t>
      </w:r>
      <w:r>
        <w:rPr>
          <w:rStyle w:val="default"/>
          <w:rFonts w:cs="FrankRuehl" w:hint="cs"/>
          <w:rtl/>
        </w:rPr>
        <w:t xml:space="preserve"> ביצוע פעולה שיש בה כדי לקדם את תכנית הגרעין של איראן או כדי לקדם פיתוח או ייצור של נשק להשמדה המונית באיראן או אמצעי נשיאה לנשק כאמור, ובכלל זה מכירה או העברה של טובין, של טכנולוגיה או של מידע, או מתן שירותים, לרבות שירותים פיננסיים או שירותים לוגיסטיים;</w:t>
      </w:r>
    </w:p>
    <w:p w:rsidR="00014C7C" w:rsidRDefault="0097292E" w:rsidP="0097292E">
      <w:pPr>
        <w:pStyle w:val="P00"/>
        <w:spacing w:before="72"/>
        <w:ind w:left="0" w:right="1134"/>
        <w:rPr>
          <w:rStyle w:val="default"/>
          <w:rFonts w:cs="FrankRuehl"/>
          <w:rtl/>
        </w:rPr>
      </w:pPr>
      <w:r>
        <w:rPr>
          <w:lang w:val="he-IL"/>
        </w:rPr>
        <w:pict>
          <v:rect id="_x0000_s1094" style="position:absolute;left:0;text-align:left;margin-left:464.35pt;margin-top:7.1pt;width:75.05pt;height:15.35pt;z-index:251676672" o:allowincell="f" filled="f" stroked="f" strokecolor="lime" strokeweight=".25pt">
            <v:textbox style="mso-next-textbox:#_x0000_s1094" inset="0,0,0,0">
              <w:txbxContent>
                <w:p w:rsidR="0097292E" w:rsidRDefault="0097292E" w:rsidP="0097292E">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hint="cs"/>
          <w:rtl/>
        </w:rPr>
        <w:t>"</w:t>
      </w:r>
      <w:r w:rsidR="00014C7C">
        <w:rPr>
          <w:rStyle w:val="default"/>
          <w:rFonts w:cs="FrankRuehl" w:hint="cs"/>
          <w:rtl/>
        </w:rPr>
        <w:t xml:space="preserve">פעילות כלכלית" </w:t>
      </w:r>
      <w:r w:rsidR="00014C7C">
        <w:rPr>
          <w:rStyle w:val="default"/>
          <w:rFonts w:cs="FrankRuehl"/>
          <w:rtl/>
        </w:rPr>
        <w:t>–</w:t>
      </w:r>
      <w:r w:rsidR="00014C7C">
        <w:rPr>
          <w:rStyle w:val="default"/>
          <w:rFonts w:cs="FrankRuehl" w:hint="cs"/>
          <w:rtl/>
        </w:rPr>
        <w:t xml:space="preserve"> כל פעילות שיש לה ערך כלכלי, בין שנעשית בתמורה ובין שנעשית שלא בתמורה, ובכלל זה סחר, מתן או קבלה של הלוואה, מתן או קבלה של שירות לרבות שירות פיננסי, הקניה או קבלה של בעלות או של זכות אחרת ברכוש</w:t>
      </w:r>
      <w:r>
        <w:rPr>
          <w:rStyle w:val="default"/>
          <w:rFonts w:cs="FrankRuehl" w:hint="cs"/>
          <w:rtl/>
        </w:rPr>
        <w:t xml:space="preserve"> </w:t>
      </w:r>
      <w:r w:rsidRPr="0097292E">
        <w:rPr>
          <w:rStyle w:val="default"/>
          <w:rFonts w:cs="FrankRuehl" w:hint="cs"/>
          <w:rtl/>
        </w:rPr>
        <w:t>או מתן זכות כלכלית לפי דין</w:t>
      </w:r>
      <w:r w:rsidR="00014C7C">
        <w:rPr>
          <w:rStyle w:val="default"/>
          <w:rFonts w:cs="FrankRuehl" w:hint="cs"/>
          <w:rtl/>
        </w:rPr>
        <w:t>;</w:t>
      </w:r>
    </w:p>
    <w:p w:rsidR="0097292E" w:rsidRPr="0097292E" w:rsidRDefault="0097292E" w:rsidP="0097292E">
      <w:pPr>
        <w:pStyle w:val="P00"/>
        <w:spacing w:before="0"/>
        <w:ind w:left="0" w:right="1134"/>
        <w:rPr>
          <w:rStyle w:val="default"/>
          <w:rFonts w:ascii="FrankRuehl" w:hAnsi="FrankRuehl" w:cs="FrankRuehl"/>
          <w:vanish/>
          <w:color w:val="FF0000"/>
          <w:sz w:val="20"/>
          <w:szCs w:val="20"/>
          <w:shd w:val="clear" w:color="auto" w:fill="FFFF99"/>
          <w:rtl/>
        </w:rPr>
      </w:pPr>
      <w:bookmarkStart w:id="4" w:name="Rov54"/>
      <w:r w:rsidRPr="0097292E">
        <w:rPr>
          <w:rStyle w:val="default"/>
          <w:rFonts w:ascii="FrankRuehl" w:hAnsi="FrankRuehl" w:cs="FrankRuehl"/>
          <w:vanish/>
          <w:color w:val="FF0000"/>
          <w:sz w:val="20"/>
          <w:szCs w:val="20"/>
          <w:shd w:val="clear" w:color="auto" w:fill="FFFF99"/>
          <w:rtl/>
        </w:rPr>
        <w:t>מיום 11.3.2018</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b/>
          <w:bCs/>
          <w:vanish/>
          <w:sz w:val="20"/>
          <w:szCs w:val="20"/>
          <w:shd w:val="clear" w:color="auto" w:fill="FFFF99"/>
          <w:rtl/>
        </w:rPr>
        <w:t>תיקון מס' 1</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hyperlink r:id="rId8" w:history="1">
        <w:r w:rsidRPr="0097292E">
          <w:rPr>
            <w:rStyle w:val="Hyperlink"/>
            <w:rFonts w:ascii="FrankRuehl" w:hAnsi="FrankRuehl" w:cs="FrankRuehl"/>
            <w:vanish/>
            <w:szCs w:val="20"/>
            <w:shd w:val="clear" w:color="auto" w:fill="FFFF99"/>
            <w:rtl/>
          </w:rPr>
          <w:t>ס"ח תשע"ח מס' 2699</w:t>
        </w:r>
      </w:hyperlink>
      <w:r w:rsidRPr="0097292E">
        <w:rPr>
          <w:rStyle w:val="default"/>
          <w:rFonts w:ascii="FrankRuehl" w:hAnsi="FrankRuehl" w:cs="FrankRuehl"/>
          <w:vanish/>
          <w:sz w:val="20"/>
          <w:szCs w:val="20"/>
          <w:shd w:val="clear" w:color="auto" w:fill="FFFF99"/>
          <w:rtl/>
        </w:rPr>
        <w:t xml:space="preserve"> מיום 11.3.2018 עמ' 239 (</w:t>
      </w:r>
      <w:hyperlink r:id="rId9" w:history="1">
        <w:r w:rsidRPr="0097292E">
          <w:rPr>
            <w:rStyle w:val="Hyperlink"/>
            <w:rFonts w:ascii="FrankRuehl" w:hAnsi="FrankRuehl" w:cs="FrankRuehl"/>
            <w:vanish/>
            <w:szCs w:val="20"/>
            <w:shd w:val="clear" w:color="auto" w:fill="FFFF99"/>
            <w:rtl/>
          </w:rPr>
          <w:t>ה"ח 1186</w:t>
        </w:r>
      </w:hyperlink>
      <w:r w:rsidRPr="0097292E">
        <w:rPr>
          <w:rStyle w:val="default"/>
          <w:rFonts w:ascii="FrankRuehl" w:hAnsi="FrankRuehl" w:cs="FrankRuehl"/>
          <w:vanish/>
          <w:sz w:val="20"/>
          <w:szCs w:val="20"/>
          <w:shd w:val="clear" w:color="auto" w:fill="FFFF99"/>
          <w:rtl/>
        </w:rPr>
        <w:t>)</w:t>
      </w:r>
    </w:p>
    <w:p w:rsidR="0097292E" w:rsidRPr="0097292E" w:rsidRDefault="0097292E" w:rsidP="0097292E">
      <w:pPr>
        <w:pStyle w:val="P00"/>
        <w:ind w:left="0" w:right="1134"/>
        <w:rPr>
          <w:rStyle w:val="default"/>
          <w:rFonts w:cs="FrankRuehl"/>
          <w:sz w:val="2"/>
          <w:szCs w:val="2"/>
          <w:rtl/>
        </w:rPr>
      </w:pPr>
      <w:r w:rsidRPr="0097292E">
        <w:rPr>
          <w:rFonts w:cs="FrankRuehl"/>
          <w:vanish/>
          <w:sz w:val="22"/>
          <w:szCs w:val="22"/>
          <w:shd w:val="clear" w:color="auto" w:fill="FFFF99"/>
          <w:rtl/>
        </w:rPr>
        <w:tab/>
      </w:r>
      <w:r w:rsidRPr="0097292E">
        <w:rPr>
          <w:rStyle w:val="default"/>
          <w:rFonts w:cs="FrankRuehl" w:hint="cs"/>
          <w:vanish/>
          <w:sz w:val="22"/>
          <w:szCs w:val="22"/>
          <w:shd w:val="clear" w:color="auto" w:fill="FFFF99"/>
          <w:rtl/>
        </w:rPr>
        <w:t xml:space="preserve">"פעילות כלכלית" </w:t>
      </w:r>
      <w:r w:rsidRPr="0097292E">
        <w:rPr>
          <w:rStyle w:val="default"/>
          <w:rFonts w:cs="FrankRuehl"/>
          <w:vanish/>
          <w:sz w:val="22"/>
          <w:szCs w:val="22"/>
          <w:shd w:val="clear" w:color="auto" w:fill="FFFF99"/>
          <w:rtl/>
        </w:rPr>
        <w:t>–</w:t>
      </w:r>
      <w:r w:rsidRPr="0097292E">
        <w:rPr>
          <w:rStyle w:val="default"/>
          <w:rFonts w:cs="FrankRuehl" w:hint="cs"/>
          <w:vanish/>
          <w:sz w:val="22"/>
          <w:szCs w:val="22"/>
          <w:shd w:val="clear" w:color="auto" w:fill="FFFF99"/>
          <w:rtl/>
        </w:rPr>
        <w:t xml:space="preserve"> כל פעילות שיש לה ערך כלכלי, בין שנעשית בתמורה ובין שנעשית שלא בתמורה, ובכלל זה סחר, מתן או קבלה של הלוואה, מתן או קבלה של שירות לרבות שירות פיננסי, </w:t>
      </w:r>
      <w:r w:rsidRPr="0097292E">
        <w:rPr>
          <w:rStyle w:val="default"/>
          <w:rFonts w:cs="FrankRuehl" w:hint="cs"/>
          <w:strike/>
          <w:vanish/>
          <w:sz w:val="22"/>
          <w:szCs w:val="22"/>
          <w:shd w:val="clear" w:color="auto" w:fill="FFFF99"/>
          <w:rtl/>
        </w:rPr>
        <w:t>או הקניה</w:t>
      </w:r>
      <w:r w:rsidRPr="0097292E">
        <w:rPr>
          <w:rStyle w:val="default"/>
          <w:rFonts w:cs="FrankRuehl" w:hint="cs"/>
          <w:vanish/>
          <w:sz w:val="22"/>
          <w:szCs w:val="22"/>
          <w:shd w:val="clear" w:color="auto" w:fill="FFFF99"/>
          <w:rtl/>
        </w:rPr>
        <w:t xml:space="preserve"> </w:t>
      </w:r>
      <w:r w:rsidRPr="0097292E">
        <w:rPr>
          <w:rStyle w:val="default"/>
          <w:rFonts w:cs="FrankRuehl" w:hint="cs"/>
          <w:vanish/>
          <w:sz w:val="22"/>
          <w:szCs w:val="22"/>
          <w:u w:val="single"/>
          <w:shd w:val="clear" w:color="auto" w:fill="FFFF99"/>
          <w:rtl/>
        </w:rPr>
        <w:t>הקניה</w:t>
      </w:r>
      <w:r w:rsidRPr="0097292E">
        <w:rPr>
          <w:rStyle w:val="default"/>
          <w:rFonts w:cs="FrankRuehl" w:hint="cs"/>
          <w:vanish/>
          <w:sz w:val="22"/>
          <w:szCs w:val="22"/>
          <w:shd w:val="clear" w:color="auto" w:fill="FFFF99"/>
          <w:rtl/>
        </w:rPr>
        <w:t xml:space="preserve"> או קבלה של בעלות או של זכות אחרת ברכוש </w:t>
      </w:r>
      <w:r w:rsidRPr="0097292E">
        <w:rPr>
          <w:rStyle w:val="default"/>
          <w:rFonts w:cs="FrankRuehl" w:hint="cs"/>
          <w:vanish/>
          <w:sz w:val="22"/>
          <w:szCs w:val="22"/>
          <w:u w:val="single"/>
          <w:shd w:val="clear" w:color="auto" w:fill="FFFF99"/>
          <w:rtl/>
        </w:rPr>
        <w:t>או מתן זכות כלכלית לפי דין</w:t>
      </w:r>
      <w:r w:rsidRPr="0097292E">
        <w:rPr>
          <w:rStyle w:val="default"/>
          <w:rFonts w:cs="FrankRuehl" w:hint="cs"/>
          <w:vanish/>
          <w:sz w:val="22"/>
          <w:szCs w:val="22"/>
          <w:shd w:val="clear" w:color="auto" w:fill="FFFF99"/>
          <w:rtl/>
        </w:rPr>
        <w:t>;</w:t>
      </w:r>
      <w:bookmarkEnd w:id="4"/>
    </w:p>
    <w:p w:rsidR="00014C7C" w:rsidRDefault="00014C7C" w:rsidP="00014C7C">
      <w:pPr>
        <w:pStyle w:val="P00"/>
        <w:spacing w:before="72"/>
        <w:ind w:left="0" w:right="1134"/>
        <w:rPr>
          <w:rStyle w:val="default"/>
          <w:rFonts w:cs="FrankRuehl" w:hint="cs"/>
          <w:rtl/>
        </w:rPr>
      </w:pPr>
      <w:r>
        <w:rPr>
          <w:rStyle w:val="default"/>
          <w:rFonts w:cs="FrankRuehl" w:hint="cs"/>
          <w:rtl/>
        </w:rPr>
        <w:tab/>
        <w:t xml:space="preserve">"פקודת המסחר עם האויב" </w:t>
      </w:r>
      <w:r>
        <w:rPr>
          <w:rStyle w:val="default"/>
          <w:rFonts w:cs="FrankRuehl"/>
          <w:rtl/>
        </w:rPr>
        <w:t>–</w:t>
      </w:r>
      <w:r>
        <w:rPr>
          <w:rStyle w:val="default"/>
          <w:rFonts w:cs="FrankRuehl" w:hint="cs"/>
          <w:rtl/>
        </w:rPr>
        <w:t xml:space="preserve"> פקודת המסחר עם האויב, 1939;</w:t>
      </w:r>
    </w:p>
    <w:p w:rsidR="00014C7C" w:rsidRDefault="00014C7C" w:rsidP="00014C7C">
      <w:pPr>
        <w:pStyle w:val="P00"/>
        <w:spacing w:before="72"/>
        <w:ind w:left="0" w:right="1134"/>
        <w:rPr>
          <w:rStyle w:val="default"/>
          <w:rFonts w:cs="FrankRuehl" w:hint="cs"/>
          <w:rtl/>
        </w:rPr>
      </w:pPr>
      <w:r>
        <w:rPr>
          <w:rStyle w:val="default"/>
          <w:rFonts w:cs="FrankRuehl" w:hint="cs"/>
          <w:rtl/>
        </w:rPr>
        <w:tab/>
        <w:t>"</w:t>
      </w:r>
      <w:r w:rsidR="009E379E">
        <w:rPr>
          <w:rStyle w:val="default"/>
          <w:rFonts w:cs="FrankRuehl" w:hint="cs"/>
          <w:rtl/>
        </w:rPr>
        <w:t xml:space="preserve">קשר עסקי מהותי עם איראן" </w:t>
      </w:r>
      <w:r w:rsidR="009E379E">
        <w:rPr>
          <w:rStyle w:val="default"/>
          <w:rFonts w:cs="FrankRuehl"/>
          <w:rtl/>
        </w:rPr>
        <w:t>–</w:t>
      </w:r>
      <w:r w:rsidR="009E379E">
        <w:rPr>
          <w:rStyle w:val="default"/>
          <w:rFonts w:cs="FrankRuehl" w:hint="cs"/>
          <w:rtl/>
        </w:rPr>
        <w:t xml:space="preserve"> כל אחד מאלה:</w:t>
      </w:r>
    </w:p>
    <w:p w:rsidR="009E379E" w:rsidRDefault="009E379E" w:rsidP="009E37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פעילות כלכלית שתוצאתה פיתוח של פרויקט באיראן הקשור למשאבי נפט או גז, לרבות פיתוח של מיתקן הקשור להפקתם, לזיקוקם או לשינועם של נפט או של גז או להפקת מוצרים נלווים להם, ובלבד שהפעילות היא בסכום העולה על שלושה מיליון שקלים חדשים, בין בפעולה בודדת ובין בכמה פעולות המצטברות לסכום האמור בתוך תקופה של 12 חודשים;</w:t>
      </w:r>
    </w:p>
    <w:p w:rsidR="009E379E" w:rsidRDefault="009E379E" w:rsidP="009E37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פעילות כלכלית בתחום הפטרוכימיה באיראן או פעילות כלכלית שתוצאתה פיתוח של פרויקט בתחום הפטרוכימיה באיראן, ובלבד שהפעילות היא בסכום העולה על 750,000 שקלים חדשים, בין בפעולה בודדת ובין בכמה פעולות המצטברות לסכום האמור בתוך תקופה של 12 חודשים;</w:t>
      </w:r>
    </w:p>
    <w:p w:rsidR="009E379E" w:rsidRDefault="009E379E" w:rsidP="009E379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מכירה או אספקה של תזקיקי נפט המיועדים להגיע לאיראן, בסכום העולה על 15 מיליון שקלים חדשים, בין בפעולה בודדת ובין בכמה פעולות המצטברות לסכום האמור בתוך תקופה של 12 חודשים;</w:t>
      </w:r>
    </w:p>
    <w:p w:rsidR="009E379E" w:rsidRDefault="009E379E" w:rsidP="009E379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מתן שירותי ספנות או תובלה בקשר לפעילות כאמור בפסקאות (1) עד (3), באופן מתמשך ועקבי במהלך 24 חודשים;</w:t>
      </w:r>
    </w:p>
    <w:p w:rsidR="009E379E" w:rsidRDefault="009E379E" w:rsidP="009E379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מתן שירותי ערבות, מימון, ביטוח, ביטוח משנה או תיווך בקשר לפעילות כאמור בפסקאות (1) עד (3), באופן מתמשך ועקבי, במהלך 24 חודשים;</w:t>
      </w:r>
    </w:p>
    <w:p w:rsidR="009E379E" w:rsidRDefault="009E379E" w:rsidP="009E379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 פעילות בתחום, בענף או מסוג ובהיקף, שקבע שר האוצר, בצו, על פי המלצת ועדת השרים ובהתייעצות עם ראש הממשלה;</w:t>
      </w:r>
    </w:p>
    <w:p w:rsidR="009E379E" w:rsidRDefault="009E379E" w:rsidP="00014C7C">
      <w:pPr>
        <w:pStyle w:val="P00"/>
        <w:spacing w:before="72"/>
        <w:ind w:left="0" w:right="1134"/>
        <w:rPr>
          <w:rStyle w:val="default"/>
          <w:rFonts w:cs="FrankRuehl" w:hint="cs"/>
          <w:rtl/>
        </w:rPr>
      </w:pPr>
      <w:r>
        <w:rPr>
          <w:rStyle w:val="default"/>
          <w:rFonts w:cs="FrankRuehl" w:hint="cs"/>
          <w:rtl/>
        </w:rPr>
        <w:tab/>
        <w:t xml:space="preserve">"רכוש" </w:t>
      </w:r>
      <w:r>
        <w:rPr>
          <w:rStyle w:val="default"/>
          <w:rFonts w:cs="FrankRuehl"/>
          <w:rtl/>
        </w:rPr>
        <w:t>–</w:t>
      </w:r>
      <w:r>
        <w:rPr>
          <w:rStyle w:val="default"/>
          <w:rFonts w:cs="FrankRuehl" w:hint="cs"/>
          <w:rtl/>
        </w:rPr>
        <w:t xml:space="preserve"> מקרקעין, מיטלטלין, כספים וזכויות, לרבות רכוש שהוא תמורתו של רכוש כאמור, וכל רכוש שצמח או שבא מרכוש כאמור או מרווחיו;</w:t>
      </w:r>
    </w:p>
    <w:p w:rsidR="009E379E" w:rsidRDefault="009E379E" w:rsidP="00014C7C">
      <w:pPr>
        <w:pStyle w:val="P00"/>
        <w:spacing w:before="72"/>
        <w:ind w:left="0" w:right="1134"/>
        <w:rPr>
          <w:rStyle w:val="default"/>
          <w:rFonts w:cs="FrankRuehl" w:hint="cs"/>
          <w:rtl/>
        </w:rPr>
      </w:pPr>
      <w:r>
        <w:rPr>
          <w:rStyle w:val="default"/>
          <w:rFonts w:cs="FrankRuehl" w:hint="cs"/>
          <w:rtl/>
        </w:rPr>
        <w:tab/>
        <w:t xml:space="preserve">"רכוש הקשור לעבירה" </w:t>
      </w:r>
      <w:r>
        <w:rPr>
          <w:rStyle w:val="default"/>
          <w:rFonts w:cs="FrankRuehl"/>
          <w:rtl/>
        </w:rPr>
        <w:t>–</w:t>
      </w:r>
      <w:r>
        <w:rPr>
          <w:rStyle w:val="default"/>
          <w:rFonts w:cs="FrankRuehl" w:hint="cs"/>
          <w:rtl/>
        </w:rPr>
        <w:t xml:space="preserve"> רכוש שמתקיים בו אחד מאלה:</w:t>
      </w:r>
    </w:p>
    <w:p w:rsidR="009E379E" w:rsidRDefault="009E379E" w:rsidP="009E37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נעברה בו עבירה, שימש לביצוע עבירה, איפשר או קידם ביצוע עבירה או שיועד לביצוע עבירה;</w:t>
      </w:r>
    </w:p>
    <w:p w:rsidR="009E379E" w:rsidRDefault="009E379E" w:rsidP="009E37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הושג כשכר או כתגמול בעד ביצוע עבירה, יועד להיות שכר או תגמול בעד ביצועה או הושג כתוצאה מביצועה, והכל במישרין או בעקיפין;</w:t>
      </w:r>
    </w:p>
    <w:p w:rsidR="009E379E" w:rsidRDefault="009E379E" w:rsidP="009E379E">
      <w:pPr>
        <w:pStyle w:val="P00"/>
        <w:spacing w:before="72"/>
        <w:ind w:left="0" w:right="1134"/>
        <w:rPr>
          <w:rStyle w:val="default"/>
          <w:rFonts w:cs="FrankRuehl" w:hint="cs"/>
          <w:rtl/>
        </w:rPr>
      </w:pPr>
      <w:r>
        <w:rPr>
          <w:rStyle w:val="default"/>
          <w:rFonts w:cs="FrankRuehl" w:hint="cs"/>
          <w:rtl/>
        </w:rPr>
        <w:tab/>
        <w:t xml:space="preserve">"רשות ביטחון" </w:t>
      </w:r>
      <w:r>
        <w:rPr>
          <w:rStyle w:val="default"/>
          <w:rFonts w:cs="FrankRuehl"/>
          <w:rtl/>
        </w:rPr>
        <w:t>–</w:t>
      </w:r>
      <w:r>
        <w:rPr>
          <w:rStyle w:val="default"/>
          <w:rFonts w:cs="FrankRuehl" w:hint="cs"/>
          <w:rtl/>
        </w:rPr>
        <w:t xml:space="preserve"> כל אחד מאלה:</w:t>
      </w:r>
    </w:p>
    <w:p w:rsidR="009E379E" w:rsidRDefault="009E379E" w:rsidP="005D5B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 הביטחון הכללי;</w:t>
      </w:r>
    </w:p>
    <w:p w:rsidR="009E379E" w:rsidRDefault="009E379E" w:rsidP="005D5B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המוסד למודיעין ולתפקידים מיוחדים;</w:t>
      </w:r>
    </w:p>
    <w:p w:rsidR="009E379E" w:rsidRDefault="009E379E" w:rsidP="005D5B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5D5B03">
        <w:rPr>
          <w:rStyle w:val="default"/>
          <w:rFonts w:cs="FrankRuehl" w:hint="cs"/>
          <w:rtl/>
        </w:rPr>
        <w:t>צבא הגנה לישראל;</w:t>
      </w:r>
    </w:p>
    <w:p w:rsidR="005D5B03" w:rsidRDefault="005D5B03" w:rsidP="005D5B0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משטרת ישראל;</w:t>
      </w:r>
    </w:p>
    <w:p w:rsidR="005D5B03" w:rsidRDefault="005D5B03" w:rsidP="005D5B0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הממונה על הביטחון במערכת הביטחון;</w:t>
      </w:r>
    </w:p>
    <w:p w:rsidR="005D5B03" w:rsidRDefault="005D5B03" w:rsidP="005D5B0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שירות בתי הסוהר;</w:t>
      </w:r>
    </w:p>
    <w:p w:rsidR="005D5B03" w:rsidRDefault="005D5B03" w:rsidP="005D5B0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הרשות להגנה על עדים;</w:t>
      </w:r>
    </w:p>
    <w:p w:rsidR="005D5B03" w:rsidRDefault="005D5B03" w:rsidP="005D5B03">
      <w:pPr>
        <w:pStyle w:val="P00"/>
        <w:spacing w:before="72"/>
        <w:ind w:left="0" w:right="1134"/>
        <w:rPr>
          <w:rStyle w:val="default"/>
          <w:rFonts w:cs="FrankRuehl" w:hint="cs"/>
          <w:rtl/>
        </w:rPr>
      </w:pPr>
      <w:r>
        <w:rPr>
          <w:rStyle w:val="default"/>
          <w:rFonts w:cs="FrankRuehl" w:hint="cs"/>
          <w:rtl/>
        </w:rPr>
        <w:tab/>
        <w:t xml:space="preserve">"תושב ישראל" </w:t>
      </w:r>
      <w:r>
        <w:rPr>
          <w:rStyle w:val="default"/>
          <w:rFonts w:cs="FrankRuehl"/>
          <w:rtl/>
        </w:rPr>
        <w:t>–</w:t>
      </w:r>
      <w:r>
        <w:rPr>
          <w:rStyle w:val="default"/>
          <w:rFonts w:cs="FrankRuehl" w:hint="cs"/>
          <w:rtl/>
        </w:rPr>
        <w:t xml:space="preserve"> לרבות אדם שמקום מגוריו הוא באזור כהגדרתו בתוספת לחוק להארכת תוקפן של תקנות שעת חירום (יהודה והשומרון </w:t>
      </w:r>
      <w:r>
        <w:rPr>
          <w:rStyle w:val="default"/>
          <w:rFonts w:cs="FrankRuehl"/>
          <w:rtl/>
        </w:rPr>
        <w:t>–</w:t>
      </w:r>
      <w:r>
        <w:rPr>
          <w:rStyle w:val="default"/>
          <w:rFonts w:cs="FrankRuehl" w:hint="cs"/>
          <w:rtl/>
        </w:rPr>
        <w:t xml:space="preserve"> שיפוט בעבירות ועזרה משפטית), התשכ"ח-1967, והוא אזרח ישראלי או שהוא זכאי לעלות לישראל לפי חוק השבות, התש"י-1950, ושאילו מקום מגוריו היה בישראל היה בגדר תושב ישראל.</w:t>
      </w:r>
    </w:p>
    <w:p w:rsidR="005D5B03" w:rsidRPr="005D5B03" w:rsidRDefault="005D5B03" w:rsidP="005D5B03">
      <w:pPr>
        <w:pStyle w:val="medium2-header"/>
        <w:keepLines w:val="0"/>
        <w:spacing w:before="72"/>
        <w:ind w:left="0" w:right="1134"/>
        <w:rPr>
          <w:rFonts w:cs="FrankRuehl" w:hint="cs"/>
          <w:noProof/>
          <w:sz w:val="20"/>
          <w:rtl/>
        </w:rPr>
      </w:pPr>
      <w:bookmarkStart w:id="5" w:name="med1"/>
      <w:bookmarkEnd w:id="5"/>
      <w:r w:rsidRPr="005D5B03">
        <w:rPr>
          <w:rFonts w:cs="FrankRuehl" w:hint="cs"/>
          <w:noProof/>
          <w:sz w:val="20"/>
          <w:rtl/>
        </w:rPr>
        <w:t>פרק ב': הכרזות ועדת השרים</w:t>
      </w:r>
    </w:p>
    <w:p w:rsidR="005D5B03" w:rsidRPr="005D5B03" w:rsidRDefault="005D5B03" w:rsidP="005D5B03">
      <w:pPr>
        <w:pStyle w:val="header-2"/>
        <w:ind w:left="0" w:right="1134"/>
        <w:rPr>
          <w:rFonts w:cs="Miriam" w:hint="cs"/>
          <w:rtl/>
        </w:rPr>
      </w:pPr>
      <w:bookmarkStart w:id="6" w:name="hed20"/>
      <w:bookmarkEnd w:id="6"/>
      <w:r w:rsidRPr="005D5B03">
        <w:rPr>
          <w:rFonts w:cs="Miriam" w:hint="cs"/>
          <w:rtl/>
        </w:rPr>
        <w:t>סימן א': הכרזה על גורם זר מסייע</w:t>
      </w:r>
    </w:p>
    <w:p w:rsidR="00301EEF" w:rsidRDefault="00301EEF" w:rsidP="005D5B03">
      <w:pPr>
        <w:pStyle w:val="P00"/>
        <w:spacing w:before="72"/>
        <w:ind w:left="0" w:right="1134"/>
        <w:rPr>
          <w:rStyle w:val="default"/>
          <w:rFonts w:cs="FrankRuehl" w:hint="cs"/>
          <w:rtl/>
        </w:rPr>
      </w:pPr>
      <w:bookmarkStart w:id="7" w:name="Seif3"/>
      <w:bookmarkEnd w:id="7"/>
      <w:r>
        <w:rPr>
          <w:lang w:val="he-IL"/>
        </w:rPr>
        <w:pict>
          <v:rect id="_x0000_s1053" style="position:absolute;left:0;text-align:left;margin-left:464.5pt;margin-top:8.05pt;width:75.05pt;height:33pt;z-index:251634688" o:allowincell="f" filled="f" stroked="f" strokecolor="lime" strokeweight=".25pt">
            <v:textbox style="mso-next-textbox:#_x0000_s1053" inset="0,0,0,0">
              <w:txbxContent>
                <w:p w:rsidR="00A45F06" w:rsidRDefault="00A45F06" w:rsidP="00301EEF">
                  <w:pPr>
                    <w:spacing w:line="160" w:lineRule="exact"/>
                    <w:jc w:val="left"/>
                    <w:rPr>
                      <w:rFonts w:cs="Miriam"/>
                      <w:noProof/>
                      <w:sz w:val="18"/>
                      <w:szCs w:val="18"/>
                      <w:rtl/>
                    </w:rPr>
                  </w:pPr>
                  <w:r>
                    <w:rPr>
                      <w:rFonts w:cs="Miriam" w:hint="cs"/>
                      <w:sz w:val="18"/>
                      <w:szCs w:val="18"/>
                      <w:rtl/>
                    </w:rPr>
                    <w:t>הכרזה על גורם זר מסייע</w:t>
                  </w:r>
                </w:p>
                <w:p w:rsidR="0097292E" w:rsidRDefault="0097292E" w:rsidP="00301EEF">
                  <w:pPr>
                    <w:spacing w:line="160" w:lineRule="exact"/>
                    <w:jc w:val="left"/>
                    <w:rPr>
                      <w:rFonts w:cs="Miriam" w:hint="cs"/>
                      <w:noProof/>
                      <w:sz w:val="18"/>
                      <w:szCs w:val="18"/>
                      <w:rtl/>
                    </w:rPr>
                  </w:pPr>
                  <w:r>
                    <w:rPr>
                      <w:rFonts w:cs="Miriam" w:hint="cs"/>
                      <w:noProof/>
                      <w:sz w:val="18"/>
                      <w:szCs w:val="18"/>
                      <w:rtl/>
                    </w:rPr>
                    <w:t>(תיקון מס' 1) תשע"ח-2018</w:t>
                  </w:r>
                </w:p>
              </w:txbxContent>
            </v:textbox>
            <w10:anchorlock/>
          </v:rect>
        </w:pict>
      </w:r>
      <w:r w:rsidR="005D5B03">
        <w:rPr>
          <w:rStyle w:val="big-number"/>
          <w:rFonts w:cs="Miriam" w:hint="cs"/>
          <w:rtl/>
        </w:rPr>
        <w:t>3</w:t>
      </w:r>
      <w:r w:rsidRPr="00301EEF">
        <w:rPr>
          <w:rStyle w:val="default"/>
          <w:rFonts w:cs="FrankRuehl"/>
          <w:rtl/>
        </w:rPr>
        <w:t>.</w:t>
      </w:r>
      <w:r w:rsidRPr="00301EEF">
        <w:rPr>
          <w:rStyle w:val="default"/>
          <w:rFonts w:cs="FrankRuehl"/>
          <w:rtl/>
        </w:rPr>
        <w:tab/>
      </w:r>
      <w:r w:rsidR="005D5B03">
        <w:rPr>
          <w:rStyle w:val="default"/>
          <w:rFonts w:cs="FrankRuehl" w:hint="cs"/>
          <w:rtl/>
        </w:rPr>
        <w:t>(א)</w:t>
      </w:r>
      <w:r w:rsidR="005D5B03">
        <w:rPr>
          <w:rStyle w:val="default"/>
          <w:rFonts w:cs="FrankRuehl" w:hint="cs"/>
          <w:rtl/>
        </w:rPr>
        <w:tab/>
        <w:t xml:space="preserve">ועדת השרים תקבע בהכרזה (להלן </w:t>
      </w:r>
      <w:r w:rsidR="005D5B03">
        <w:rPr>
          <w:rStyle w:val="default"/>
          <w:rFonts w:cs="FrankRuehl"/>
          <w:rtl/>
        </w:rPr>
        <w:t>–</w:t>
      </w:r>
      <w:r w:rsidR="005D5B03">
        <w:rPr>
          <w:rStyle w:val="default"/>
          <w:rFonts w:cs="FrankRuehl" w:hint="cs"/>
          <w:rtl/>
        </w:rPr>
        <w:t xml:space="preserve"> תכריז), בהתאם להוראות סימן ג', כי גורם זר נותן סיוע לאיראן בקידום תכנית הגרעין שלה או בהשגת נשק להשמדה המונית או אמצעי נשיאה לנשק כאמור (בחוק זה </w:t>
      </w:r>
      <w:r w:rsidR="005D5B03">
        <w:rPr>
          <w:rStyle w:val="default"/>
          <w:rFonts w:cs="FrankRuehl"/>
          <w:rtl/>
        </w:rPr>
        <w:t>–</w:t>
      </w:r>
      <w:r w:rsidR="005D5B03">
        <w:rPr>
          <w:rStyle w:val="default"/>
          <w:rFonts w:cs="FrankRuehl" w:hint="cs"/>
          <w:rtl/>
        </w:rPr>
        <w:t xml:space="preserve"> גורם זר מסייע)</w:t>
      </w:r>
      <w:r w:rsidR="0097292E">
        <w:rPr>
          <w:rStyle w:val="default"/>
          <w:rFonts w:cs="FrankRuehl" w:hint="cs"/>
          <w:rtl/>
        </w:rPr>
        <w:t xml:space="preserve"> </w:t>
      </w:r>
      <w:r w:rsidR="0097292E" w:rsidRPr="0097292E">
        <w:rPr>
          <w:rStyle w:val="default"/>
          <w:rFonts w:cs="FrankRuehl" w:hint="cs"/>
          <w:rtl/>
        </w:rPr>
        <w:t>אם נוכחה, לאחר שהובאה לפניה עמדת מטה הסנקציות, כי הגורם הזר נותן סיוע כאמור.</w:t>
      </w:r>
    </w:p>
    <w:p w:rsidR="0097292E" w:rsidRDefault="0097292E" w:rsidP="0097292E">
      <w:pPr>
        <w:pStyle w:val="P00"/>
        <w:spacing w:before="72"/>
        <w:ind w:left="0" w:right="1134"/>
        <w:rPr>
          <w:rStyle w:val="default"/>
          <w:rFonts w:cs="FrankRuehl" w:hint="cs"/>
          <w:rtl/>
        </w:rPr>
      </w:pPr>
      <w:r>
        <w:rPr>
          <w:lang w:val="he-IL"/>
        </w:rPr>
        <w:pict>
          <v:rect id="_x0000_s1099" style="position:absolute;left:0;text-align:left;margin-left:464.35pt;margin-top:7.1pt;width:75.05pt;height:15.35pt;z-index:251678720" o:allowincell="f" filled="f" stroked="f" strokecolor="lime" strokeweight=".25pt">
            <v:textbox style="mso-next-textbox:#_x0000_s1099" inset="0,0,0,0">
              <w:txbxContent>
                <w:p w:rsidR="0097292E" w:rsidRDefault="0097292E" w:rsidP="0097292E">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hint="cs"/>
          <w:rtl/>
        </w:rPr>
        <w:t>(ב)</w:t>
      </w:r>
      <w:r>
        <w:rPr>
          <w:rStyle w:val="default"/>
          <w:rFonts w:cs="FrankRuehl"/>
          <w:rtl/>
        </w:rPr>
        <w:tab/>
      </w:r>
      <w:r>
        <w:rPr>
          <w:rStyle w:val="default"/>
          <w:rFonts w:cs="FrankRuehl" w:hint="cs"/>
          <w:rtl/>
        </w:rPr>
        <w:t xml:space="preserve">הכריזה ועדת השרים על תאגיד כגורם זר מסייע, רשאית היא, לאחר שהובאה לפניה עמדת מטה הסנקציות, להכריז גם על גורם זר ששולט באותו תאגיד או נשלט בידי מי מהם כגורם זר מסייע, אף אם לא מתקיים לגביו </w:t>
      </w:r>
      <w:r w:rsidRPr="0097292E">
        <w:rPr>
          <w:rStyle w:val="default"/>
          <w:rFonts w:cs="FrankRuehl" w:hint="cs"/>
          <w:rtl/>
        </w:rPr>
        <w:t>האמור בסעיף קטן (א)</w:t>
      </w:r>
      <w:r>
        <w:rPr>
          <w:rStyle w:val="default"/>
          <w:rFonts w:cs="FrankRuehl" w:hint="cs"/>
          <w:rtl/>
        </w:rPr>
        <w:t>.</w:t>
      </w:r>
    </w:p>
    <w:p w:rsidR="000B5500" w:rsidRDefault="0097292E" w:rsidP="0097292E">
      <w:pPr>
        <w:pStyle w:val="P00"/>
        <w:spacing w:before="72"/>
        <w:ind w:left="0" w:right="1134"/>
        <w:rPr>
          <w:rStyle w:val="default"/>
          <w:rFonts w:cs="FrankRuehl" w:hint="cs"/>
          <w:rtl/>
        </w:rPr>
      </w:pPr>
      <w:r>
        <w:rPr>
          <w:lang w:val="he-IL"/>
        </w:rPr>
        <w:pict>
          <v:rect id="_x0000_s1098" style="position:absolute;left:0;text-align:left;margin-left:464.35pt;margin-top:7.1pt;width:75.05pt;height:15.35pt;z-index:251677696" o:allowincell="f" filled="f" stroked="f" strokecolor="lime" strokeweight=".25pt">
            <v:textbox style="mso-next-textbox:#_x0000_s1098" inset="0,0,0,0">
              <w:txbxContent>
                <w:p w:rsidR="0097292E" w:rsidRDefault="0097292E" w:rsidP="0097292E">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hint="cs"/>
          <w:rtl/>
        </w:rPr>
        <w:t>(</w:t>
      </w:r>
      <w:r w:rsidR="005D5B03">
        <w:rPr>
          <w:rStyle w:val="default"/>
          <w:rFonts w:cs="FrankRuehl" w:hint="cs"/>
          <w:rtl/>
        </w:rPr>
        <w:t>ג)</w:t>
      </w:r>
      <w:r w:rsidR="005D5B03">
        <w:rPr>
          <w:rStyle w:val="default"/>
          <w:rFonts w:cs="FrankRuehl" w:hint="cs"/>
          <w:rtl/>
        </w:rPr>
        <w:tab/>
        <w:t xml:space="preserve">על אף הוראות סעיף קטן (א), רשאית ועדת השרים, בהחלטה מנומקת בכתב, שלא להכריז על גורם זר כגורם זר מסייע, אף אם מתקיים לגביו </w:t>
      </w:r>
      <w:r w:rsidRPr="0097292E">
        <w:rPr>
          <w:rStyle w:val="default"/>
          <w:rFonts w:cs="FrankRuehl" w:hint="cs"/>
          <w:rtl/>
        </w:rPr>
        <w:t>האמור באותו סעיף קטן</w:t>
      </w:r>
      <w:r w:rsidR="000B5500">
        <w:rPr>
          <w:rStyle w:val="default"/>
          <w:rFonts w:cs="FrankRuehl" w:hint="cs"/>
          <w:rtl/>
        </w:rPr>
        <w:t>, אם מצאה לאחר שהובאה לפניה עמדת מטה הסנקציות, כי קיים אינטרס ציבורי שלא לעשות כן.</w:t>
      </w:r>
    </w:p>
    <w:p w:rsidR="005D5B03" w:rsidRDefault="000B5500" w:rsidP="005D5B0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רשימת הגורמים שהוכרזו כגורמים מסייעים לפי סעיף זה תפורסם, בסמוך לאחר מועד ההכרזה, באתר</w:t>
      </w:r>
      <w:r w:rsidR="005D5B03">
        <w:rPr>
          <w:rStyle w:val="default"/>
          <w:rFonts w:cs="FrankRuehl" w:hint="cs"/>
          <w:rtl/>
        </w:rPr>
        <w:t xml:space="preserve"> </w:t>
      </w:r>
      <w:r w:rsidR="001C177E">
        <w:rPr>
          <w:rStyle w:val="default"/>
          <w:rFonts w:cs="FrankRuehl" w:hint="cs"/>
          <w:rtl/>
        </w:rPr>
        <w:t>האינטרנט של מטה הסנקציות, בעברית, בערבית ובאנגלית, ויפורטו בה, לגבי כל אחד מהגורמים הנכללים בה, פרטי זהותו והמועד שבו ניתנה לגביו ההכרזה.</w:t>
      </w:r>
    </w:p>
    <w:p w:rsidR="001C177E" w:rsidRDefault="001C177E" w:rsidP="005D5B03">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ועדת השרים, באמצעות מטה הסנקציות, תמסור הודעה על הכרזה לפי סעיף זה למפקח על הבנקים בבנק ישראל, לממונה על שוק ההון, הביטוח והחיסכון במשרד האוצר, ליושב ראש רשות ניירות ערך, לראש הרשות לאיסור הלבנת הון ומימון טרור וליושב ראש לשכת התיאום של הארגונים הכלכליים.</w:t>
      </w:r>
    </w:p>
    <w:p w:rsidR="0097292E" w:rsidRPr="0097292E" w:rsidRDefault="0097292E" w:rsidP="0097292E">
      <w:pPr>
        <w:pStyle w:val="P00"/>
        <w:spacing w:before="0"/>
        <w:ind w:left="0" w:right="1134"/>
        <w:rPr>
          <w:rStyle w:val="default"/>
          <w:rFonts w:ascii="FrankRuehl" w:hAnsi="FrankRuehl" w:cs="FrankRuehl"/>
          <w:vanish/>
          <w:color w:val="FF0000"/>
          <w:sz w:val="20"/>
          <w:szCs w:val="20"/>
          <w:shd w:val="clear" w:color="auto" w:fill="FFFF99"/>
          <w:rtl/>
        </w:rPr>
      </w:pPr>
      <w:bookmarkStart w:id="8" w:name="Rov55"/>
      <w:r w:rsidRPr="0097292E">
        <w:rPr>
          <w:rStyle w:val="default"/>
          <w:rFonts w:ascii="FrankRuehl" w:hAnsi="FrankRuehl" w:cs="FrankRuehl"/>
          <w:vanish/>
          <w:color w:val="FF0000"/>
          <w:sz w:val="20"/>
          <w:szCs w:val="20"/>
          <w:shd w:val="clear" w:color="auto" w:fill="FFFF99"/>
          <w:rtl/>
        </w:rPr>
        <w:t>מיום 11.3.2018</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b/>
          <w:bCs/>
          <w:vanish/>
          <w:sz w:val="20"/>
          <w:szCs w:val="20"/>
          <w:shd w:val="clear" w:color="auto" w:fill="FFFF99"/>
          <w:rtl/>
        </w:rPr>
        <w:t>תיקון מס' 1</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hyperlink r:id="rId10" w:history="1">
        <w:r w:rsidRPr="0097292E">
          <w:rPr>
            <w:rStyle w:val="Hyperlink"/>
            <w:rFonts w:ascii="FrankRuehl" w:hAnsi="FrankRuehl" w:cs="FrankRuehl"/>
            <w:vanish/>
            <w:szCs w:val="20"/>
            <w:shd w:val="clear" w:color="auto" w:fill="FFFF99"/>
            <w:rtl/>
          </w:rPr>
          <w:t>ס"ח תשע"ח מס' 2699</w:t>
        </w:r>
      </w:hyperlink>
      <w:r w:rsidRPr="0097292E">
        <w:rPr>
          <w:rStyle w:val="default"/>
          <w:rFonts w:ascii="FrankRuehl" w:hAnsi="FrankRuehl" w:cs="FrankRuehl"/>
          <w:vanish/>
          <w:sz w:val="20"/>
          <w:szCs w:val="20"/>
          <w:shd w:val="clear" w:color="auto" w:fill="FFFF99"/>
          <w:rtl/>
        </w:rPr>
        <w:t xml:space="preserve"> מיום 11.3.2018 עמ' </w:t>
      </w:r>
      <w:r w:rsidRPr="0097292E">
        <w:rPr>
          <w:rStyle w:val="default"/>
          <w:rFonts w:ascii="FrankRuehl" w:hAnsi="FrankRuehl" w:cs="FrankRuehl" w:hint="cs"/>
          <w:vanish/>
          <w:sz w:val="20"/>
          <w:szCs w:val="20"/>
          <w:shd w:val="clear" w:color="auto" w:fill="FFFF99"/>
          <w:rtl/>
        </w:rPr>
        <w:t>240</w:t>
      </w:r>
      <w:r w:rsidRPr="0097292E">
        <w:rPr>
          <w:rStyle w:val="default"/>
          <w:rFonts w:ascii="FrankRuehl" w:hAnsi="FrankRuehl" w:cs="FrankRuehl"/>
          <w:vanish/>
          <w:sz w:val="20"/>
          <w:szCs w:val="20"/>
          <w:shd w:val="clear" w:color="auto" w:fill="FFFF99"/>
          <w:rtl/>
        </w:rPr>
        <w:t xml:space="preserve"> (</w:t>
      </w:r>
      <w:hyperlink r:id="rId11" w:history="1">
        <w:r w:rsidRPr="0097292E">
          <w:rPr>
            <w:rStyle w:val="Hyperlink"/>
            <w:rFonts w:ascii="FrankRuehl" w:hAnsi="FrankRuehl" w:cs="FrankRuehl"/>
            <w:vanish/>
            <w:szCs w:val="20"/>
            <w:shd w:val="clear" w:color="auto" w:fill="FFFF99"/>
            <w:rtl/>
          </w:rPr>
          <w:t>ה"ח 1186</w:t>
        </w:r>
      </w:hyperlink>
      <w:r w:rsidRPr="0097292E">
        <w:rPr>
          <w:rStyle w:val="default"/>
          <w:rFonts w:ascii="FrankRuehl" w:hAnsi="FrankRuehl" w:cs="FrankRuehl"/>
          <w:vanish/>
          <w:sz w:val="20"/>
          <w:szCs w:val="20"/>
          <w:shd w:val="clear" w:color="auto" w:fill="FFFF99"/>
          <w:rtl/>
        </w:rPr>
        <w:t>)</w:t>
      </w:r>
    </w:p>
    <w:p w:rsidR="0097292E" w:rsidRPr="0097292E" w:rsidRDefault="0097292E" w:rsidP="0097292E">
      <w:pPr>
        <w:pStyle w:val="P00"/>
        <w:ind w:left="0" w:right="1134"/>
        <w:rPr>
          <w:rStyle w:val="default"/>
          <w:rFonts w:cs="FrankRuehl"/>
          <w:vanish/>
          <w:sz w:val="22"/>
          <w:szCs w:val="22"/>
          <w:shd w:val="clear" w:color="auto" w:fill="FFFF99"/>
          <w:rtl/>
        </w:rPr>
      </w:pPr>
      <w:r w:rsidRPr="0097292E">
        <w:rPr>
          <w:rStyle w:val="default"/>
          <w:rFonts w:cs="FrankRuehl"/>
          <w:vanish/>
          <w:sz w:val="22"/>
          <w:szCs w:val="22"/>
          <w:shd w:val="clear" w:color="auto" w:fill="FFFF99"/>
          <w:rtl/>
        </w:rPr>
        <w:tab/>
      </w:r>
      <w:r w:rsidRPr="0097292E">
        <w:rPr>
          <w:rStyle w:val="default"/>
          <w:rFonts w:cs="FrankRuehl" w:hint="cs"/>
          <w:vanish/>
          <w:sz w:val="22"/>
          <w:szCs w:val="22"/>
          <w:shd w:val="clear" w:color="auto" w:fill="FFFF99"/>
          <w:rtl/>
        </w:rPr>
        <w:t>(א)</w:t>
      </w:r>
      <w:r w:rsidRPr="0097292E">
        <w:rPr>
          <w:rStyle w:val="default"/>
          <w:rFonts w:cs="FrankRuehl" w:hint="cs"/>
          <w:vanish/>
          <w:sz w:val="22"/>
          <w:szCs w:val="22"/>
          <w:shd w:val="clear" w:color="auto" w:fill="FFFF99"/>
          <w:rtl/>
        </w:rPr>
        <w:tab/>
        <w:t xml:space="preserve">ועדת השרים תקבע בהכרזה (להלן </w:t>
      </w:r>
      <w:r w:rsidRPr="0097292E">
        <w:rPr>
          <w:rStyle w:val="default"/>
          <w:rFonts w:cs="FrankRuehl"/>
          <w:vanish/>
          <w:sz w:val="22"/>
          <w:szCs w:val="22"/>
          <w:shd w:val="clear" w:color="auto" w:fill="FFFF99"/>
          <w:rtl/>
        </w:rPr>
        <w:t>–</w:t>
      </w:r>
      <w:r w:rsidRPr="0097292E">
        <w:rPr>
          <w:rStyle w:val="default"/>
          <w:rFonts w:cs="FrankRuehl" w:hint="cs"/>
          <w:vanish/>
          <w:sz w:val="22"/>
          <w:szCs w:val="22"/>
          <w:shd w:val="clear" w:color="auto" w:fill="FFFF99"/>
          <w:rtl/>
        </w:rPr>
        <w:t xml:space="preserve"> תכריז), בהתאם להוראות סימן ג', כי גורם זר נותן סיוע לאיראן בקידום תכנית הגרעין שלה או בהשגת נשק להשמדה המונית או אמצעי נשיאה לנשק כאמור (בחוק זה </w:t>
      </w:r>
      <w:r w:rsidRPr="0097292E">
        <w:rPr>
          <w:rStyle w:val="default"/>
          <w:rFonts w:cs="FrankRuehl"/>
          <w:vanish/>
          <w:sz w:val="22"/>
          <w:szCs w:val="22"/>
          <w:shd w:val="clear" w:color="auto" w:fill="FFFF99"/>
          <w:rtl/>
        </w:rPr>
        <w:t>–</w:t>
      </w:r>
      <w:r w:rsidRPr="0097292E">
        <w:rPr>
          <w:rStyle w:val="default"/>
          <w:rFonts w:cs="FrankRuehl" w:hint="cs"/>
          <w:vanish/>
          <w:sz w:val="22"/>
          <w:szCs w:val="22"/>
          <w:shd w:val="clear" w:color="auto" w:fill="FFFF99"/>
          <w:rtl/>
        </w:rPr>
        <w:t xml:space="preserve"> גורם זר מסייע)</w:t>
      </w:r>
      <w:r w:rsidRPr="0097292E">
        <w:rPr>
          <w:rStyle w:val="default"/>
          <w:rFonts w:cs="FrankRuehl" w:hint="cs"/>
          <w:strike/>
          <w:vanish/>
          <w:sz w:val="22"/>
          <w:szCs w:val="22"/>
          <w:shd w:val="clear" w:color="auto" w:fill="FFFF99"/>
          <w:rtl/>
        </w:rPr>
        <w:t>, בהתקיים כל אחד מאלה:</w:t>
      </w:r>
      <w:r w:rsidRPr="0097292E">
        <w:rPr>
          <w:rStyle w:val="default"/>
          <w:rFonts w:cs="FrankRuehl" w:hint="cs"/>
          <w:vanish/>
          <w:sz w:val="22"/>
          <w:szCs w:val="22"/>
          <w:shd w:val="clear" w:color="auto" w:fill="FFFF99"/>
          <w:rtl/>
        </w:rPr>
        <w:t xml:space="preserve"> </w:t>
      </w:r>
      <w:r w:rsidRPr="0097292E">
        <w:rPr>
          <w:rStyle w:val="default"/>
          <w:rFonts w:cs="FrankRuehl" w:hint="cs"/>
          <w:vanish/>
          <w:sz w:val="22"/>
          <w:szCs w:val="22"/>
          <w:u w:val="single"/>
          <w:shd w:val="clear" w:color="auto" w:fill="FFFF99"/>
          <w:rtl/>
        </w:rPr>
        <w:t>אם נוכחה, לאחר שהובאה לפניה עמדת מטה הסנקציות, כי הגורם הזר נותן סיוע כאמור.</w:t>
      </w:r>
    </w:p>
    <w:p w:rsidR="0097292E" w:rsidRPr="0097292E" w:rsidRDefault="0097292E" w:rsidP="0097292E">
      <w:pPr>
        <w:pStyle w:val="P00"/>
        <w:spacing w:before="0"/>
        <w:ind w:left="1021" w:right="1134"/>
        <w:rPr>
          <w:rStyle w:val="default"/>
          <w:rFonts w:cs="FrankRuehl" w:hint="cs"/>
          <w:strike/>
          <w:vanish/>
          <w:sz w:val="22"/>
          <w:szCs w:val="22"/>
          <w:shd w:val="clear" w:color="auto" w:fill="FFFF99"/>
          <w:rtl/>
        </w:rPr>
      </w:pPr>
      <w:r w:rsidRPr="0097292E">
        <w:rPr>
          <w:rStyle w:val="default"/>
          <w:rFonts w:cs="FrankRuehl" w:hint="cs"/>
          <w:strike/>
          <w:vanish/>
          <w:sz w:val="22"/>
          <w:szCs w:val="22"/>
          <w:shd w:val="clear" w:color="auto" w:fill="FFFF99"/>
          <w:rtl/>
        </w:rPr>
        <w:t>(1)</w:t>
      </w:r>
      <w:r w:rsidRPr="0097292E">
        <w:rPr>
          <w:rStyle w:val="default"/>
          <w:rFonts w:cs="FrankRuehl" w:hint="cs"/>
          <w:strike/>
          <w:vanish/>
          <w:sz w:val="22"/>
          <w:szCs w:val="22"/>
          <w:shd w:val="clear" w:color="auto" w:fill="FFFF99"/>
          <w:rtl/>
        </w:rPr>
        <w:tab/>
        <w:t>ועדת השרים נוכחה, לאחר שהובאה לפניה עמדת מטה הסנקציות, כי הגורם הזר נותן סיוע לאיראן בקידום תכנית הגרעין שלה או בהשגת נשק להשמדה המונית או אמצעי נשיאה לנשק כאמור;</w:t>
      </w:r>
    </w:p>
    <w:p w:rsidR="0097292E" w:rsidRPr="0097292E" w:rsidRDefault="0097292E" w:rsidP="0097292E">
      <w:pPr>
        <w:pStyle w:val="P00"/>
        <w:spacing w:before="0"/>
        <w:ind w:left="1021" w:right="1134"/>
        <w:rPr>
          <w:rStyle w:val="default"/>
          <w:rFonts w:cs="FrankRuehl" w:hint="cs"/>
          <w:strike/>
          <w:vanish/>
          <w:sz w:val="22"/>
          <w:szCs w:val="22"/>
          <w:shd w:val="clear" w:color="auto" w:fill="FFFF99"/>
          <w:rtl/>
        </w:rPr>
      </w:pPr>
      <w:r w:rsidRPr="0097292E">
        <w:rPr>
          <w:rStyle w:val="default"/>
          <w:rFonts w:cs="FrankRuehl" w:hint="cs"/>
          <w:strike/>
          <w:vanish/>
          <w:sz w:val="22"/>
          <w:szCs w:val="22"/>
          <w:shd w:val="clear" w:color="auto" w:fill="FFFF99"/>
          <w:rtl/>
        </w:rPr>
        <w:t>(2)</w:t>
      </w:r>
      <w:r w:rsidRPr="0097292E">
        <w:rPr>
          <w:rStyle w:val="default"/>
          <w:rFonts w:cs="FrankRuehl" w:hint="cs"/>
          <w:strike/>
          <w:vanish/>
          <w:sz w:val="22"/>
          <w:szCs w:val="22"/>
          <w:shd w:val="clear" w:color="auto" w:fill="FFFF99"/>
          <w:rtl/>
        </w:rPr>
        <w:tab/>
        <w:t>הגורם הזר הוכרז, בהחלטת מועצת הביטחון של האומות המאוחדות המנויה בתוספת, כמי שנותן סיוע לאיראן בקידום תכנית הגרעין שלה או בהשגת נשק להשמדה המונית או אמצעי נשיאה לנשק כאמור;</w:t>
      </w:r>
    </w:p>
    <w:p w:rsidR="0097292E" w:rsidRPr="0097292E" w:rsidRDefault="0097292E" w:rsidP="0097292E">
      <w:pPr>
        <w:pStyle w:val="P00"/>
        <w:spacing w:before="0"/>
        <w:ind w:left="1021" w:right="1134"/>
        <w:rPr>
          <w:rStyle w:val="default"/>
          <w:rFonts w:cs="FrankRuehl" w:hint="cs"/>
          <w:vanish/>
          <w:sz w:val="22"/>
          <w:szCs w:val="22"/>
          <w:shd w:val="clear" w:color="auto" w:fill="FFFF99"/>
          <w:rtl/>
        </w:rPr>
      </w:pPr>
      <w:r w:rsidRPr="0097292E">
        <w:rPr>
          <w:rStyle w:val="default"/>
          <w:rFonts w:cs="FrankRuehl" w:hint="cs"/>
          <w:strike/>
          <w:vanish/>
          <w:sz w:val="22"/>
          <w:szCs w:val="22"/>
          <w:shd w:val="clear" w:color="auto" w:fill="FFFF99"/>
          <w:rtl/>
        </w:rPr>
        <w:t>(3)</w:t>
      </w:r>
      <w:r w:rsidRPr="0097292E">
        <w:rPr>
          <w:rStyle w:val="default"/>
          <w:rFonts w:cs="FrankRuehl" w:hint="cs"/>
          <w:strike/>
          <w:vanish/>
          <w:sz w:val="22"/>
          <w:szCs w:val="22"/>
          <w:shd w:val="clear" w:color="auto" w:fill="FFFF99"/>
          <w:rtl/>
        </w:rPr>
        <w:tab/>
        <w:t>הגורם הזר הוכרז בידי גוף מוסמך של מדינה זרה כמי שנותן סיוע לאיראן בקידום תכנית הגרעין שלה או בהשגת נשק להשמדה המונית או אמצעי נשיאה לנשק כאמור, והיה לוועדת השרים, לאחר שהובאה לפניה עמדת מטה הסנקציות, יסוד סביר להניח כי הגורם הזר נותן סיוע כאמור.</w:t>
      </w:r>
    </w:p>
    <w:p w:rsidR="0097292E" w:rsidRPr="0097292E" w:rsidRDefault="0097292E" w:rsidP="0097292E">
      <w:pPr>
        <w:pStyle w:val="P00"/>
        <w:spacing w:before="0"/>
        <w:ind w:left="0" w:right="1134"/>
        <w:rPr>
          <w:rStyle w:val="default"/>
          <w:rFonts w:cs="FrankRuehl" w:hint="cs"/>
          <w:vanish/>
          <w:sz w:val="22"/>
          <w:szCs w:val="22"/>
          <w:shd w:val="clear" w:color="auto" w:fill="FFFF99"/>
          <w:rtl/>
        </w:rPr>
      </w:pPr>
      <w:r w:rsidRPr="0097292E">
        <w:rPr>
          <w:rStyle w:val="default"/>
          <w:rFonts w:cs="FrankRuehl" w:hint="cs"/>
          <w:vanish/>
          <w:sz w:val="22"/>
          <w:szCs w:val="22"/>
          <w:shd w:val="clear" w:color="auto" w:fill="FFFF99"/>
          <w:rtl/>
        </w:rPr>
        <w:tab/>
        <w:t>(ב)</w:t>
      </w:r>
      <w:r w:rsidRPr="0097292E">
        <w:rPr>
          <w:rStyle w:val="default"/>
          <w:rFonts w:cs="FrankRuehl" w:hint="cs"/>
          <w:vanish/>
          <w:sz w:val="22"/>
          <w:szCs w:val="22"/>
          <w:shd w:val="clear" w:color="auto" w:fill="FFFF99"/>
          <w:rtl/>
        </w:rPr>
        <w:tab/>
        <w:t xml:space="preserve">הכריזה ועדת השרים על תאגיד כגורם זר מסייע, רשאית היא, לאחר שהובאה לפניה עמדת מטה הסנקציות, להכריז גם על גורם זר ששולט באותו תאגיד או נשלט בידי מי מהם כגורם זר מסייע, אף אם לא מתקיים לגביו </w:t>
      </w:r>
      <w:r w:rsidRPr="0097292E">
        <w:rPr>
          <w:rStyle w:val="default"/>
          <w:rFonts w:cs="FrankRuehl" w:hint="cs"/>
          <w:strike/>
          <w:vanish/>
          <w:sz w:val="22"/>
          <w:szCs w:val="22"/>
          <w:shd w:val="clear" w:color="auto" w:fill="FFFF99"/>
          <w:rtl/>
        </w:rPr>
        <w:t>תנאי מהתנאים המנויים בפסקאות (1) עד (3) של סעיף קטן (א)</w:t>
      </w:r>
      <w:r w:rsidRPr="0097292E">
        <w:rPr>
          <w:rStyle w:val="default"/>
          <w:rFonts w:cs="FrankRuehl" w:hint="cs"/>
          <w:vanish/>
          <w:sz w:val="22"/>
          <w:szCs w:val="22"/>
          <w:shd w:val="clear" w:color="auto" w:fill="FFFF99"/>
          <w:rtl/>
        </w:rPr>
        <w:t xml:space="preserve"> </w:t>
      </w:r>
      <w:r w:rsidRPr="0097292E">
        <w:rPr>
          <w:rStyle w:val="default"/>
          <w:rFonts w:cs="FrankRuehl" w:hint="cs"/>
          <w:vanish/>
          <w:sz w:val="22"/>
          <w:szCs w:val="22"/>
          <w:u w:val="single"/>
          <w:shd w:val="clear" w:color="auto" w:fill="FFFF99"/>
          <w:rtl/>
        </w:rPr>
        <w:t>האמור בסעיף קטן (א)</w:t>
      </w:r>
      <w:r w:rsidRPr="0097292E">
        <w:rPr>
          <w:rStyle w:val="default"/>
          <w:rFonts w:cs="FrankRuehl" w:hint="cs"/>
          <w:vanish/>
          <w:sz w:val="22"/>
          <w:szCs w:val="22"/>
          <w:shd w:val="clear" w:color="auto" w:fill="FFFF99"/>
          <w:rtl/>
        </w:rPr>
        <w:t>.</w:t>
      </w:r>
    </w:p>
    <w:p w:rsidR="0097292E" w:rsidRPr="0097292E" w:rsidRDefault="0097292E" w:rsidP="0097292E">
      <w:pPr>
        <w:pStyle w:val="P00"/>
        <w:spacing w:before="0"/>
        <w:ind w:left="0" w:right="1134"/>
        <w:rPr>
          <w:rStyle w:val="default"/>
          <w:rFonts w:cs="FrankRuehl" w:hint="cs"/>
          <w:sz w:val="2"/>
          <w:szCs w:val="2"/>
          <w:rtl/>
        </w:rPr>
      </w:pPr>
      <w:r w:rsidRPr="0097292E">
        <w:rPr>
          <w:rStyle w:val="default"/>
          <w:rFonts w:cs="FrankRuehl" w:hint="cs"/>
          <w:vanish/>
          <w:sz w:val="22"/>
          <w:szCs w:val="22"/>
          <w:shd w:val="clear" w:color="auto" w:fill="FFFF99"/>
          <w:rtl/>
        </w:rPr>
        <w:tab/>
        <w:t>(ג)</w:t>
      </w:r>
      <w:r w:rsidRPr="0097292E">
        <w:rPr>
          <w:rStyle w:val="default"/>
          <w:rFonts w:cs="FrankRuehl" w:hint="cs"/>
          <w:vanish/>
          <w:sz w:val="22"/>
          <w:szCs w:val="22"/>
          <w:shd w:val="clear" w:color="auto" w:fill="FFFF99"/>
          <w:rtl/>
        </w:rPr>
        <w:tab/>
        <w:t xml:space="preserve">על אף הוראות סעיף קטן (א), רשאית ועדת השרים, בהחלטה מנומקת בכתב, שלא להכריז על גורם זר כגורם זר מסייע, אף אם מתקיים לגביו </w:t>
      </w:r>
      <w:r w:rsidRPr="0097292E">
        <w:rPr>
          <w:rStyle w:val="default"/>
          <w:rFonts w:cs="FrankRuehl" w:hint="cs"/>
          <w:strike/>
          <w:vanish/>
          <w:sz w:val="22"/>
          <w:szCs w:val="22"/>
          <w:shd w:val="clear" w:color="auto" w:fill="FFFF99"/>
          <w:rtl/>
        </w:rPr>
        <w:t>תנאי מהתנאים המנויים בפסקאות (1) עד (3) של אותו סעיף קטן</w:t>
      </w:r>
      <w:r w:rsidRPr="0097292E">
        <w:rPr>
          <w:rStyle w:val="default"/>
          <w:rFonts w:cs="FrankRuehl" w:hint="cs"/>
          <w:vanish/>
          <w:sz w:val="22"/>
          <w:szCs w:val="22"/>
          <w:shd w:val="clear" w:color="auto" w:fill="FFFF99"/>
          <w:rtl/>
        </w:rPr>
        <w:t xml:space="preserve"> </w:t>
      </w:r>
      <w:r w:rsidRPr="0097292E">
        <w:rPr>
          <w:rStyle w:val="default"/>
          <w:rFonts w:cs="FrankRuehl" w:hint="cs"/>
          <w:vanish/>
          <w:sz w:val="22"/>
          <w:szCs w:val="22"/>
          <w:u w:val="single"/>
          <w:shd w:val="clear" w:color="auto" w:fill="FFFF99"/>
          <w:rtl/>
        </w:rPr>
        <w:t>האמור באותו סעיף קטן</w:t>
      </w:r>
      <w:r w:rsidRPr="0097292E">
        <w:rPr>
          <w:rStyle w:val="default"/>
          <w:rFonts w:cs="FrankRuehl" w:hint="cs"/>
          <w:vanish/>
          <w:sz w:val="22"/>
          <w:szCs w:val="22"/>
          <w:shd w:val="clear" w:color="auto" w:fill="FFFF99"/>
          <w:rtl/>
        </w:rPr>
        <w:t>, אם מצאה לאחר שהובאה לפניה עמדת מטה הסנקציות, כי קיים אינטרס ציבורי שלא לעשות כן.</w:t>
      </w:r>
      <w:bookmarkEnd w:id="8"/>
    </w:p>
    <w:p w:rsidR="00301EEF" w:rsidRDefault="00301EEF" w:rsidP="001C177E">
      <w:pPr>
        <w:pStyle w:val="P00"/>
        <w:spacing w:before="72"/>
        <w:ind w:left="0" w:right="1134"/>
        <w:rPr>
          <w:rStyle w:val="default"/>
          <w:rFonts w:cs="FrankRuehl" w:hint="cs"/>
          <w:rtl/>
        </w:rPr>
      </w:pPr>
      <w:bookmarkStart w:id="9" w:name="Seif4"/>
      <w:bookmarkEnd w:id="9"/>
      <w:r>
        <w:rPr>
          <w:lang w:val="he-IL"/>
        </w:rPr>
        <w:pict>
          <v:rect id="_x0000_s1054" style="position:absolute;left:0;text-align:left;margin-left:464.5pt;margin-top:8.05pt;width:75.05pt;height:46.75pt;z-index:251635712" o:allowincell="f" filled="f" stroked="f" strokecolor="lime" strokeweight=".25pt">
            <v:textbox style="mso-next-textbox:#_x0000_s1054"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איסור קיום פעילות כלכלית עם גורם זר מסייע והפסקת פעילות כלכלית קיימת</w:t>
                  </w:r>
                </w:p>
              </w:txbxContent>
            </v:textbox>
            <w10:anchorlock/>
          </v:rect>
        </w:pict>
      </w:r>
      <w:r w:rsidR="001C177E">
        <w:rPr>
          <w:rStyle w:val="big-number"/>
          <w:rFonts w:cs="Miriam" w:hint="cs"/>
          <w:rtl/>
        </w:rPr>
        <w:t>4</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t>לא יקיים אדם פעילות כלכלית עם גורם זר מסייע, אלא אם כן התירה ועדת השרים, לאחר שהובאה לפניה עמדת מטה הסנקציות, קיום פעילות כלכלית עם אותו גורם זר מסייע, ובהתאם לתנאי ההיתר.</w:t>
      </w:r>
    </w:p>
    <w:p w:rsidR="001C177E" w:rsidRDefault="001C177E" w:rsidP="001C17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 לפי סעיף קטן (א) יכול שיהיה כללי או לסוגים של פעילויות כלכליות או לפעילות כלכלית מסוימת; היתר כאמור יפורסם ברשומות, וכן באתר האינטרנט של מטה הסנקציות בעברית, בערבית ובאנגלית.</w:t>
      </w:r>
    </w:p>
    <w:p w:rsidR="001C177E" w:rsidRDefault="001C177E" w:rsidP="001C17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השרים לא תיתן היתר לפי סעיף קטן (א), אלא אם כן מצאה כי קיים איטנרס ציבורי למתן ההיתר, ורשאית היא להתנות את מתן ההיתר בתנאים.</w:t>
      </w:r>
    </w:p>
    <w:p w:rsidR="001C177E" w:rsidRDefault="001C177E" w:rsidP="001C17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הכריזה ועדת השרים על גורם זר כגורם זר מסייע ובמועד ההכרזה קיים אדם פעילות כלכלית עם אותו גורם זר, יודיע על כך למטה הסנקציות ויפסיק את הפעילות הכלכלית שלו עם הגורם בזר בתוך 90 ימים ממועד ההכרזה; הוראה זו לא תחול על פעילות כלכלית שהיא הלוואה שניתנה לגורם הזר לפני שהוכרז כגורם זר מסייע.</w:t>
      </w:r>
    </w:p>
    <w:p w:rsidR="001C177E" w:rsidRDefault="001C177E" w:rsidP="001C177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השרים רשאית, מטעמים מיוחדים שיירשמו, להאריך את התקופה להפסקת פעילות כלכלית עם גורם זר מסייע, כאמור בסעיף קטן (ד), בתקופות נוספות שלא יעלו על 90 ימים כל אחת.</w:t>
      </w:r>
    </w:p>
    <w:p w:rsidR="00301EEF" w:rsidRDefault="00301EEF" w:rsidP="001C177E">
      <w:pPr>
        <w:pStyle w:val="P00"/>
        <w:spacing w:before="72"/>
        <w:ind w:left="0" w:right="1134"/>
        <w:rPr>
          <w:rStyle w:val="default"/>
          <w:rFonts w:cs="FrankRuehl" w:hint="cs"/>
          <w:rtl/>
        </w:rPr>
      </w:pPr>
      <w:bookmarkStart w:id="10" w:name="Seif5"/>
      <w:bookmarkEnd w:id="10"/>
      <w:r>
        <w:rPr>
          <w:lang w:val="he-IL"/>
        </w:rPr>
        <w:pict>
          <v:rect id="_x0000_s1055" style="position:absolute;left:0;text-align:left;margin-left:464.5pt;margin-top:8.05pt;width:75.05pt;height:37.65pt;z-index:251636736" o:allowincell="f" filled="f" stroked="f" strokecolor="lime" strokeweight=".25pt">
            <v:textbox style="mso-next-textbox:#_x0000_s1055"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הגבלות על גורמים הקשורים לתאגיד שהוכרז כגורם זר מסייע</w:t>
                  </w:r>
                </w:p>
              </w:txbxContent>
            </v:textbox>
            <w10:anchorlock/>
          </v:rect>
        </w:pict>
      </w:r>
      <w:r w:rsidR="001C177E">
        <w:rPr>
          <w:rStyle w:val="big-number"/>
          <w:rFonts w:cs="Miriam" w:hint="cs"/>
          <w:rtl/>
        </w:rPr>
        <w:t>5</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t xml:space="preserve">הכריזה ועדת השרים על תאגיד כגורם זר מסייע, יחולו לגבי מי ששולט באותו תאגיד או נשלט בידי מי מהם וכן לגבי מי שהוא בעל עניין תאגיד או שהתאגיד הוא בעל עניין בו (בסעיף זה </w:t>
      </w:r>
      <w:r w:rsidR="001C177E">
        <w:rPr>
          <w:rStyle w:val="default"/>
          <w:rFonts w:cs="FrankRuehl"/>
          <w:rtl/>
        </w:rPr>
        <w:t>–</w:t>
      </w:r>
      <w:r w:rsidR="001C177E">
        <w:rPr>
          <w:rStyle w:val="default"/>
          <w:rFonts w:cs="FrankRuehl" w:hint="cs"/>
          <w:rtl/>
        </w:rPr>
        <w:t xml:space="preserve"> גורמים הקשורים לתאגיד הזר המסייע), הוראות אלה:</w:t>
      </w:r>
    </w:p>
    <w:p w:rsidR="001C177E" w:rsidRDefault="001C177E" w:rsidP="001C17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תתבצע עמם התקשרות לפי חוק חובת המכרזים ולא יוארך תוקפה של התקשרות כאמור;</w:t>
      </w:r>
    </w:p>
    <w:p w:rsidR="001C177E" w:rsidRDefault="001C177E" w:rsidP="001C17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תינתן להם זכות כלכלית הניתנת לפי כל דין, לרבות רישיון או זיכיון, ולא תחודש לגביהם זכות כאמור;</w:t>
      </w:r>
    </w:p>
    <w:p w:rsidR="001C177E" w:rsidRDefault="001C177E" w:rsidP="001C17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הם לא יהיו זכאים לסיוע ממשלתי שהיו זכאים לו לפי כל דין או נוהל.</w:t>
      </w:r>
    </w:p>
    <w:p w:rsidR="001C177E" w:rsidRDefault="001C177E" w:rsidP="001C17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ועדת השרים רשאית, לאחר שהובאה לפניה עמדת מטה הסנקציות, להתיר ביצוע פעולה מהפעולות המנויות בפסקאות (1) עד (3) של אותו סעיף קטן לגבי גורם מהגורמים הקשורים לתאגיד הזר המסייע, אם מצאה כי קיים אינטרס ציבורי למתן ההיתר, ורשאית היא להתנות את מתן ההיתר בתנאים.</w:t>
      </w:r>
    </w:p>
    <w:p w:rsidR="001C177E" w:rsidRDefault="001C177E" w:rsidP="001C17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היתר לפי סעיף קטן (ב) יכול שיהיה כללי או לסוגים של פעולות או לפעולה מסוימת; היתר כאמור יפורסם ברשומות, וכן באתר האינטרנט של מטה הסנקציות בעברית, בערבית ובאנגלית.</w:t>
      </w:r>
    </w:p>
    <w:p w:rsidR="00301EEF" w:rsidRDefault="00301EEF" w:rsidP="001C177E">
      <w:pPr>
        <w:pStyle w:val="P00"/>
        <w:spacing w:before="72"/>
        <w:ind w:left="0" w:right="1134"/>
        <w:rPr>
          <w:rStyle w:val="default"/>
          <w:rFonts w:cs="FrankRuehl" w:hint="cs"/>
          <w:rtl/>
        </w:rPr>
      </w:pPr>
      <w:bookmarkStart w:id="11" w:name="Seif6"/>
      <w:bookmarkEnd w:id="11"/>
      <w:r>
        <w:rPr>
          <w:lang w:val="he-IL"/>
        </w:rPr>
        <w:pict>
          <v:rect id="_x0000_s1056" style="position:absolute;left:0;text-align:left;margin-left:464.5pt;margin-top:8.05pt;width:75.05pt;height:35.75pt;z-index:251637760" o:allowincell="f" filled="f" stroked="f" strokecolor="lime" strokeweight=".25pt">
            <v:textbox style="mso-next-textbox:#_x0000_s1056"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חובת דיווח למשטרת ישראל על קיום פעילות כלכלית עם גורם זר מסייע</w:t>
                  </w:r>
                </w:p>
              </w:txbxContent>
            </v:textbox>
            <w10:anchorlock/>
          </v:rect>
        </w:pict>
      </w:r>
      <w:r w:rsidR="001C177E">
        <w:rPr>
          <w:rStyle w:val="big-number"/>
          <w:rFonts w:cs="Miriam" w:hint="cs"/>
          <w:rtl/>
        </w:rPr>
        <w:t>6</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t>התבקש אדם לקיים פעילות כלכלית במהלך עסקיו או במילוי תפקידו, והיה לאותו אדם חשד סביר כי הפעילות הכלכלית היא עם גורם זר מסייע, או קיים אדם פעילות כלכלית והיה לו במועד קיום הפעילות הכלכלית או בתוך שישה חודשים מהמועד האמור חשד סביר כאמור, ידווח על כך למשטרת ישראל.</w:t>
      </w:r>
    </w:p>
    <w:p w:rsidR="001C177E" w:rsidRDefault="001C177E" w:rsidP="001C17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דיווח כאמור בסעיף קטן (א) יכלול כל מידע הידוע למדווח והנוגע לעניין, ויימסר סמוך ככל האפשר, בנסיבות העניין, למועד שבו היה לאותו אדם חשד סביר להניח כאמור באותו סעיף קטן.</w:t>
      </w:r>
    </w:p>
    <w:p w:rsidR="001C177E" w:rsidRDefault="001C177E" w:rsidP="001C17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דרכי הדיווח והמועדים לפי סעיף זה יהיו בהתאם לדרכי הדיווח והמועדים שנקבעו לפי סעיפים 6(ב) ו-7(ה) לחוק איסור הלבנת הון, אלא אם כן קבעו אחרת השרים האמורים באותם סעיפים לאחר התייעצות כאמור באותם סעיפים.</w:t>
      </w:r>
    </w:p>
    <w:p w:rsidR="001C177E" w:rsidRDefault="001C177E" w:rsidP="001C17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דיווח לפי סעיף קטן (א) אינו גורע מחובת הדיווח לפי הוראות כל דין.</w:t>
      </w:r>
    </w:p>
    <w:p w:rsidR="001C177E" w:rsidRDefault="001C177E" w:rsidP="001C177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לא יחולו על פעילות כלכלית אשר לעשייתה ניתן היתר לפי סעיף 4(א) אלא אם כן צוין אחרת בהיתר.</w:t>
      </w:r>
    </w:p>
    <w:p w:rsidR="00301EEF" w:rsidRDefault="00301EEF" w:rsidP="001C177E">
      <w:pPr>
        <w:pStyle w:val="P00"/>
        <w:spacing w:before="72"/>
        <w:ind w:left="0" w:right="1134"/>
        <w:rPr>
          <w:rStyle w:val="default"/>
          <w:rFonts w:cs="FrankRuehl" w:hint="cs"/>
          <w:rtl/>
        </w:rPr>
      </w:pPr>
      <w:bookmarkStart w:id="12" w:name="Seif7"/>
      <w:bookmarkEnd w:id="12"/>
      <w:r>
        <w:rPr>
          <w:lang w:val="he-IL"/>
        </w:rPr>
        <w:pict>
          <v:rect id="_x0000_s1057" style="position:absolute;left:0;text-align:left;margin-left:464.5pt;margin-top:8.05pt;width:75.05pt;height:24.65pt;z-index:251638784" o:allowincell="f" filled="f" stroked="f" strokecolor="lime" strokeweight=".25pt">
            <v:textbox style="mso-next-textbox:#_x0000_s1057"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פטור מאחריות והגבלות על גילוי דיווח</w:t>
                  </w:r>
                </w:p>
              </w:txbxContent>
            </v:textbox>
            <w10:anchorlock/>
          </v:rect>
        </w:pict>
      </w:r>
      <w:r w:rsidR="001C177E">
        <w:rPr>
          <w:rStyle w:val="big-number"/>
          <w:rFonts w:cs="Miriam" w:hint="cs"/>
          <w:rtl/>
        </w:rPr>
        <w:t>7</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t>אי-עשיית פעילות כלכלית, מחדל אחר או מעשה שנעשו בתום לב כדי להימנע מעבירה לפי סעיף 29(א), וכן דיווח או גילוי שנעשו בתום לב לצורך קיום הוראות סימן זה, ופעולה בהתאם להנחיות משטרת ישראל, אין בהם הפרה של חובת סודיות ונאמנות או של חובה אחרת לפי כל דין או הסכם, ומי שעשה או שנמנע מעשייה כאמור לא יישא באחריות פלילית, אזרחית או משמעתית בשל המעשה או המחדל; הוראות סעיף 24(ב) ו-(ג) לחוק איסור הלבנת הון יחולו לעניין מעשה או מחדל לפי סעיף קטן זה.</w:t>
      </w:r>
    </w:p>
    <w:p w:rsidR="001C177E" w:rsidRDefault="001C177E" w:rsidP="001C17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25 לחוק איסור הלבנת הון יחול לעניין גילוי ודיווח לפי הוראות סימן זה, בשינויים המחויבים.</w:t>
      </w:r>
    </w:p>
    <w:p w:rsidR="00301EEF" w:rsidRDefault="00301EEF" w:rsidP="00A21362">
      <w:pPr>
        <w:pStyle w:val="P00"/>
        <w:spacing w:before="72"/>
        <w:ind w:left="0" w:right="1134"/>
        <w:rPr>
          <w:rStyle w:val="default"/>
          <w:rFonts w:cs="FrankRuehl" w:hint="cs"/>
          <w:rtl/>
        </w:rPr>
      </w:pPr>
      <w:bookmarkStart w:id="13" w:name="Seif8"/>
      <w:bookmarkEnd w:id="13"/>
      <w:r>
        <w:rPr>
          <w:lang w:val="he-IL"/>
        </w:rPr>
        <w:pict>
          <v:rect id="_x0000_s1058" style="position:absolute;left:0;text-align:left;margin-left:464.5pt;margin-top:8.05pt;width:75.05pt;height:16.75pt;z-index:251639808" o:allowincell="f" filled="f" stroked="f" strokecolor="lime" strokeweight=".25pt">
            <v:textbox style="mso-next-textbox:#_x0000_s1058" inset="0,0,0,0">
              <w:txbxContent>
                <w:p w:rsidR="00A45F06" w:rsidRDefault="00A45F06" w:rsidP="00A21362">
                  <w:pPr>
                    <w:spacing w:line="160" w:lineRule="exact"/>
                    <w:jc w:val="left"/>
                    <w:rPr>
                      <w:rFonts w:cs="Miriam" w:hint="cs"/>
                      <w:noProof/>
                      <w:sz w:val="18"/>
                      <w:szCs w:val="18"/>
                      <w:rtl/>
                    </w:rPr>
                  </w:pPr>
                  <w:r>
                    <w:rPr>
                      <w:rFonts w:cs="Miriam" w:hint="cs"/>
                      <w:sz w:val="18"/>
                      <w:szCs w:val="18"/>
                      <w:rtl/>
                    </w:rPr>
                    <w:t>תחולת הוראות חוק איסור הלבנת הון</w:t>
                  </w:r>
                </w:p>
              </w:txbxContent>
            </v:textbox>
            <w10:anchorlock/>
          </v:rect>
        </w:pict>
      </w:r>
      <w:r w:rsidR="001C177E">
        <w:rPr>
          <w:rStyle w:val="big-number"/>
          <w:rFonts w:cs="Miriam" w:hint="cs"/>
          <w:rtl/>
        </w:rPr>
        <w:t>8</w:t>
      </w:r>
      <w:r w:rsidRPr="00301EEF">
        <w:rPr>
          <w:rStyle w:val="default"/>
          <w:rFonts w:cs="FrankRuehl"/>
          <w:rtl/>
        </w:rPr>
        <w:t>.</w:t>
      </w:r>
      <w:r w:rsidRPr="00301EEF">
        <w:rPr>
          <w:rStyle w:val="default"/>
          <w:rFonts w:cs="FrankRuehl"/>
          <w:rtl/>
        </w:rPr>
        <w:tab/>
      </w:r>
      <w:r w:rsidR="00A21362">
        <w:rPr>
          <w:rStyle w:val="default"/>
          <w:rFonts w:cs="FrankRuehl" w:hint="cs"/>
          <w:rtl/>
        </w:rPr>
        <w:t>(א)</w:t>
      </w:r>
      <w:r w:rsidR="00A21362">
        <w:rPr>
          <w:rStyle w:val="default"/>
          <w:rFonts w:cs="FrankRuehl" w:hint="cs"/>
          <w:rtl/>
        </w:rPr>
        <w:tab/>
        <w:t>הסמכויות הנתונות לנגיד בנק ישראל ולשר להוציא צווים לשם אכיפתו של חוק איסור הלבנת הון, כאמור בסעיף 7 לחוק האמור, יהיו נתונות להם גם לשם אכיפת הוראות סימן זה וכן יהיה רשאי כל אחד מהם, בהסכמת שר המשפטים ובהתייעצות עם השר לביטחון הפנים, לקבוע בצו, לגבי תאגיד בנקאי או גוף, כאמור בסעיף 7 לחוק איסור הלבנת הון, הוראות בדבר בדיקת פרטי הזיהוי של צדדים לפעילות כלכלית אל מול פרטי הזיהוי של גורמים זרים מסייעים.</w:t>
      </w:r>
    </w:p>
    <w:p w:rsidR="00A21362" w:rsidRDefault="00A21362" w:rsidP="00A21362">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דיווחים שיתקבלו לפי סעיף זה ברשות לאיסור הלבנת הון ומימון טרור יישמרו במאגר המידע שהוקם לפי סעיף 28 לחוק איסור הלבנת הון; העברת מידע שהתקבל לפי סעיף זה או לצורך אכיפת הוראות סימן זה ממאגר המידע, תיעשה לפי הוראות חוק איסור הלבנת הון;</w:t>
      </w:r>
    </w:p>
    <w:p w:rsidR="00A21362" w:rsidRDefault="00A21362" w:rsidP="00A213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אדם שהגיע אליו מידע לפי פסקה (1), תוך כדי מילוי תפקידו או במהלך עבודתו, ישמרנו בסוד, לא יגלה אותו לאחר ולא יעשה בו כל שימוש, אלא לפי הוראות חוק איסור הלבנת הון או לפי צו בית משפט; מי שגילה מידע שהגיע אליו או עשה בו שימוש, בניגוד להוראות פסקה (1), דינו </w:t>
      </w:r>
      <w:r>
        <w:rPr>
          <w:rStyle w:val="default"/>
          <w:rFonts w:cs="FrankRuehl"/>
          <w:rtl/>
        </w:rPr>
        <w:t>–</w:t>
      </w:r>
      <w:r>
        <w:rPr>
          <w:rStyle w:val="default"/>
          <w:rFonts w:cs="FrankRuehl" w:hint="cs"/>
          <w:rtl/>
        </w:rPr>
        <w:t xml:space="preserve"> מאסר שלוש שנים או קנס כאמור בסעיף 61(א)(3) לחוק העונשין; הגורם ברשלנות לגילוי מידע לאחר, בניגוד להוראות פסקה (1), תוך הפרת הוראה מהוראות שנקבעו לאבטחת מידע לפי חוק איסור הלבנת הון, או תוך הפרת כלל או נוהל שקבע ראש הרשות לאיסור הלבנת הון ומימון טרור לפי הוראות כאמור, דינו </w:t>
      </w:r>
      <w:r>
        <w:rPr>
          <w:rStyle w:val="default"/>
          <w:rFonts w:cs="FrankRuehl"/>
          <w:rtl/>
        </w:rPr>
        <w:t>–</w:t>
      </w:r>
      <w:r>
        <w:rPr>
          <w:rStyle w:val="default"/>
          <w:rFonts w:cs="FrankRuehl" w:hint="cs"/>
          <w:rtl/>
        </w:rPr>
        <w:t xml:space="preserve"> מאסר שנה או קנס כאמור בסעיף 61(א)(2) לחוק העונשין.</w:t>
      </w:r>
    </w:p>
    <w:p w:rsidR="00A21362" w:rsidRDefault="00A21362" w:rsidP="00A2136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9398B">
        <w:rPr>
          <w:rStyle w:val="default"/>
          <w:rFonts w:cs="FrankRuehl" w:hint="cs"/>
          <w:rtl/>
        </w:rPr>
        <w:t>אחראי למילוי חובות בתאגיד בנקאי ובכל גוף המנוי בתוספת השלישית לחוק איסור הלבנת הון, שמונה לפי סעיף 8 לחוק האמור, יפעל גם לקיום החובות שיוטלו בצווים לפי סעיף קטן (א), על התאגיד או הגוף האמור, ולהדרכת העובדים לקיום החובות כאמור ולפיקוח על מילוין.</w:t>
      </w:r>
    </w:p>
    <w:p w:rsidR="0019398B" w:rsidRDefault="0019398B" w:rsidP="001939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המפקחים שמונו לפי סעיף 11יד לחוק איסור הלבנת הון, יפקחו גם על ביצוע הוראות צווים לפי סעיף קטן (א), שעניינן חובות תאגיד בנקאי וכל גוף המנוי בתוספת השלישית לחוק האמור, ולשם כך יהיו נתונות להם הסמכויות לפי החוק האמור ויחולו הוראות פרק ד'2 לחוק האמור.</w:t>
      </w:r>
    </w:p>
    <w:p w:rsidR="0019398B" w:rsidRDefault="0019398B" w:rsidP="001939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14 לחוק איסור הלבנת הון הקובעות עיצום כספי על הפרת הוראות לפי החוק האמור, יחולו גם לעניין הפרת הוראות צווים לפי סעיף קטן (א); הסמכויות הנתונות לוועדה להטלת עיצום כספי שהוקמה לפי סעיף 13 לחוק איסור הלבנת הון, יהיו נתונות לה גם לגבי מי שהפר את הוראות הצווים האמורים ולעניין עיצום כספי יחולו ההוראות לפי פרק ה' לחוק האמור.</w:t>
      </w:r>
    </w:p>
    <w:p w:rsidR="0019398B" w:rsidRDefault="0019398B" w:rsidP="0019398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הוטל עיצום כספי לפי סעיף זה ושולם העיצום, לא יוגש כתב אישום בשל עבירה לפי סעיף 29(ב) בשל אותו מעשה שבשלו הוטל העיצום הכספי.</w:t>
      </w:r>
    </w:p>
    <w:p w:rsidR="0019398B" w:rsidRDefault="0019398B" w:rsidP="0019398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מעשה אחד המהווה הפרה של הוראות צו לפי סעיף קטן (א), לא יוטל יותר מעיצום כספי אחד, אף אם המעשה מהווה גם הפרה של צו לפי חוק איסור הלבנת הון.</w:t>
      </w:r>
    </w:p>
    <w:p w:rsidR="0019398B" w:rsidRPr="0019398B" w:rsidRDefault="0019398B" w:rsidP="0019398B">
      <w:pPr>
        <w:pStyle w:val="header-2"/>
        <w:ind w:left="0" w:right="1134"/>
        <w:rPr>
          <w:rFonts w:cs="Miriam" w:hint="cs"/>
          <w:rtl/>
        </w:rPr>
      </w:pPr>
      <w:bookmarkStart w:id="14" w:name="hed21"/>
      <w:bookmarkEnd w:id="14"/>
      <w:r w:rsidRPr="0019398B">
        <w:rPr>
          <w:rFonts w:cs="Miriam" w:hint="cs"/>
          <w:rtl/>
        </w:rPr>
        <w:t>סימן ב': הכרזה על גורם זר שהוא תאגיד כמקיים קשר עסקי עם איראן</w:t>
      </w:r>
    </w:p>
    <w:p w:rsidR="00301EEF" w:rsidRDefault="00301EEF" w:rsidP="0019398B">
      <w:pPr>
        <w:pStyle w:val="P00"/>
        <w:spacing w:before="72"/>
        <w:ind w:left="0" w:right="1134"/>
        <w:rPr>
          <w:rStyle w:val="default"/>
          <w:rFonts w:cs="FrankRuehl" w:hint="cs"/>
          <w:rtl/>
        </w:rPr>
      </w:pPr>
      <w:bookmarkStart w:id="15" w:name="Seif9"/>
      <w:bookmarkEnd w:id="15"/>
      <w:r>
        <w:rPr>
          <w:lang w:val="he-IL"/>
        </w:rPr>
        <w:pict>
          <v:rect id="_x0000_s1059" style="position:absolute;left:0;text-align:left;margin-left:464.5pt;margin-top:8.05pt;width:75.05pt;height:44.95pt;z-index:251640832" o:allowincell="f" filled="f" stroked="f" strokecolor="lime" strokeweight=".25pt">
            <v:textbox style="mso-next-textbox:#_x0000_s1059" inset="0,0,0,0">
              <w:txbxContent>
                <w:p w:rsidR="00A45F06" w:rsidRDefault="00A45F06" w:rsidP="00301EEF">
                  <w:pPr>
                    <w:spacing w:line="160" w:lineRule="exact"/>
                    <w:jc w:val="left"/>
                    <w:rPr>
                      <w:rFonts w:cs="Miriam"/>
                      <w:noProof/>
                      <w:sz w:val="18"/>
                      <w:szCs w:val="18"/>
                      <w:rtl/>
                    </w:rPr>
                  </w:pPr>
                  <w:r>
                    <w:rPr>
                      <w:rFonts w:cs="Miriam" w:hint="cs"/>
                      <w:sz w:val="18"/>
                      <w:szCs w:val="18"/>
                      <w:rtl/>
                    </w:rPr>
                    <w:t>הכרזה על תאגיד המקיים קשר עסקי עם איראן</w:t>
                  </w:r>
                </w:p>
                <w:p w:rsidR="0097292E" w:rsidRDefault="0097292E" w:rsidP="00301EEF">
                  <w:pPr>
                    <w:spacing w:line="160" w:lineRule="exact"/>
                    <w:jc w:val="left"/>
                    <w:rPr>
                      <w:rFonts w:cs="Miriam" w:hint="cs"/>
                      <w:noProof/>
                      <w:sz w:val="18"/>
                      <w:szCs w:val="18"/>
                      <w:rtl/>
                    </w:rPr>
                  </w:pPr>
                  <w:r>
                    <w:rPr>
                      <w:rFonts w:cs="Miriam" w:hint="cs"/>
                      <w:noProof/>
                      <w:sz w:val="18"/>
                      <w:szCs w:val="18"/>
                      <w:rtl/>
                    </w:rPr>
                    <w:t>(תיקון מס' 1) תשע"ח-2018</w:t>
                  </w:r>
                </w:p>
              </w:txbxContent>
            </v:textbox>
            <w10:anchorlock/>
          </v:rect>
        </w:pict>
      </w:r>
      <w:r w:rsidR="0019398B">
        <w:rPr>
          <w:rStyle w:val="big-number"/>
          <w:rFonts w:cs="Miriam" w:hint="cs"/>
          <w:rtl/>
        </w:rPr>
        <w:t>9</w:t>
      </w:r>
      <w:r w:rsidRPr="00301EEF">
        <w:rPr>
          <w:rStyle w:val="default"/>
          <w:rFonts w:cs="FrankRuehl"/>
          <w:rtl/>
        </w:rPr>
        <w:t>.</w:t>
      </w:r>
      <w:r w:rsidRPr="00301EEF">
        <w:rPr>
          <w:rStyle w:val="default"/>
          <w:rFonts w:cs="FrankRuehl"/>
          <w:rtl/>
        </w:rPr>
        <w:tab/>
      </w:r>
      <w:r w:rsidR="0019398B">
        <w:rPr>
          <w:rStyle w:val="default"/>
          <w:rFonts w:cs="FrankRuehl" w:hint="cs"/>
          <w:rtl/>
        </w:rPr>
        <w:t>(א)</w:t>
      </w:r>
      <w:r w:rsidR="0019398B">
        <w:rPr>
          <w:rStyle w:val="default"/>
          <w:rFonts w:cs="FrankRuehl" w:hint="cs"/>
          <w:rtl/>
        </w:rPr>
        <w:tab/>
        <w:t xml:space="preserve">ועדת השרים תקבע בהכרזה (להלן </w:t>
      </w:r>
      <w:r w:rsidR="0019398B">
        <w:rPr>
          <w:rStyle w:val="default"/>
          <w:rFonts w:cs="FrankRuehl"/>
          <w:rtl/>
        </w:rPr>
        <w:t>–</w:t>
      </w:r>
      <w:r w:rsidR="0019398B">
        <w:rPr>
          <w:rStyle w:val="default"/>
          <w:rFonts w:cs="FrankRuehl" w:hint="cs"/>
          <w:rtl/>
        </w:rPr>
        <w:t xml:space="preserve"> תכריז), בהתאם להוראות סימן ג', כי גורם זר שהוא תאגיד מקיים קשר עסקי עם איראן (בחוק זה </w:t>
      </w:r>
      <w:r w:rsidR="0019398B">
        <w:rPr>
          <w:rStyle w:val="default"/>
          <w:rFonts w:cs="FrankRuehl"/>
          <w:rtl/>
        </w:rPr>
        <w:t>–</w:t>
      </w:r>
      <w:r w:rsidR="0019398B">
        <w:rPr>
          <w:rStyle w:val="default"/>
          <w:rFonts w:cs="FrankRuehl" w:hint="cs"/>
          <w:rtl/>
        </w:rPr>
        <w:t xml:space="preserve"> תאגיד המקיים קשר עסקי עם איראן)</w:t>
      </w:r>
      <w:r w:rsidR="0097292E">
        <w:rPr>
          <w:rStyle w:val="default"/>
          <w:rFonts w:cs="FrankRuehl" w:hint="cs"/>
          <w:rtl/>
        </w:rPr>
        <w:t xml:space="preserve"> </w:t>
      </w:r>
      <w:r w:rsidR="0097292E" w:rsidRPr="0097292E">
        <w:rPr>
          <w:rStyle w:val="default"/>
          <w:rFonts w:cs="FrankRuehl" w:hint="cs"/>
          <w:rtl/>
        </w:rPr>
        <w:t>אם נוכחה, לאחר שהובאה לפניה עמדת מטה הסנקציות, כי הגורם הזר מקיים קשר עסקי מהותי עם איראן.</w:t>
      </w:r>
    </w:p>
    <w:p w:rsidR="0097292E" w:rsidRDefault="0097292E" w:rsidP="0097292E">
      <w:pPr>
        <w:pStyle w:val="P00"/>
        <w:spacing w:before="72"/>
        <w:ind w:left="0" w:right="1134"/>
        <w:rPr>
          <w:rStyle w:val="default"/>
          <w:rFonts w:cs="FrankRuehl" w:hint="cs"/>
          <w:rtl/>
        </w:rPr>
      </w:pPr>
      <w:r>
        <w:rPr>
          <w:lang w:val="he-IL"/>
        </w:rPr>
        <w:pict>
          <v:rect id="_x0000_s1103" style="position:absolute;left:0;text-align:left;margin-left:464.35pt;margin-top:7.1pt;width:75.05pt;height:15.35pt;z-index:251680768" o:allowincell="f" filled="f" stroked="f" strokecolor="lime" strokeweight=".25pt">
            <v:textbox style="mso-next-textbox:#_x0000_s1103" inset="0,0,0,0">
              <w:txbxContent>
                <w:p w:rsidR="0097292E" w:rsidRDefault="0097292E" w:rsidP="0097292E">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hint="cs"/>
          <w:rtl/>
        </w:rPr>
        <w:t>(ב)</w:t>
      </w:r>
      <w:r>
        <w:rPr>
          <w:rStyle w:val="default"/>
          <w:rFonts w:cs="FrankRuehl"/>
          <w:rtl/>
        </w:rPr>
        <w:tab/>
      </w:r>
      <w:r>
        <w:rPr>
          <w:rStyle w:val="default"/>
          <w:rFonts w:cs="FrankRuehl" w:hint="cs"/>
          <w:rtl/>
        </w:rPr>
        <w:t>(בוטל).</w:t>
      </w:r>
    </w:p>
    <w:p w:rsidR="0019398B" w:rsidRDefault="0097292E" w:rsidP="0097292E">
      <w:pPr>
        <w:pStyle w:val="P00"/>
        <w:spacing w:before="72"/>
        <w:ind w:left="0" w:right="1134"/>
        <w:rPr>
          <w:rStyle w:val="default"/>
          <w:rFonts w:cs="FrankRuehl" w:hint="cs"/>
          <w:rtl/>
        </w:rPr>
      </w:pPr>
      <w:r>
        <w:rPr>
          <w:lang w:val="he-IL"/>
        </w:rPr>
        <w:pict>
          <v:rect id="_x0000_s1102" style="position:absolute;left:0;text-align:left;margin-left:464.35pt;margin-top:7.1pt;width:75.05pt;height:15.35pt;z-index:251679744" o:allowincell="f" filled="f" stroked="f" strokecolor="lime" strokeweight=".25pt">
            <v:textbox style="mso-next-textbox:#_x0000_s1102" inset="0,0,0,0">
              <w:txbxContent>
                <w:p w:rsidR="0097292E" w:rsidRDefault="0097292E" w:rsidP="0097292E">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hint="cs"/>
          <w:rtl/>
        </w:rPr>
        <w:t>(</w:t>
      </w:r>
      <w:r w:rsidR="0019398B">
        <w:rPr>
          <w:rStyle w:val="default"/>
          <w:rFonts w:cs="FrankRuehl" w:hint="cs"/>
          <w:rtl/>
        </w:rPr>
        <w:t>ג)</w:t>
      </w:r>
      <w:r w:rsidR="0019398B">
        <w:rPr>
          <w:rStyle w:val="default"/>
          <w:rFonts w:cs="FrankRuehl" w:hint="cs"/>
          <w:rtl/>
        </w:rPr>
        <w:tab/>
        <w:t xml:space="preserve">הכריזה ועדת השרים על תאגיד כתאגיד המקיים קשר עסקי עם איראן, רשאית היא, לאחר שהובאה לפניה עמדת מטה הסנקציות, להכריז גם על גורם זר שהוא תאגיד השולט באותו תאגיד או נשלט בידי מי מהם כתאגיד המקיים קשר עסקי עם איראן, אף אם לא מתקיים לגביו </w:t>
      </w:r>
      <w:r w:rsidRPr="0097292E">
        <w:rPr>
          <w:rStyle w:val="default"/>
          <w:rFonts w:cs="FrankRuehl" w:hint="cs"/>
          <w:rtl/>
        </w:rPr>
        <w:t>האמור בסעיף קטן (א)</w:t>
      </w:r>
      <w:r w:rsidR="0019398B">
        <w:rPr>
          <w:rStyle w:val="default"/>
          <w:rFonts w:cs="FrankRuehl" w:hint="cs"/>
          <w:rtl/>
        </w:rPr>
        <w:t>.</w:t>
      </w:r>
    </w:p>
    <w:p w:rsidR="0019398B" w:rsidRDefault="0097292E" w:rsidP="0097292E">
      <w:pPr>
        <w:pStyle w:val="P00"/>
        <w:spacing w:before="72"/>
        <w:ind w:left="0" w:right="1134"/>
        <w:rPr>
          <w:rStyle w:val="default"/>
          <w:rFonts w:cs="FrankRuehl" w:hint="cs"/>
          <w:rtl/>
        </w:rPr>
      </w:pPr>
      <w:r>
        <w:rPr>
          <w:lang w:val="he-IL"/>
        </w:rPr>
        <w:pict>
          <v:rect id="_x0000_s1104" style="position:absolute;left:0;text-align:left;margin-left:464.35pt;margin-top:7.1pt;width:75.05pt;height:15.35pt;z-index:251681792" o:allowincell="f" filled="f" stroked="f" strokecolor="lime" strokeweight=".25pt">
            <v:textbox style="mso-next-textbox:#_x0000_s1104" inset="0,0,0,0">
              <w:txbxContent>
                <w:p w:rsidR="0097292E" w:rsidRDefault="0097292E" w:rsidP="0097292E">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sz w:val="26"/>
          <w:rtl/>
        </w:rPr>
        <w:tab/>
      </w:r>
      <w:r>
        <w:rPr>
          <w:rStyle w:val="default"/>
          <w:rFonts w:cs="FrankRuehl" w:hint="cs"/>
          <w:rtl/>
        </w:rPr>
        <w:t>(</w:t>
      </w:r>
      <w:r w:rsidR="0019398B">
        <w:rPr>
          <w:rStyle w:val="default"/>
          <w:rFonts w:cs="FrankRuehl" w:hint="cs"/>
          <w:rtl/>
        </w:rPr>
        <w:t>ד)</w:t>
      </w:r>
      <w:r w:rsidR="0019398B">
        <w:rPr>
          <w:rStyle w:val="default"/>
          <w:rFonts w:cs="FrankRuehl" w:hint="cs"/>
          <w:rtl/>
        </w:rPr>
        <w:tab/>
      </w:r>
      <w:r w:rsidR="00962737">
        <w:rPr>
          <w:rStyle w:val="default"/>
          <w:rFonts w:cs="FrankRuehl" w:hint="cs"/>
          <w:rtl/>
        </w:rPr>
        <w:t xml:space="preserve">על אף הוראות סעיף קטן (א), רשאית ועדת השרים, בהחלטה מנומקת בכתב, שלא להכריז על גורם זר שהוא תאגיד כתאגיד המקיים קשר עסקי עם איראן, אף אם מתקיים לגביו </w:t>
      </w:r>
      <w:r w:rsidRPr="0097292E">
        <w:rPr>
          <w:rStyle w:val="default"/>
          <w:rFonts w:cs="FrankRuehl" w:hint="cs"/>
          <w:rtl/>
        </w:rPr>
        <w:t>האמור באותו סעיף קטן</w:t>
      </w:r>
      <w:r w:rsidR="00962737">
        <w:rPr>
          <w:rStyle w:val="default"/>
          <w:rFonts w:cs="FrankRuehl" w:hint="cs"/>
          <w:rtl/>
        </w:rPr>
        <w:t>, אם מצאה, לאחר שהובאה לפניה עמדת מטה הסנקציות, כי קיים אינטרס ציבורי שלא לעשות כן.</w:t>
      </w:r>
    </w:p>
    <w:p w:rsidR="00962737" w:rsidRDefault="00962737" w:rsidP="0096273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רשימת הגורמים שהוכרזו כתאגידים המקיימים קשר עסקי עם איראן תפורסם, בסמוך לאחר מועד ההכרזה, באתר האינטרנט של מטה הסנקציות, בעברית, בערבית ובאנגלית, ויפורטו בה, לגבי כל אחד מהגורמים הנכללים בה, פרטי זהותו והמועד שבו ניתנה לגביו ההכרזה.</w:t>
      </w:r>
    </w:p>
    <w:p w:rsidR="00962737" w:rsidRDefault="00962737" w:rsidP="00962737">
      <w:pPr>
        <w:pStyle w:val="P00"/>
        <w:spacing w:before="72"/>
        <w:ind w:left="0" w:right="1134"/>
        <w:rPr>
          <w:rStyle w:val="default"/>
          <w:rFonts w:cs="FrankRuehl"/>
          <w:rtl/>
        </w:rPr>
      </w:pPr>
      <w:r>
        <w:rPr>
          <w:rStyle w:val="default"/>
          <w:rFonts w:cs="FrankRuehl" w:hint="cs"/>
          <w:rtl/>
        </w:rPr>
        <w:tab/>
        <w:t>(ו)</w:t>
      </w:r>
      <w:r>
        <w:rPr>
          <w:rStyle w:val="default"/>
          <w:rFonts w:cs="FrankRuehl" w:hint="cs"/>
          <w:rtl/>
        </w:rPr>
        <w:tab/>
        <w:t>ועדת השרים, באמצעות מטה הסנקציות, תמסור הודעה על הכרזה לפי סעיף זה למפקח על הבנקים בבנק ישראל, לממונה על שוק ההון, הביטוח והחיסכון במשרד האוצר, ליושב ראש רשות ניירות ערך, לראש הרשות לאיסור הלבנת הון ומימון טרור וליושב ראש לשכת התיאום של הארגונים הכלכליים.</w:t>
      </w:r>
    </w:p>
    <w:p w:rsidR="0097292E" w:rsidRPr="0097292E" w:rsidRDefault="0097292E" w:rsidP="0097292E">
      <w:pPr>
        <w:pStyle w:val="P00"/>
        <w:spacing w:before="0"/>
        <w:ind w:left="0" w:right="1134"/>
        <w:rPr>
          <w:rStyle w:val="default"/>
          <w:rFonts w:ascii="FrankRuehl" w:hAnsi="FrankRuehl" w:cs="FrankRuehl"/>
          <w:vanish/>
          <w:color w:val="FF0000"/>
          <w:sz w:val="20"/>
          <w:szCs w:val="20"/>
          <w:shd w:val="clear" w:color="auto" w:fill="FFFF99"/>
          <w:rtl/>
        </w:rPr>
      </w:pPr>
      <w:bookmarkStart w:id="16" w:name="Rov56"/>
      <w:r w:rsidRPr="0097292E">
        <w:rPr>
          <w:rStyle w:val="default"/>
          <w:rFonts w:ascii="FrankRuehl" w:hAnsi="FrankRuehl" w:cs="FrankRuehl"/>
          <w:vanish/>
          <w:color w:val="FF0000"/>
          <w:sz w:val="20"/>
          <w:szCs w:val="20"/>
          <w:shd w:val="clear" w:color="auto" w:fill="FFFF99"/>
          <w:rtl/>
        </w:rPr>
        <w:t>מיום 11.3.2018</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b/>
          <w:bCs/>
          <w:vanish/>
          <w:sz w:val="20"/>
          <w:szCs w:val="20"/>
          <w:shd w:val="clear" w:color="auto" w:fill="FFFF99"/>
          <w:rtl/>
        </w:rPr>
        <w:t>תיקון מס' 1</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hyperlink r:id="rId12" w:history="1">
        <w:r w:rsidRPr="0097292E">
          <w:rPr>
            <w:rStyle w:val="Hyperlink"/>
            <w:rFonts w:ascii="FrankRuehl" w:hAnsi="FrankRuehl" w:cs="FrankRuehl"/>
            <w:vanish/>
            <w:szCs w:val="20"/>
            <w:shd w:val="clear" w:color="auto" w:fill="FFFF99"/>
            <w:rtl/>
          </w:rPr>
          <w:t>ס"ח תשע"ח מס' 2699</w:t>
        </w:r>
      </w:hyperlink>
      <w:r w:rsidRPr="0097292E">
        <w:rPr>
          <w:rStyle w:val="default"/>
          <w:rFonts w:ascii="FrankRuehl" w:hAnsi="FrankRuehl" w:cs="FrankRuehl"/>
          <w:vanish/>
          <w:sz w:val="20"/>
          <w:szCs w:val="20"/>
          <w:shd w:val="clear" w:color="auto" w:fill="FFFF99"/>
          <w:rtl/>
        </w:rPr>
        <w:t xml:space="preserve"> מיום 11.3.2018 עמ' </w:t>
      </w:r>
      <w:r w:rsidRPr="0097292E">
        <w:rPr>
          <w:rStyle w:val="default"/>
          <w:rFonts w:ascii="FrankRuehl" w:hAnsi="FrankRuehl" w:cs="FrankRuehl" w:hint="cs"/>
          <w:vanish/>
          <w:sz w:val="20"/>
          <w:szCs w:val="20"/>
          <w:shd w:val="clear" w:color="auto" w:fill="FFFF99"/>
          <w:rtl/>
        </w:rPr>
        <w:t>240</w:t>
      </w:r>
      <w:r w:rsidRPr="0097292E">
        <w:rPr>
          <w:rStyle w:val="default"/>
          <w:rFonts w:ascii="FrankRuehl" w:hAnsi="FrankRuehl" w:cs="FrankRuehl"/>
          <w:vanish/>
          <w:sz w:val="20"/>
          <w:szCs w:val="20"/>
          <w:shd w:val="clear" w:color="auto" w:fill="FFFF99"/>
          <w:rtl/>
        </w:rPr>
        <w:t xml:space="preserve"> (</w:t>
      </w:r>
      <w:hyperlink r:id="rId13" w:history="1">
        <w:r w:rsidRPr="0097292E">
          <w:rPr>
            <w:rStyle w:val="Hyperlink"/>
            <w:rFonts w:ascii="FrankRuehl" w:hAnsi="FrankRuehl" w:cs="FrankRuehl"/>
            <w:vanish/>
            <w:szCs w:val="20"/>
            <w:shd w:val="clear" w:color="auto" w:fill="FFFF99"/>
            <w:rtl/>
          </w:rPr>
          <w:t>ה"ח 1186</w:t>
        </w:r>
      </w:hyperlink>
      <w:r w:rsidRPr="0097292E">
        <w:rPr>
          <w:rStyle w:val="default"/>
          <w:rFonts w:ascii="FrankRuehl" w:hAnsi="FrankRuehl" w:cs="FrankRuehl"/>
          <w:vanish/>
          <w:sz w:val="20"/>
          <w:szCs w:val="20"/>
          <w:shd w:val="clear" w:color="auto" w:fill="FFFF99"/>
          <w:rtl/>
        </w:rPr>
        <w:t>)</w:t>
      </w:r>
    </w:p>
    <w:p w:rsidR="0097292E" w:rsidRPr="0097292E" w:rsidRDefault="0097292E" w:rsidP="0097292E">
      <w:pPr>
        <w:pStyle w:val="P00"/>
        <w:ind w:left="0" w:right="1134"/>
        <w:rPr>
          <w:rStyle w:val="default"/>
          <w:rFonts w:cs="FrankRuehl" w:hint="cs"/>
          <w:vanish/>
          <w:sz w:val="22"/>
          <w:szCs w:val="22"/>
          <w:shd w:val="clear" w:color="auto" w:fill="FFFF99"/>
          <w:rtl/>
        </w:rPr>
      </w:pPr>
      <w:r w:rsidRPr="0097292E">
        <w:rPr>
          <w:rStyle w:val="default"/>
          <w:rFonts w:cs="FrankRuehl"/>
          <w:vanish/>
          <w:sz w:val="22"/>
          <w:szCs w:val="22"/>
          <w:shd w:val="clear" w:color="auto" w:fill="FFFF99"/>
          <w:rtl/>
        </w:rPr>
        <w:tab/>
      </w:r>
      <w:r w:rsidRPr="0097292E">
        <w:rPr>
          <w:rStyle w:val="default"/>
          <w:rFonts w:cs="FrankRuehl" w:hint="cs"/>
          <w:vanish/>
          <w:sz w:val="22"/>
          <w:szCs w:val="22"/>
          <w:shd w:val="clear" w:color="auto" w:fill="FFFF99"/>
          <w:rtl/>
        </w:rPr>
        <w:t>(א)</w:t>
      </w:r>
      <w:r w:rsidRPr="0097292E">
        <w:rPr>
          <w:rStyle w:val="default"/>
          <w:rFonts w:cs="FrankRuehl" w:hint="cs"/>
          <w:vanish/>
          <w:sz w:val="22"/>
          <w:szCs w:val="22"/>
          <w:shd w:val="clear" w:color="auto" w:fill="FFFF99"/>
          <w:rtl/>
        </w:rPr>
        <w:tab/>
        <w:t xml:space="preserve">ועדת השרים תקבע בהכרזה (להלן </w:t>
      </w:r>
      <w:r w:rsidRPr="0097292E">
        <w:rPr>
          <w:rStyle w:val="default"/>
          <w:rFonts w:cs="FrankRuehl"/>
          <w:vanish/>
          <w:sz w:val="22"/>
          <w:szCs w:val="22"/>
          <w:shd w:val="clear" w:color="auto" w:fill="FFFF99"/>
          <w:rtl/>
        </w:rPr>
        <w:t>–</w:t>
      </w:r>
      <w:r w:rsidRPr="0097292E">
        <w:rPr>
          <w:rStyle w:val="default"/>
          <w:rFonts w:cs="FrankRuehl" w:hint="cs"/>
          <w:vanish/>
          <w:sz w:val="22"/>
          <w:szCs w:val="22"/>
          <w:shd w:val="clear" w:color="auto" w:fill="FFFF99"/>
          <w:rtl/>
        </w:rPr>
        <w:t xml:space="preserve"> תכריז), בהתאם להוראות סימן ג', כי גורם זר שהוא תאגיד מקיים קשר עסקי עם איראן (בחוק זה </w:t>
      </w:r>
      <w:r w:rsidRPr="0097292E">
        <w:rPr>
          <w:rStyle w:val="default"/>
          <w:rFonts w:cs="FrankRuehl"/>
          <w:vanish/>
          <w:sz w:val="22"/>
          <w:szCs w:val="22"/>
          <w:shd w:val="clear" w:color="auto" w:fill="FFFF99"/>
          <w:rtl/>
        </w:rPr>
        <w:t>–</w:t>
      </w:r>
      <w:r w:rsidRPr="0097292E">
        <w:rPr>
          <w:rStyle w:val="default"/>
          <w:rFonts w:cs="FrankRuehl" w:hint="cs"/>
          <w:vanish/>
          <w:sz w:val="22"/>
          <w:szCs w:val="22"/>
          <w:shd w:val="clear" w:color="auto" w:fill="FFFF99"/>
          <w:rtl/>
        </w:rPr>
        <w:t xml:space="preserve"> תאגיד המקיים קשר עסקי עם איראן)</w:t>
      </w:r>
      <w:r w:rsidRPr="0097292E">
        <w:rPr>
          <w:rStyle w:val="default"/>
          <w:rFonts w:cs="FrankRuehl" w:hint="cs"/>
          <w:strike/>
          <w:vanish/>
          <w:sz w:val="22"/>
          <w:szCs w:val="22"/>
          <w:shd w:val="clear" w:color="auto" w:fill="FFFF99"/>
          <w:rtl/>
        </w:rPr>
        <w:t>, בהתקיים כל אחד מאלה:</w:t>
      </w:r>
      <w:r w:rsidRPr="0097292E">
        <w:rPr>
          <w:rStyle w:val="default"/>
          <w:rFonts w:cs="FrankRuehl" w:hint="cs"/>
          <w:vanish/>
          <w:sz w:val="22"/>
          <w:szCs w:val="22"/>
          <w:shd w:val="clear" w:color="auto" w:fill="FFFF99"/>
          <w:rtl/>
        </w:rPr>
        <w:t xml:space="preserve"> </w:t>
      </w:r>
      <w:r w:rsidRPr="0097292E">
        <w:rPr>
          <w:rStyle w:val="default"/>
          <w:rFonts w:cs="FrankRuehl" w:hint="cs"/>
          <w:vanish/>
          <w:sz w:val="22"/>
          <w:szCs w:val="22"/>
          <w:u w:val="single"/>
          <w:shd w:val="clear" w:color="auto" w:fill="FFFF99"/>
          <w:rtl/>
        </w:rPr>
        <w:t>אם נוכחה, לאחר שהובאה לפניה עמדת מטה הסנקציות, כי הגורם הזר מקיים קשר עסקי מהותי עם איראן.</w:t>
      </w:r>
    </w:p>
    <w:p w:rsidR="0097292E" w:rsidRPr="0097292E" w:rsidRDefault="0097292E" w:rsidP="0097292E">
      <w:pPr>
        <w:pStyle w:val="P00"/>
        <w:spacing w:before="0"/>
        <w:ind w:left="1021" w:right="1134"/>
        <w:rPr>
          <w:rStyle w:val="default"/>
          <w:rFonts w:cs="FrankRuehl" w:hint="cs"/>
          <w:strike/>
          <w:vanish/>
          <w:sz w:val="22"/>
          <w:szCs w:val="22"/>
          <w:shd w:val="clear" w:color="auto" w:fill="FFFF99"/>
          <w:rtl/>
        </w:rPr>
      </w:pPr>
      <w:r w:rsidRPr="0097292E">
        <w:rPr>
          <w:rStyle w:val="default"/>
          <w:rFonts w:cs="FrankRuehl" w:hint="cs"/>
          <w:strike/>
          <w:vanish/>
          <w:sz w:val="22"/>
          <w:szCs w:val="22"/>
          <w:shd w:val="clear" w:color="auto" w:fill="FFFF99"/>
          <w:rtl/>
        </w:rPr>
        <w:t>(1)</w:t>
      </w:r>
      <w:r w:rsidRPr="0097292E">
        <w:rPr>
          <w:rStyle w:val="default"/>
          <w:rFonts w:cs="FrankRuehl" w:hint="cs"/>
          <w:strike/>
          <w:vanish/>
          <w:sz w:val="22"/>
          <w:szCs w:val="22"/>
          <w:shd w:val="clear" w:color="auto" w:fill="FFFF99"/>
          <w:rtl/>
        </w:rPr>
        <w:tab/>
        <w:t>ועדת השרים נוכחה, לאחר שהובאה לפניה עמדת מטה הסנקציות, כי הגורם הזר מקיים קשר עסקי מהותי עם איראן;</w:t>
      </w:r>
    </w:p>
    <w:p w:rsidR="0097292E" w:rsidRPr="0097292E" w:rsidRDefault="0097292E" w:rsidP="0097292E">
      <w:pPr>
        <w:pStyle w:val="P00"/>
        <w:spacing w:before="0"/>
        <w:ind w:left="1021" w:right="1134"/>
        <w:rPr>
          <w:rStyle w:val="default"/>
          <w:rFonts w:cs="FrankRuehl" w:hint="cs"/>
          <w:strike/>
          <w:vanish/>
          <w:sz w:val="22"/>
          <w:szCs w:val="22"/>
          <w:shd w:val="clear" w:color="auto" w:fill="FFFF99"/>
          <w:rtl/>
        </w:rPr>
      </w:pPr>
      <w:r w:rsidRPr="0097292E">
        <w:rPr>
          <w:rStyle w:val="default"/>
          <w:rFonts w:cs="FrankRuehl" w:hint="cs"/>
          <w:strike/>
          <w:vanish/>
          <w:sz w:val="22"/>
          <w:szCs w:val="22"/>
          <w:shd w:val="clear" w:color="auto" w:fill="FFFF99"/>
          <w:rtl/>
        </w:rPr>
        <w:t>(2)</w:t>
      </w:r>
      <w:r w:rsidRPr="0097292E">
        <w:rPr>
          <w:rStyle w:val="default"/>
          <w:rFonts w:cs="FrankRuehl" w:hint="cs"/>
          <w:strike/>
          <w:vanish/>
          <w:sz w:val="22"/>
          <w:szCs w:val="22"/>
          <w:shd w:val="clear" w:color="auto" w:fill="FFFF99"/>
          <w:rtl/>
        </w:rPr>
        <w:tab/>
        <w:t>הגורם הזר הוכרז, בידי גוף מוסמך של מדינה זרה או בהחלטת מועצת הביטחון של האומות המאוחדות המנויה בתוספת, כמי שמקיים קשר עסקי מהותי עם איראן;</w:t>
      </w:r>
    </w:p>
    <w:p w:rsidR="0097292E" w:rsidRPr="0097292E" w:rsidRDefault="0097292E" w:rsidP="0097292E">
      <w:pPr>
        <w:pStyle w:val="P00"/>
        <w:spacing w:before="0"/>
        <w:ind w:left="1021" w:right="1134"/>
        <w:rPr>
          <w:rStyle w:val="default"/>
          <w:rFonts w:cs="FrankRuehl" w:hint="cs"/>
          <w:vanish/>
          <w:sz w:val="22"/>
          <w:szCs w:val="22"/>
          <w:shd w:val="clear" w:color="auto" w:fill="FFFF99"/>
          <w:rtl/>
        </w:rPr>
      </w:pPr>
      <w:r w:rsidRPr="0097292E">
        <w:rPr>
          <w:rStyle w:val="default"/>
          <w:rFonts w:cs="FrankRuehl" w:hint="cs"/>
          <w:strike/>
          <w:vanish/>
          <w:sz w:val="22"/>
          <w:szCs w:val="22"/>
          <w:shd w:val="clear" w:color="auto" w:fill="FFFF99"/>
          <w:rtl/>
        </w:rPr>
        <w:t>(3)</w:t>
      </w:r>
      <w:r w:rsidRPr="0097292E">
        <w:rPr>
          <w:rStyle w:val="default"/>
          <w:rFonts w:cs="FrankRuehl" w:hint="cs"/>
          <w:strike/>
          <w:vanish/>
          <w:sz w:val="22"/>
          <w:szCs w:val="22"/>
          <w:shd w:val="clear" w:color="auto" w:fill="FFFF99"/>
          <w:rtl/>
        </w:rPr>
        <w:tab/>
        <w:t>נקבעה בידי גוף מוסמך של מדינה זרה, בעקבות הליך שננקט בה על פי דיניה, מגבלה על השקעה בגורם הזר בשל קשר עסקי שהוא מקיים עם איראן, לטובתה או בשטחה.</w:t>
      </w:r>
    </w:p>
    <w:p w:rsidR="0097292E" w:rsidRPr="0097292E" w:rsidRDefault="0097292E" w:rsidP="0097292E">
      <w:pPr>
        <w:pStyle w:val="P00"/>
        <w:spacing w:before="0"/>
        <w:ind w:left="0" w:right="1134"/>
        <w:rPr>
          <w:rStyle w:val="default"/>
          <w:rFonts w:cs="FrankRuehl" w:hint="cs"/>
          <w:strike/>
          <w:vanish/>
          <w:sz w:val="22"/>
          <w:szCs w:val="22"/>
          <w:shd w:val="clear" w:color="auto" w:fill="FFFF99"/>
          <w:rtl/>
        </w:rPr>
      </w:pPr>
      <w:r w:rsidRPr="0097292E">
        <w:rPr>
          <w:rStyle w:val="default"/>
          <w:rFonts w:cs="FrankRuehl" w:hint="cs"/>
          <w:vanish/>
          <w:sz w:val="22"/>
          <w:szCs w:val="22"/>
          <w:shd w:val="clear" w:color="auto" w:fill="FFFF99"/>
          <w:rtl/>
        </w:rPr>
        <w:tab/>
      </w:r>
      <w:r w:rsidRPr="0097292E">
        <w:rPr>
          <w:rStyle w:val="default"/>
          <w:rFonts w:cs="FrankRuehl" w:hint="cs"/>
          <w:strike/>
          <w:vanish/>
          <w:sz w:val="22"/>
          <w:szCs w:val="22"/>
          <w:shd w:val="clear" w:color="auto" w:fill="FFFF99"/>
          <w:rtl/>
        </w:rPr>
        <w:t>(ב)</w:t>
      </w:r>
      <w:r w:rsidRPr="0097292E">
        <w:rPr>
          <w:rStyle w:val="default"/>
          <w:rFonts w:cs="FrankRuehl" w:hint="cs"/>
          <w:strike/>
          <w:vanish/>
          <w:sz w:val="22"/>
          <w:szCs w:val="22"/>
          <w:shd w:val="clear" w:color="auto" w:fill="FFFF99"/>
          <w:rtl/>
        </w:rPr>
        <w:tab/>
        <w:t>הכרזת ועדת השרים לפי סעיף קטן (א)(3) תיעשה רק אם שר האוצר תמך בה.</w:t>
      </w:r>
    </w:p>
    <w:p w:rsidR="0097292E" w:rsidRPr="0097292E" w:rsidRDefault="0097292E" w:rsidP="0097292E">
      <w:pPr>
        <w:pStyle w:val="P00"/>
        <w:spacing w:before="0"/>
        <w:ind w:left="0" w:right="1134"/>
        <w:rPr>
          <w:rStyle w:val="default"/>
          <w:rFonts w:cs="FrankRuehl" w:hint="cs"/>
          <w:vanish/>
          <w:sz w:val="22"/>
          <w:szCs w:val="22"/>
          <w:shd w:val="clear" w:color="auto" w:fill="FFFF99"/>
          <w:rtl/>
        </w:rPr>
      </w:pPr>
      <w:r w:rsidRPr="0097292E">
        <w:rPr>
          <w:rStyle w:val="default"/>
          <w:rFonts w:cs="FrankRuehl" w:hint="cs"/>
          <w:vanish/>
          <w:sz w:val="22"/>
          <w:szCs w:val="22"/>
          <w:shd w:val="clear" w:color="auto" w:fill="FFFF99"/>
          <w:rtl/>
        </w:rPr>
        <w:tab/>
        <w:t>(ג)</w:t>
      </w:r>
      <w:r w:rsidRPr="0097292E">
        <w:rPr>
          <w:rStyle w:val="default"/>
          <w:rFonts w:cs="FrankRuehl" w:hint="cs"/>
          <w:vanish/>
          <w:sz w:val="22"/>
          <w:szCs w:val="22"/>
          <w:shd w:val="clear" w:color="auto" w:fill="FFFF99"/>
          <w:rtl/>
        </w:rPr>
        <w:tab/>
        <w:t xml:space="preserve">הכריזה ועדת השרים על תאגיד כתאגיד המקיים קשר עסקי עם איראן, רשאית היא, לאחר שהובאה לפניה עמדת מטה הסנקציות, להכריז גם על גורם זר שהוא תאגיד השולט באותו תאגיד או נשלט בידי מי מהם כתאגיד המקיים קשר עסקי עם איראן, אף אם לא מתקיים לגביו </w:t>
      </w:r>
      <w:r w:rsidRPr="0097292E">
        <w:rPr>
          <w:rStyle w:val="default"/>
          <w:rFonts w:cs="FrankRuehl" w:hint="cs"/>
          <w:strike/>
          <w:vanish/>
          <w:sz w:val="22"/>
          <w:szCs w:val="22"/>
          <w:shd w:val="clear" w:color="auto" w:fill="FFFF99"/>
          <w:rtl/>
        </w:rPr>
        <w:t>תנאי מהתנאים המנויים בפסקאות (1) עד (3) של סעיף קטן (א)</w:t>
      </w:r>
      <w:r w:rsidRPr="0097292E">
        <w:rPr>
          <w:rStyle w:val="default"/>
          <w:rFonts w:cs="FrankRuehl" w:hint="cs"/>
          <w:vanish/>
          <w:sz w:val="22"/>
          <w:szCs w:val="22"/>
          <w:shd w:val="clear" w:color="auto" w:fill="FFFF99"/>
          <w:rtl/>
        </w:rPr>
        <w:t xml:space="preserve"> </w:t>
      </w:r>
      <w:r w:rsidRPr="0097292E">
        <w:rPr>
          <w:rStyle w:val="default"/>
          <w:rFonts w:cs="FrankRuehl" w:hint="cs"/>
          <w:vanish/>
          <w:sz w:val="22"/>
          <w:szCs w:val="22"/>
          <w:u w:val="single"/>
          <w:shd w:val="clear" w:color="auto" w:fill="FFFF99"/>
          <w:rtl/>
        </w:rPr>
        <w:t>האמור בסעיף קטן (א)</w:t>
      </w:r>
      <w:r w:rsidRPr="0097292E">
        <w:rPr>
          <w:rStyle w:val="default"/>
          <w:rFonts w:cs="FrankRuehl" w:hint="cs"/>
          <w:vanish/>
          <w:sz w:val="22"/>
          <w:szCs w:val="22"/>
          <w:shd w:val="clear" w:color="auto" w:fill="FFFF99"/>
          <w:rtl/>
        </w:rPr>
        <w:t>.</w:t>
      </w:r>
    </w:p>
    <w:p w:rsidR="0097292E" w:rsidRPr="0097292E" w:rsidRDefault="0097292E" w:rsidP="0097292E">
      <w:pPr>
        <w:pStyle w:val="P00"/>
        <w:spacing w:before="0"/>
        <w:ind w:left="0" w:right="1134"/>
        <w:rPr>
          <w:rStyle w:val="default"/>
          <w:rFonts w:cs="FrankRuehl" w:hint="cs"/>
          <w:sz w:val="2"/>
          <w:szCs w:val="2"/>
          <w:rtl/>
        </w:rPr>
      </w:pPr>
      <w:r w:rsidRPr="0097292E">
        <w:rPr>
          <w:rStyle w:val="default"/>
          <w:rFonts w:cs="FrankRuehl" w:hint="cs"/>
          <w:vanish/>
          <w:sz w:val="22"/>
          <w:szCs w:val="22"/>
          <w:shd w:val="clear" w:color="auto" w:fill="FFFF99"/>
          <w:rtl/>
        </w:rPr>
        <w:tab/>
        <w:t>(ד)</w:t>
      </w:r>
      <w:r w:rsidRPr="0097292E">
        <w:rPr>
          <w:rStyle w:val="default"/>
          <w:rFonts w:cs="FrankRuehl" w:hint="cs"/>
          <w:vanish/>
          <w:sz w:val="22"/>
          <w:szCs w:val="22"/>
          <w:shd w:val="clear" w:color="auto" w:fill="FFFF99"/>
          <w:rtl/>
        </w:rPr>
        <w:tab/>
        <w:t xml:space="preserve">על אף הוראות סעיף קטן (א), רשאית ועדת השרים, בהחלטה מנומקת בכתב, שלא להכריז על גורם זר שהוא תאגיד כתאגיד המקיים קשר עסקי עם איראן, אף אם מתקיים לגביו </w:t>
      </w:r>
      <w:r w:rsidRPr="0097292E">
        <w:rPr>
          <w:rStyle w:val="default"/>
          <w:rFonts w:cs="FrankRuehl" w:hint="cs"/>
          <w:strike/>
          <w:vanish/>
          <w:sz w:val="22"/>
          <w:szCs w:val="22"/>
          <w:shd w:val="clear" w:color="auto" w:fill="FFFF99"/>
          <w:rtl/>
        </w:rPr>
        <w:t>תנאי מהתנאים המנויים בפסקאות (1) עד (3) של סעיף קטן (א)</w:t>
      </w:r>
      <w:r w:rsidRPr="0097292E">
        <w:rPr>
          <w:rStyle w:val="default"/>
          <w:rFonts w:cs="FrankRuehl" w:hint="cs"/>
          <w:vanish/>
          <w:sz w:val="22"/>
          <w:szCs w:val="22"/>
          <w:shd w:val="clear" w:color="auto" w:fill="FFFF99"/>
          <w:rtl/>
        </w:rPr>
        <w:t xml:space="preserve"> </w:t>
      </w:r>
      <w:r w:rsidRPr="0097292E">
        <w:rPr>
          <w:rStyle w:val="default"/>
          <w:rFonts w:cs="FrankRuehl" w:hint="cs"/>
          <w:vanish/>
          <w:sz w:val="22"/>
          <w:szCs w:val="22"/>
          <w:u w:val="single"/>
          <w:shd w:val="clear" w:color="auto" w:fill="FFFF99"/>
          <w:rtl/>
        </w:rPr>
        <w:t>האמור באותו סעיף קטן</w:t>
      </w:r>
      <w:r w:rsidRPr="0097292E">
        <w:rPr>
          <w:rStyle w:val="default"/>
          <w:rFonts w:cs="FrankRuehl" w:hint="cs"/>
          <w:vanish/>
          <w:sz w:val="22"/>
          <w:szCs w:val="22"/>
          <w:shd w:val="clear" w:color="auto" w:fill="FFFF99"/>
          <w:rtl/>
        </w:rPr>
        <w:t>, אם מצאה, לאחר שהובאה לפניה עמדת מטה הסנקציות, כי קיים אינטרס ציבורי שלא לעשות כן.</w:t>
      </w:r>
      <w:bookmarkEnd w:id="16"/>
    </w:p>
    <w:p w:rsidR="00301EEF" w:rsidRDefault="00301EEF" w:rsidP="00FC243C">
      <w:pPr>
        <w:pStyle w:val="P00"/>
        <w:spacing w:before="72"/>
        <w:ind w:left="0" w:right="1134"/>
        <w:rPr>
          <w:rStyle w:val="default"/>
          <w:rFonts w:cs="FrankRuehl" w:hint="cs"/>
          <w:rtl/>
        </w:rPr>
      </w:pPr>
      <w:bookmarkStart w:id="17" w:name="Seif10"/>
      <w:bookmarkEnd w:id="17"/>
      <w:r>
        <w:rPr>
          <w:lang w:val="he-IL"/>
        </w:rPr>
        <w:pict>
          <v:rect id="_x0000_s1060" style="position:absolute;left:0;text-align:left;margin-left:464.5pt;margin-top:8.05pt;width:75.05pt;height:44.1pt;z-index:251641856" o:allowincell="f" filled="f" stroked="f" strokecolor="lime" strokeweight=".25pt">
            <v:textbox style="mso-next-textbox:#_x0000_s1060"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איסור השקעה בתאגיד המקיים קשר עסקי עם איראן והפסקת השקעה קיימת</w:t>
                  </w:r>
                </w:p>
              </w:txbxContent>
            </v:textbox>
            <w10:anchorlock/>
          </v:rect>
        </w:pict>
      </w:r>
      <w:r>
        <w:rPr>
          <w:rStyle w:val="big-number"/>
          <w:rFonts w:cs="Miriam" w:hint="cs"/>
          <w:rtl/>
        </w:rPr>
        <w:t>10</w:t>
      </w:r>
      <w:r w:rsidRPr="00301EEF">
        <w:rPr>
          <w:rStyle w:val="default"/>
          <w:rFonts w:cs="FrankRuehl"/>
          <w:rtl/>
        </w:rPr>
        <w:t>.</w:t>
      </w:r>
      <w:r w:rsidRPr="00301EEF">
        <w:rPr>
          <w:rStyle w:val="default"/>
          <w:rFonts w:cs="FrankRuehl"/>
          <w:rtl/>
        </w:rPr>
        <w:tab/>
      </w:r>
      <w:r w:rsidR="00FC243C">
        <w:rPr>
          <w:rStyle w:val="default"/>
          <w:rFonts w:cs="FrankRuehl" w:hint="cs"/>
          <w:rtl/>
        </w:rPr>
        <w:t>(א)</w:t>
      </w:r>
      <w:r w:rsidR="00FC243C">
        <w:rPr>
          <w:rStyle w:val="default"/>
          <w:rFonts w:cs="FrankRuehl" w:hint="cs"/>
          <w:rtl/>
        </w:rPr>
        <w:tab/>
        <w:t>מוסד פיננסי לא ישקיע בתאגיד המקיים קשר עסקי עם איראן, אלא אם כן התירה ועדת השרים לאחר שהובאה לפניה עמדת מטה הסנקציות, השקעה באותו תאגיד, ובהתאם לתנאי ההיתר.</w:t>
      </w:r>
    </w:p>
    <w:p w:rsidR="00FC243C" w:rsidRDefault="00FC243C" w:rsidP="00FC24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שאינו מוסד פיננסי לא ישקיע בתאגיד המקיים קשר עסקי עם איראן, בסכום העולה על 100,000 שקלים חדשים, בין בפעולה אחת ובין בכמה פעולות המצטברות לסכום האמור בתוך תקופה של שישה חודשים, אלא אם כן התירה ועדת השרים, לאחר שהובאה לפניה עמדת מטה הסנקציות, השקעה באותו תאגיד, ובהתאם לתנאי ההיתר; </w:t>
      </w:r>
      <w:r w:rsidR="00EF5CDC">
        <w:rPr>
          <w:rStyle w:val="default"/>
          <w:rFonts w:cs="FrankRuehl" w:hint="cs"/>
          <w:rtl/>
        </w:rPr>
        <w:t>ואולם לא יראו אדם כאמור המחזיק בניירות ערך או בזכויות אחרות בתאגיד שרכש טרם ההכרזה עליו כתאגיד המקיים קשר עסקי עם איראן, או מי שנתן הלוואה לתאגיד כאמור טרם ההכרזה עליו כמי שהשקיע בתאגיד המקיים קשר עסקי עם איראן.</w:t>
      </w:r>
    </w:p>
    <w:p w:rsidR="00EF5CDC" w:rsidRDefault="00EF5CDC" w:rsidP="00FC24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היתר לפי סעיפים קטנים (א) או (ב) יכול שיהיה כללי או לסוגים של השקעות או להשקעה מסוימת; היתר כאמור יפורסם ברשומות, וכן באתר האינטרנט של מטה הסנקציות בעברית, בערבית ובאנגלית.</w:t>
      </w:r>
    </w:p>
    <w:p w:rsidR="00EF5CDC" w:rsidRDefault="00EF5CDC" w:rsidP="00FC243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השרים לא תיתן היתר לפי סעיפים קטנים (א) או (ב), אלא אם כן מצאה כי קיים אינטרס ציבורי למתן ההיתר, ורשאית היא להתנות את מתן ההיתר בתנאים.</w:t>
      </w:r>
    </w:p>
    <w:p w:rsidR="00EF5CDC" w:rsidRDefault="00EF5CDC" w:rsidP="00B871C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B871C8">
        <w:rPr>
          <w:rStyle w:val="default"/>
          <w:rFonts w:cs="FrankRuehl" w:hint="cs"/>
          <w:rtl/>
        </w:rPr>
        <w:t>הכריזה ועדת השרים על גורם זר כתאגיד המקיים קשר עסקי עם איראן ובמועד ההכרזה החזיק מוסד פיננסי ניירות ערך או זכויות אחרות באותו תאגיד, יודיע על כך למטה הסנקציות וימכור את החזקותיו כאמור בתאגיד הזר בתוך 90 ימים ממועד ההכרזה.</w:t>
      </w:r>
    </w:p>
    <w:p w:rsidR="00B871C8" w:rsidRDefault="00B871C8" w:rsidP="00B871C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1D4C4D">
        <w:rPr>
          <w:rStyle w:val="default"/>
          <w:rFonts w:cs="FrankRuehl" w:hint="cs"/>
          <w:rtl/>
        </w:rPr>
        <w:t>ועדת השרים רשאית, מטעמים מיוחדים שיירשמו, להאריך את התקופה למכירת ההחזקות בתאגיד המקיים קשר עסקי עם איראן, כאמור בסעיף קטן (ה), בתקופות נוספות שלא יעלו על 90 ימים כל אחת.</w:t>
      </w:r>
    </w:p>
    <w:p w:rsidR="001D4C4D" w:rsidRDefault="001D4C4D" w:rsidP="00B871C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"מוסד פיננסי" </w:t>
      </w:r>
      <w:r>
        <w:rPr>
          <w:rStyle w:val="default"/>
          <w:rFonts w:cs="FrankRuehl"/>
          <w:rtl/>
        </w:rPr>
        <w:t>–</w:t>
      </w:r>
      <w:r>
        <w:rPr>
          <w:rStyle w:val="default"/>
          <w:rFonts w:cs="FrankRuehl" w:hint="cs"/>
          <w:rtl/>
        </w:rPr>
        <w:t xml:space="preserve"> כל אחד מאלה:</w:t>
      </w:r>
    </w:p>
    <w:p w:rsidR="001D4C4D" w:rsidRDefault="001D4C4D" w:rsidP="001D4C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מוסדי כהגדרתו בחוק הפיקוח על שירותים פיננסיים (ביטוח), התשמ"א-1981;</w:t>
      </w:r>
    </w:p>
    <w:p w:rsidR="001D4C4D" w:rsidRDefault="001D4C4D" w:rsidP="001D4C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בנקאי כהגדרתו בחוק הבנקאות (רישוי), התשמ"א-1981;</w:t>
      </w:r>
    </w:p>
    <w:p w:rsidR="001D4C4D" w:rsidRDefault="001D4C4D" w:rsidP="001D4C4D">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מנהל קרן כמשמעותו בחוק השקעות משותפות בנאמנות, התשנ"ד-1994.</w:t>
      </w:r>
    </w:p>
    <w:p w:rsidR="00301EEF" w:rsidRDefault="00301EEF" w:rsidP="001D4C4D">
      <w:pPr>
        <w:pStyle w:val="P00"/>
        <w:spacing w:before="72"/>
        <w:ind w:left="0" w:right="1134"/>
        <w:rPr>
          <w:rStyle w:val="default"/>
          <w:rFonts w:cs="FrankRuehl" w:hint="cs"/>
          <w:rtl/>
        </w:rPr>
      </w:pPr>
      <w:bookmarkStart w:id="18" w:name="Seif11"/>
      <w:bookmarkEnd w:id="18"/>
      <w:r>
        <w:rPr>
          <w:lang w:val="he-IL"/>
        </w:rPr>
        <w:pict>
          <v:rect id="_x0000_s1061" style="position:absolute;left:0;text-align:left;margin-left:464.5pt;margin-top:8.05pt;width:75.05pt;height:37.55pt;z-index:251642880" o:allowincell="f" filled="f" stroked="f" strokecolor="lime" strokeweight=".25pt">
            <v:textbox style="mso-next-textbox:#_x0000_s1061"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הגבלות על תאגיד המקיים קשר עסקי עם איראן ועל גורמים הקשורים לתאגיד</w:t>
                  </w:r>
                </w:p>
              </w:txbxContent>
            </v:textbox>
            <w10:anchorlock/>
          </v:rect>
        </w:pict>
      </w:r>
      <w:r>
        <w:rPr>
          <w:rStyle w:val="big-number"/>
          <w:rFonts w:cs="Miriam" w:hint="cs"/>
          <w:rtl/>
        </w:rPr>
        <w:t>1</w:t>
      </w:r>
      <w:r w:rsidR="001D4C4D">
        <w:rPr>
          <w:rStyle w:val="big-number"/>
          <w:rFonts w:cs="Miriam" w:hint="cs"/>
          <w:rtl/>
        </w:rPr>
        <w:t>1</w:t>
      </w:r>
      <w:r w:rsidRPr="00301EEF">
        <w:rPr>
          <w:rStyle w:val="default"/>
          <w:rFonts w:cs="FrankRuehl"/>
          <w:rtl/>
        </w:rPr>
        <w:t>.</w:t>
      </w:r>
      <w:r w:rsidRPr="00301EEF">
        <w:rPr>
          <w:rStyle w:val="default"/>
          <w:rFonts w:cs="FrankRuehl"/>
          <w:rtl/>
        </w:rPr>
        <w:tab/>
      </w:r>
      <w:r w:rsidR="001D4C4D">
        <w:rPr>
          <w:rStyle w:val="default"/>
          <w:rFonts w:cs="FrankRuehl" w:hint="cs"/>
          <w:rtl/>
        </w:rPr>
        <w:t>(א)</w:t>
      </w:r>
      <w:r w:rsidR="001D4C4D">
        <w:rPr>
          <w:rStyle w:val="default"/>
          <w:rFonts w:cs="FrankRuehl" w:hint="cs"/>
          <w:rtl/>
        </w:rPr>
        <w:tab/>
        <w:t xml:space="preserve">הכריזה ועדת השרים על גורם זר כתאגיד המקיים קשר עסקי עם איראן יחולו לגבי התאגיד, וכן לגבי מי ששולט באותו תאגיד או נשלט בידי מי מהם וכן לגבי מי שהוא בעל עניין בתאגיד או שהתאגיד הוא בעל עניין בו (בסעיף זה </w:t>
      </w:r>
      <w:r w:rsidR="001D4C4D">
        <w:rPr>
          <w:rStyle w:val="default"/>
          <w:rFonts w:cs="FrankRuehl"/>
          <w:rtl/>
        </w:rPr>
        <w:t>–</w:t>
      </w:r>
      <w:r w:rsidR="001D4C4D">
        <w:rPr>
          <w:rStyle w:val="default"/>
          <w:rFonts w:cs="FrankRuehl" w:hint="cs"/>
          <w:rtl/>
        </w:rPr>
        <w:t xml:space="preserve"> גורמים הקשורים לתאגיד המקיים קשר עסקי עם איראן), הוראות אלה:</w:t>
      </w:r>
    </w:p>
    <w:p w:rsidR="001D4C4D" w:rsidRDefault="001D4C4D" w:rsidP="001D4C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תתבצע עמם התקשרות לפי חוק חובת המכרזים ולא יוארך תוקפה של התקשרות כאמור;</w:t>
      </w:r>
    </w:p>
    <w:p w:rsidR="001D4C4D" w:rsidRDefault="001D4C4D" w:rsidP="001D4C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תינתן להם זכות כלכלית הניתנת על פי כל דין, לרבות רישיון או זיכיון, ולא תחודש לגביהם זכות כאמור;</w:t>
      </w:r>
    </w:p>
    <w:p w:rsidR="001D4C4D" w:rsidRDefault="001D4C4D" w:rsidP="001D4C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הם לא יהיו זכאים לסיוע ממשלתי שהיו זכאים לו לפי כל דין או נוהל.</w:t>
      </w:r>
    </w:p>
    <w:p w:rsidR="001D4C4D" w:rsidRDefault="001D4C4D" w:rsidP="001D4C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ועדת השרים, רשאית לאחר שהובאה לפניה עמדת מטה הסנקציות, להתיר ביצוע פעולה מהפעולות המנויות בפסקאות (1) עד (3) של אותו סעיף קטן לגבי תאגיד המקיים קשר עסקי עם איראן או לגבי גורם מהגורמים הקשורים לתאגיד כאמור, אם מצאה כי קיים אינטרס ציבורי למתן ההיתר, ורשאית היא להתנות את מתן ההיתר בתנאים.</w:t>
      </w:r>
    </w:p>
    <w:p w:rsidR="001D4C4D" w:rsidRDefault="001D4C4D" w:rsidP="001D4C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היתר לפי סעיף קטן (ב) יכול שיהיה כללי או לסוגים של פעולות או לפעולה מסוימת; היתר כאמור יפורסם ברשומות, וכן באתר האינטרנט של מטה הסנקציות בעברית, בערבית ובאנגלית.</w:t>
      </w:r>
    </w:p>
    <w:p w:rsidR="001D4C4D" w:rsidRPr="004A03A7" w:rsidRDefault="001D4C4D" w:rsidP="004A03A7">
      <w:pPr>
        <w:pStyle w:val="header-2"/>
        <w:ind w:left="0" w:right="1134"/>
        <w:rPr>
          <w:rFonts w:cs="Miriam" w:hint="cs"/>
          <w:rtl/>
        </w:rPr>
      </w:pPr>
      <w:bookmarkStart w:id="19" w:name="hed22"/>
      <w:bookmarkEnd w:id="19"/>
      <w:r w:rsidRPr="004A03A7">
        <w:rPr>
          <w:rFonts w:cs="Miriam" w:hint="cs"/>
          <w:rtl/>
        </w:rPr>
        <w:t>סימן ג': הוראות כלליות לעניין הכרזות לפי סעיפים 3 ו-9</w:t>
      </w:r>
    </w:p>
    <w:p w:rsidR="00301EEF" w:rsidRDefault="00301EEF" w:rsidP="004A03A7">
      <w:pPr>
        <w:pStyle w:val="P00"/>
        <w:spacing w:before="72"/>
        <w:ind w:left="0" w:right="1134"/>
        <w:rPr>
          <w:rStyle w:val="default"/>
          <w:rFonts w:cs="FrankRuehl" w:hint="cs"/>
          <w:rtl/>
        </w:rPr>
      </w:pPr>
      <w:bookmarkStart w:id="20" w:name="Seif12"/>
      <w:bookmarkEnd w:id="20"/>
      <w:r>
        <w:rPr>
          <w:lang w:val="he-IL"/>
        </w:rPr>
        <w:pict>
          <v:rect id="_x0000_s1062" style="position:absolute;left:0;text-align:left;margin-left:464.5pt;margin-top:8.05pt;width:75.05pt;height:16.75pt;z-index:251643904" o:allowincell="f" filled="f" stroked="f" strokecolor="lime" strokeweight=".25pt">
            <v:textbox style="mso-next-textbox:#_x0000_s1062"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הודעה על כוונה להכריז</w:t>
                  </w:r>
                </w:p>
              </w:txbxContent>
            </v:textbox>
            <w10:anchorlock/>
          </v:rect>
        </w:pict>
      </w:r>
      <w:r>
        <w:rPr>
          <w:rStyle w:val="big-number"/>
          <w:rFonts w:cs="Miriam" w:hint="cs"/>
          <w:rtl/>
        </w:rPr>
        <w:t>1</w:t>
      </w:r>
      <w:r w:rsidR="001D4C4D">
        <w:rPr>
          <w:rStyle w:val="big-number"/>
          <w:rFonts w:cs="Miriam" w:hint="cs"/>
          <w:rtl/>
        </w:rPr>
        <w:t>2</w:t>
      </w:r>
      <w:r w:rsidRPr="00301EEF">
        <w:rPr>
          <w:rStyle w:val="default"/>
          <w:rFonts w:cs="FrankRuehl"/>
          <w:rtl/>
        </w:rPr>
        <w:t>.</w:t>
      </w:r>
      <w:r w:rsidRPr="00301EEF">
        <w:rPr>
          <w:rStyle w:val="default"/>
          <w:rFonts w:cs="FrankRuehl"/>
          <w:rtl/>
        </w:rPr>
        <w:tab/>
      </w:r>
      <w:r w:rsidR="004A03A7">
        <w:rPr>
          <w:rStyle w:val="default"/>
          <w:rFonts w:cs="FrankRuehl" w:hint="cs"/>
          <w:rtl/>
        </w:rPr>
        <w:t xml:space="preserve">מצאה ועדת השרים, לאחר שהועברה אליה עמדת מטה הסנקציות, כי מתקיימים התנאים להכרזה על גורם זר כגורם זר מסייע לפי סעיף 3 או להכרזה על גורם זר שהוא תאגיד כתאגיד המקיים קשר עסקי עם איראן לפי סעיף 9, ובכוונת ועדת השרים להכריז עליו לפי אחד מהסעיפים האמורים, תמסור לגורם הזר הודעה על הכוונה להכריז כאמור ותפרסם באתר האינטרנט של מטה הסנקציות הודעה בעברית, בערבית ובאנגלית על הכוונה כאמור (בסימן זה </w:t>
      </w:r>
      <w:r w:rsidR="004A03A7">
        <w:rPr>
          <w:rStyle w:val="default"/>
          <w:rFonts w:cs="FrankRuehl"/>
          <w:rtl/>
        </w:rPr>
        <w:t>–</w:t>
      </w:r>
      <w:r w:rsidR="004A03A7">
        <w:rPr>
          <w:rStyle w:val="default"/>
          <w:rFonts w:cs="FrankRuehl" w:hint="cs"/>
          <w:rtl/>
        </w:rPr>
        <w:t xml:space="preserve"> הודעה על כוונה להכריז).</w:t>
      </w:r>
    </w:p>
    <w:p w:rsidR="00301EEF" w:rsidRDefault="00301EEF" w:rsidP="0060625E">
      <w:pPr>
        <w:pStyle w:val="P00"/>
        <w:spacing w:before="72"/>
        <w:ind w:left="0" w:right="1134"/>
        <w:rPr>
          <w:rStyle w:val="default"/>
          <w:rFonts w:cs="FrankRuehl" w:hint="cs"/>
          <w:rtl/>
        </w:rPr>
      </w:pPr>
      <w:bookmarkStart w:id="21" w:name="Seif13"/>
      <w:bookmarkEnd w:id="21"/>
      <w:r>
        <w:rPr>
          <w:lang w:val="he-IL"/>
        </w:rPr>
        <w:pict>
          <v:rect id="_x0000_s1063" style="position:absolute;left:0;text-align:left;margin-left:464.5pt;margin-top:8.05pt;width:75.05pt;height:11.1pt;z-index:251644928" o:allowincell="f" filled="f" stroked="f" strokecolor="lime" strokeweight=".25pt">
            <v:textbox style="mso-next-textbox:#_x0000_s1063"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בקשה שלא להכריז</w:t>
                  </w:r>
                </w:p>
              </w:txbxContent>
            </v:textbox>
            <w10:anchorlock/>
          </v:rect>
        </w:pict>
      </w:r>
      <w:r>
        <w:rPr>
          <w:rStyle w:val="big-number"/>
          <w:rFonts w:cs="Miriam" w:hint="cs"/>
          <w:rtl/>
        </w:rPr>
        <w:t>1</w:t>
      </w:r>
      <w:r w:rsidR="004A03A7">
        <w:rPr>
          <w:rStyle w:val="big-number"/>
          <w:rFonts w:cs="Miriam" w:hint="cs"/>
          <w:rtl/>
        </w:rPr>
        <w:t>3</w:t>
      </w:r>
      <w:r w:rsidRPr="00301EEF">
        <w:rPr>
          <w:rStyle w:val="default"/>
          <w:rFonts w:cs="FrankRuehl"/>
          <w:rtl/>
        </w:rPr>
        <w:t>.</w:t>
      </w:r>
      <w:r w:rsidRPr="00301EEF">
        <w:rPr>
          <w:rStyle w:val="default"/>
          <w:rFonts w:cs="FrankRuehl"/>
          <w:rtl/>
        </w:rPr>
        <w:tab/>
      </w:r>
      <w:r w:rsidR="0060625E">
        <w:rPr>
          <w:rStyle w:val="default"/>
          <w:rFonts w:cs="FrankRuehl" w:hint="cs"/>
          <w:rtl/>
        </w:rPr>
        <w:t>(א)</w:t>
      </w:r>
      <w:r w:rsidR="0060625E">
        <w:rPr>
          <w:rStyle w:val="default"/>
          <w:rFonts w:cs="FrankRuehl" w:hint="cs"/>
          <w:rtl/>
        </w:rPr>
        <w:tab/>
        <w:t xml:space="preserve">הרואה את עצמו נפגע מכוונה להכריז על גורם זר כאמור בסעיף 12, רשאי להגיש לוועדה המייעצת באמצעות מטה הסנקציות, בכתב, בקשה שלא להכריז כאמור, בתוך 45 ימים מיום פרסום ההודעה על כוונה להכריז (בסימן זה </w:t>
      </w:r>
      <w:r w:rsidR="0060625E">
        <w:rPr>
          <w:rStyle w:val="default"/>
          <w:rFonts w:cs="FrankRuehl"/>
          <w:rtl/>
        </w:rPr>
        <w:t>–</w:t>
      </w:r>
      <w:r w:rsidR="0060625E">
        <w:rPr>
          <w:rStyle w:val="default"/>
          <w:rFonts w:cs="FrankRuehl" w:hint="cs"/>
          <w:rtl/>
        </w:rPr>
        <w:t xml:space="preserve"> בקשה שלא להכריז); בבקשה שלא להכריז יפרט המבקש את כל העובדות שעליהן הוא מבסס את בקשתו ויצרף את המסמכים שבידיו הנוגעים לעניין.</w:t>
      </w:r>
    </w:p>
    <w:p w:rsidR="0060625E" w:rsidRDefault="0060625E" w:rsidP="006062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הוועדה המייעצת רשאית להאריך את התקופה להגשת בקשה שלא להכריז, ובלבד שהוגשה לה באמצעות מטה הסנקציות, בקשה מנומקת לכך ומתקיים אחד מאלה:</w:t>
      </w:r>
    </w:p>
    <w:p w:rsidR="0060625E" w:rsidRDefault="0060625E" w:rsidP="006062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הוועדה המייעצת שוכנעה כי העיכוב בהגשת הבקשה היה מקום שהמבקש לא ידע על הכוונה להכריז מטעמים שאינם תלויים בו, והבקשה הוגשה בתוך 30 ימים מיום שהכוונה להכריז הובאה לידיעת המבקש;</w:t>
      </w:r>
    </w:p>
    <w:p w:rsidR="0060625E" w:rsidRDefault="0060625E" w:rsidP="006062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הוועדה המייעצת מצאה כי הדבר מוצדק מטעמים אחרים שיירשמו.</w:t>
      </w:r>
    </w:p>
    <w:p w:rsidR="00301EEF" w:rsidRDefault="00301EEF" w:rsidP="0060625E">
      <w:pPr>
        <w:pStyle w:val="P00"/>
        <w:spacing w:before="72"/>
        <w:ind w:left="0" w:right="1134"/>
        <w:rPr>
          <w:rStyle w:val="default"/>
          <w:rFonts w:cs="FrankRuehl" w:hint="cs"/>
          <w:rtl/>
        </w:rPr>
      </w:pPr>
      <w:bookmarkStart w:id="22" w:name="Seif14"/>
      <w:bookmarkEnd w:id="22"/>
      <w:r>
        <w:rPr>
          <w:lang w:val="he-IL"/>
        </w:rPr>
        <w:pict>
          <v:rect id="_x0000_s1064" style="position:absolute;left:0;text-align:left;margin-left:464.5pt;margin-top:8.05pt;width:75.05pt;height:22.95pt;z-index:251645952" o:allowincell="f" filled="f" stroked="f" strokecolor="lime" strokeweight=".25pt">
            <v:textbox style="mso-next-textbox:#_x0000_s1064"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דיוני הוועד המייעצת בבקשה שלא להכריז</w:t>
                  </w:r>
                </w:p>
              </w:txbxContent>
            </v:textbox>
            <w10:anchorlock/>
          </v:rect>
        </w:pict>
      </w:r>
      <w:r>
        <w:rPr>
          <w:rStyle w:val="big-number"/>
          <w:rFonts w:cs="Miriam" w:hint="cs"/>
          <w:rtl/>
        </w:rPr>
        <w:t>1</w:t>
      </w:r>
      <w:r w:rsidR="0060625E">
        <w:rPr>
          <w:rStyle w:val="big-number"/>
          <w:rFonts w:cs="Miriam" w:hint="cs"/>
          <w:rtl/>
        </w:rPr>
        <w:t>4</w:t>
      </w:r>
      <w:r w:rsidRPr="00301EEF">
        <w:rPr>
          <w:rStyle w:val="default"/>
          <w:rFonts w:cs="FrankRuehl"/>
          <w:rtl/>
        </w:rPr>
        <w:t>.</w:t>
      </w:r>
      <w:r w:rsidRPr="00301EEF">
        <w:rPr>
          <w:rStyle w:val="default"/>
          <w:rFonts w:cs="FrankRuehl"/>
          <w:rtl/>
        </w:rPr>
        <w:tab/>
      </w:r>
      <w:r w:rsidR="0060625E">
        <w:rPr>
          <w:rStyle w:val="default"/>
          <w:rFonts w:cs="FrankRuehl" w:hint="cs"/>
          <w:rtl/>
        </w:rPr>
        <w:t>(א)</w:t>
      </w:r>
      <w:r w:rsidR="0060625E">
        <w:rPr>
          <w:rStyle w:val="default"/>
          <w:rFonts w:cs="FrankRuehl" w:hint="cs"/>
          <w:rtl/>
        </w:rPr>
        <w:tab/>
        <w:t xml:space="preserve">הוועדה המייעצת תיתן למבקש בקשה שלא להכריז הזדמנות לטעון את טענותיו ולהציג לפניה מידע לביסוס טענותיו, בכתב או בעל פה, והיא רשאית לשם דיון בבקשה להזמין עדים ולדרוש שיומצאו לה מסמכים; </w:t>
      </w:r>
      <w:r w:rsidR="00370475">
        <w:rPr>
          <w:rStyle w:val="default"/>
          <w:rFonts w:cs="FrankRuehl" w:hint="cs"/>
          <w:rtl/>
        </w:rPr>
        <w:t>הוועדה המייעצת רשאית להורות למבקש כי יסכם את טענותיו בכתב או בעל פה.</w:t>
      </w:r>
    </w:p>
    <w:p w:rsidR="00370475" w:rsidRDefault="00370475" w:rsidP="006062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המייעצת תנהל פרוטוקולים של דיוניה בבקשה שלא להכריז.</w:t>
      </w:r>
    </w:p>
    <w:p w:rsidR="00370475" w:rsidRDefault="00370475" w:rsidP="006062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הדיונים של הוועדה המייעצת בבקשה שלא להכריז הם סודיים; הפרוטוקולים של הוועדה המייעצת והחלטותיה בבקשה כאמור הם חסויים, למעט חלקים בהם שאינם כוללים מידע חסוי.</w:t>
      </w:r>
    </w:p>
    <w:p w:rsidR="00301EEF" w:rsidRDefault="00301EEF" w:rsidP="00AD484D">
      <w:pPr>
        <w:pStyle w:val="P00"/>
        <w:spacing w:before="72"/>
        <w:ind w:left="0" w:right="1134"/>
        <w:rPr>
          <w:rStyle w:val="default"/>
          <w:rFonts w:cs="FrankRuehl" w:hint="cs"/>
          <w:rtl/>
        </w:rPr>
      </w:pPr>
      <w:bookmarkStart w:id="23" w:name="Seif15"/>
      <w:bookmarkEnd w:id="23"/>
      <w:r>
        <w:rPr>
          <w:lang w:val="he-IL"/>
        </w:rPr>
        <w:pict>
          <v:rect id="_x0000_s1065" style="position:absolute;left:0;text-align:left;margin-left:464.5pt;margin-top:8.05pt;width:75.05pt;height:28.05pt;z-index:251646976" o:allowincell="f" filled="f" stroked="f" strokecolor="lime" strokeweight=".25pt">
            <v:textbox style="mso-next-textbox:#_x0000_s1065"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המלצת הוועדה המייעצת בבקשה שלא להכריז</w:t>
                  </w:r>
                </w:p>
              </w:txbxContent>
            </v:textbox>
            <w10:anchorlock/>
          </v:rect>
        </w:pict>
      </w:r>
      <w:r>
        <w:rPr>
          <w:rStyle w:val="big-number"/>
          <w:rFonts w:cs="Miriam" w:hint="cs"/>
          <w:rtl/>
        </w:rPr>
        <w:t>1</w:t>
      </w:r>
      <w:r w:rsidR="00370475">
        <w:rPr>
          <w:rStyle w:val="big-number"/>
          <w:rFonts w:cs="Miriam" w:hint="cs"/>
          <w:rtl/>
        </w:rPr>
        <w:t>5</w:t>
      </w:r>
      <w:r w:rsidRPr="00301EEF">
        <w:rPr>
          <w:rStyle w:val="default"/>
          <w:rFonts w:cs="FrankRuehl"/>
          <w:rtl/>
        </w:rPr>
        <w:t>.</w:t>
      </w:r>
      <w:r w:rsidRPr="00301EEF">
        <w:rPr>
          <w:rStyle w:val="default"/>
          <w:rFonts w:cs="FrankRuehl"/>
          <w:rtl/>
        </w:rPr>
        <w:tab/>
      </w:r>
      <w:r w:rsidR="00370475">
        <w:rPr>
          <w:rStyle w:val="default"/>
          <w:rFonts w:cs="FrankRuehl" w:hint="cs"/>
          <w:rtl/>
        </w:rPr>
        <w:t>(א)</w:t>
      </w:r>
      <w:r w:rsidR="00370475">
        <w:rPr>
          <w:rStyle w:val="default"/>
          <w:rFonts w:cs="FrankRuehl" w:hint="cs"/>
          <w:rtl/>
        </w:rPr>
        <w:tab/>
        <w:t xml:space="preserve">הוועדה המייעצת תמסור לוועדת השרים את המלצתה המנומקת בבקשה שלא להכריז, בצירוף המידע שהוצג לפניה לצורך גיבוש המלצתה כאמור וכל חומר נוסף הנמצא בידה והנוגע לעניין; </w:t>
      </w:r>
      <w:r w:rsidR="00D9053D">
        <w:rPr>
          <w:rStyle w:val="default"/>
          <w:rFonts w:cs="FrankRuehl" w:hint="cs"/>
          <w:rtl/>
        </w:rPr>
        <w:t xml:space="preserve">המלצה כאמור תימסר לוועדת השרים בהקדם האפשרי ולא יאוחר מתום 60 ימים ממועד הגשת הבקשה; ואולם </w:t>
      </w:r>
      <w:r w:rsidR="00AD484D">
        <w:rPr>
          <w:rStyle w:val="default"/>
          <w:rFonts w:cs="FrankRuehl" w:hint="cs"/>
          <w:rtl/>
        </w:rPr>
        <w:t>רשאית הוועדה המייעצת, מנימוקים מיוחדים שיירשמו, להאריך את התקופה למתן ההמלצה כאמור ככל שהדבר דרוש לה לצורך גיבוש המלצתה.</w:t>
      </w:r>
    </w:p>
    <w:p w:rsidR="00AD484D" w:rsidRDefault="00AD484D" w:rsidP="00AD48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החלקים בהמלצת הוועדה המייעצת שאינם כוללים מידע חסוי יישלחו למבקש, לא יאוחר משבעה ימים מיום מתן ההמלצה.</w:t>
      </w:r>
    </w:p>
    <w:p w:rsidR="00301EEF" w:rsidRDefault="00301EEF" w:rsidP="00AD484D">
      <w:pPr>
        <w:pStyle w:val="P00"/>
        <w:spacing w:before="72"/>
        <w:ind w:left="0" w:right="1134"/>
        <w:rPr>
          <w:rStyle w:val="default"/>
          <w:rFonts w:cs="FrankRuehl" w:hint="cs"/>
          <w:rtl/>
        </w:rPr>
      </w:pPr>
      <w:bookmarkStart w:id="24" w:name="Seif16"/>
      <w:bookmarkEnd w:id="24"/>
      <w:r>
        <w:rPr>
          <w:lang w:val="he-IL"/>
        </w:rPr>
        <w:pict>
          <v:rect id="_x0000_s1066" style="position:absolute;left:0;text-align:left;margin-left:464.5pt;margin-top:8.05pt;width:75.05pt;height:21.7pt;z-index:251648000" o:allowincell="f" filled="f" stroked="f" strokecolor="lime" strokeweight=".25pt">
            <v:textbox style="mso-next-textbox:#_x0000_s1066"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החלטת ועדת השרים בבקשה שלא להכריז</w:t>
                  </w:r>
                </w:p>
              </w:txbxContent>
            </v:textbox>
            <w10:anchorlock/>
          </v:rect>
        </w:pict>
      </w:r>
      <w:r>
        <w:rPr>
          <w:rStyle w:val="big-number"/>
          <w:rFonts w:cs="Miriam" w:hint="cs"/>
          <w:rtl/>
        </w:rPr>
        <w:t>1</w:t>
      </w:r>
      <w:r w:rsidR="00AD484D">
        <w:rPr>
          <w:rStyle w:val="big-number"/>
          <w:rFonts w:cs="Miriam" w:hint="cs"/>
          <w:rtl/>
        </w:rPr>
        <w:t>6</w:t>
      </w:r>
      <w:r w:rsidRPr="00301EEF">
        <w:rPr>
          <w:rStyle w:val="default"/>
          <w:rFonts w:cs="FrankRuehl"/>
          <w:rtl/>
        </w:rPr>
        <w:t>.</w:t>
      </w:r>
      <w:r w:rsidRPr="00301EEF">
        <w:rPr>
          <w:rStyle w:val="default"/>
          <w:rFonts w:cs="FrankRuehl"/>
          <w:rtl/>
        </w:rPr>
        <w:tab/>
      </w:r>
      <w:r w:rsidR="00AD484D">
        <w:rPr>
          <w:rStyle w:val="default"/>
          <w:rFonts w:cs="FrankRuehl" w:hint="cs"/>
          <w:rtl/>
        </w:rPr>
        <w:t>ועדת השרים תיתן את החלטתה בבקשה שלא להכריז בתוך 30 ימים מיום שנמסרה המלצת הוועדה המייעצת כאמור בסעיף 15(א), ורשאית היא, מטעמים מיוחדים שיירשמו, להאריך את התקופה למתן ההחלטה כאמור בתקופות נוספות שלא יעלו על 30 ימים כל אחת; החלטת ועדת השרים לפי סעיף זה תינתן בכתב ותהיה מנומקת; העתק מהחלטת ועדת השרים ונימוקיה יומצא למבקש ואולם לא יומצאו למבקש חלקים מהחלטת ועדת השרים הכוללים מידע חסוי.</w:t>
      </w:r>
    </w:p>
    <w:p w:rsidR="00301EEF" w:rsidRDefault="00301EEF" w:rsidP="00AD484D">
      <w:pPr>
        <w:pStyle w:val="P00"/>
        <w:spacing w:before="72"/>
        <w:ind w:left="0" w:right="1134"/>
        <w:rPr>
          <w:rStyle w:val="default"/>
          <w:rFonts w:cs="FrankRuehl" w:hint="cs"/>
          <w:rtl/>
        </w:rPr>
      </w:pPr>
      <w:bookmarkStart w:id="25" w:name="Seif17"/>
      <w:bookmarkEnd w:id="25"/>
      <w:r>
        <w:rPr>
          <w:lang w:val="he-IL"/>
        </w:rPr>
        <w:pict>
          <v:rect id="_x0000_s1067" style="position:absolute;left:0;text-align:left;margin-left:464.5pt;margin-top:8.05pt;width:75.05pt;height:11.4pt;z-index:251649024" o:allowincell="f" filled="f" stroked="f" strokecolor="lime" strokeweight=".25pt">
            <v:textbox style="mso-next-textbox:#_x0000_s1067"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בקשה לביטול הכרזה</w:t>
                  </w:r>
                </w:p>
              </w:txbxContent>
            </v:textbox>
            <w10:anchorlock/>
          </v:rect>
        </w:pict>
      </w:r>
      <w:r>
        <w:rPr>
          <w:rStyle w:val="big-number"/>
          <w:rFonts w:cs="Miriam" w:hint="cs"/>
          <w:rtl/>
        </w:rPr>
        <w:t>1</w:t>
      </w:r>
      <w:r w:rsidR="00AD484D">
        <w:rPr>
          <w:rStyle w:val="big-number"/>
          <w:rFonts w:cs="Miriam" w:hint="cs"/>
          <w:rtl/>
        </w:rPr>
        <w:t>7</w:t>
      </w:r>
      <w:r w:rsidRPr="00301EEF">
        <w:rPr>
          <w:rStyle w:val="default"/>
          <w:rFonts w:cs="FrankRuehl"/>
          <w:rtl/>
        </w:rPr>
        <w:t>.</w:t>
      </w:r>
      <w:r w:rsidRPr="00301EEF">
        <w:rPr>
          <w:rStyle w:val="default"/>
          <w:rFonts w:cs="FrankRuehl"/>
          <w:rtl/>
        </w:rPr>
        <w:tab/>
      </w:r>
      <w:r w:rsidR="00AD484D">
        <w:rPr>
          <w:rStyle w:val="default"/>
          <w:rFonts w:cs="FrankRuehl" w:hint="cs"/>
          <w:rtl/>
        </w:rPr>
        <w:t>(א)</w:t>
      </w:r>
      <w:r w:rsidR="00AD484D">
        <w:rPr>
          <w:rStyle w:val="default"/>
          <w:rFonts w:cs="FrankRuehl" w:hint="cs"/>
          <w:rtl/>
        </w:rPr>
        <w:tab/>
        <w:t xml:space="preserve">הוראה את עצמו נפגע מהכרזה לפי סעיפים 3 או 9, רשאי להגיש לוועדה המייעצת, באמצעות מטה הסנקציות, בכתב, בקשה לביטול ההכרזה (בסימן זה </w:t>
      </w:r>
      <w:r w:rsidR="00AD484D">
        <w:rPr>
          <w:rStyle w:val="default"/>
          <w:rFonts w:cs="FrankRuehl"/>
          <w:rtl/>
        </w:rPr>
        <w:t>–</w:t>
      </w:r>
      <w:r w:rsidR="00AD484D">
        <w:rPr>
          <w:rStyle w:val="default"/>
          <w:rFonts w:cs="FrankRuehl" w:hint="cs"/>
          <w:rtl/>
        </w:rPr>
        <w:t xml:space="preserve"> בקשה לביטול הכרזה); בבקשה לביטול הכרזה יפרט המבקש את כל העובדות שעליהן הוא מבסס את בקשתו ויצרף את המסמכים שבידיו הנוגעים לעניין.</w:t>
      </w:r>
    </w:p>
    <w:p w:rsidR="00AD484D" w:rsidRDefault="00AD484D" w:rsidP="00AD48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14 עד 16 יחולו לגבי בקשה לביטול הכרזה, בשינויים המחויבים.</w:t>
      </w:r>
    </w:p>
    <w:p w:rsidR="00301EEF" w:rsidRDefault="00301EEF" w:rsidP="00151A33">
      <w:pPr>
        <w:pStyle w:val="P00"/>
        <w:spacing w:before="72"/>
        <w:ind w:left="0" w:right="1134"/>
        <w:rPr>
          <w:rStyle w:val="default"/>
          <w:rFonts w:cs="FrankRuehl" w:hint="cs"/>
          <w:rtl/>
        </w:rPr>
      </w:pPr>
      <w:bookmarkStart w:id="26" w:name="Seif18"/>
      <w:bookmarkEnd w:id="26"/>
      <w:r>
        <w:rPr>
          <w:lang w:val="he-IL"/>
        </w:rPr>
        <w:pict>
          <v:rect id="_x0000_s1068" style="position:absolute;left:0;text-align:left;margin-left:464.5pt;margin-top:8.05pt;width:75.05pt;height:28.5pt;z-index:251650048" o:allowincell="f" filled="f" stroked="f" strokecolor="lime" strokeweight=".25pt">
            <v:textbox style="mso-next-textbox:#_x0000_s1068" inset="0,0,0,0">
              <w:txbxContent>
                <w:p w:rsidR="00A45F06" w:rsidRDefault="00A45F06" w:rsidP="00301EEF">
                  <w:pPr>
                    <w:spacing w:line="160" w:lineRule="exact"/>
                    <w:jc w:val="left"/>
                    <w:rPr>
                      <w:rFonts w:cs="Miriam"/>
                      <w:noProof/>
                      <w:sz w:val="18"/>
                      <w:szCs w:val="18"/>
                      <w:rtl/>
                    </w:rPr>
                  </w:pPr>
                  <w:r>
                    <w:rPr>
                      <w:rFonts w:cs="Miriam" w:hint="cs"/>
                      <w:sz w:val="18"/>
                      <w:szCs w:val="18"/>
                      <w:rtl/>
                    </w:rPr>
                    <w:t>ביטול הכרזה</w:t>
                  </w:r>
                </w:p>
                <w:p w:rsidR="0097292E" w:rsidRDefault="0097292E" w:rsidP="00301EEF">
                  <w:pPr>
                    <w:spacing w:line="160" w:lineRule="exact"/>
                    <w:jc w:val="left"/>
                    <w:rPr>
                      <w:rFonts w:cs="Miriam" w:hint="cs"/>
                      <w:noProof/>
                      <w:sz w:val="18"/>
                      <w:szCs w:val="18"/>
                      <w:rtl/>
                    </w:rPr>
                  </w:pPr>
                  <w:r>
                    <w:rPr>
                      <w:rFonts w:cs="Miriam" w:hint="cs"/>
                      <w:noProof/>
                      <w:sz w:val="18"/>
                      <w:szCs w:val="18"/>
                      <w:rtl/>
                    </w:rPr>
                    <w:t>(תיקון מס' 1) תשע"ח-2018</w:t>
                  </w:r>
                </w:p>
              </w:txbxContent>
            </v:textbox>
            <w10:anchorlock/>
          </v:rect>
        </w:pict>
      </w:r>
      <w:r>
        <w:rPr>
          <w:rStyle w:val="big-number"/>
          <w:rFonts w:cs="Miriam" w:hint="cs"/>
          <w:rtl/>
        </w:rPr>
        <w:t>1</w:t>
      </w:r>
      <w:r w:rsidR="00AD484D">
        <w:rPr>
          <w:rStyle w:val="big-number"/>
          <w:rFonts w:cs="Miriam" w:hint="cs"/>
          <w:rtl/>
        </w:rPr>
        <w:t>8</w:t>
      </w:r>
      <w:r w:rsidRPr="00301EEF">
        <w:rPr>
          <w:rStyle w:val="default"/>
          <w:rFonts w:cs="FrankRuehl"/>
          <w:rtl/>
        </w:rPr>
        <w:t>.</w:t>
      </w:r>
      <w:r w:rsidRPr="00301EEF">
        <w:rPr>
          <w:rStyle w:val="default"/>
          <w:rFonts w:cs="FrankRuehl"/>
          <w:rtl/>
        </w:rPr>
        <w:tab/>
      </w:r>
      <w:r w:rsidR="00151A33">
        <w:rPr>
          <w:rStyle w:val="default"/>
          <w:rFonts w:cs="FrankRuehl" w:hint="cs"/>
          <w:rtl/>
        </w:rPr>
        <w:t>(א)</w:t>
      </w:r>
      <w:r w:rsidR="00151A33">
        <w:rPr>
          <w:rStyle w:val="default"/>
          <w:rFonts w:cs="FrankRuehl" w:hint="cs"/>
          <w:rtl/>
        </w:rPr>
        <w:tab/>
        <w:t>ועדת השרים תבטל את ההכרזה שניתנה לפי סעיפים 3 או 9, לפי העניין, אם מצאה, מיוזמתה, לאחר שעיינה בבקשה לביטול ההכרזה ובהמלצת הוועדה המייעצת באותה בקשה או לאחר שעיינה בהמלצת מטה הסנקציות כאמור בסעיף 21, כי חדל להתקיים תנאי מהתנאים להכרזה לפי הסעיפים האמורים, לפי העניין, או כי קיימים טעמים אחרים המצדיקים זאת.</w:t>
      </w:r>
    </w:p>
    <w:p w:rsidR="00151A33" w:rsidRDefault="00151A33" w:rsidP="00151A3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החליטה ועדת השרים על ביטול הכרזה </w:t>
      </w:r>
      <w:r w:rsidR="003D091F">
        <w:rPr>
          <w:rStyle w:val="default"/>
          <w:rFonts w:cs="FrankRuehl" w:hint="cs"/>
          <w:rtl/>
        </w:rPr>
        <w:t>לפי סעיף קטן (א), תעודכן ברשימה לפי סעיפים 3(ד) או 9(ה), לפי העניין, בסמוך לאחר החלטת הוועדה, ותינתן הודעה על ההחלטה כאמור לבעלי התפקידים המנויים בסעיף 3(ה).</w:t>
      </w:r>
    </w:p>
    <w:p w:rsidR="0097292E" w:rsidRPr="0097292E" w:rsidRDefault="0097292E" w:rsidP="0097292E">
      <w:pPr>
        <w:pStyle w:val="P00"/>
        <w:spacing w:before="0"/>
        <w:ind w:left="0" w:right="1134"/>
        <w:rPr>
          <w:rStyle w:val="default"/>
          <w:rFonts w:ascii="FrankRuehl" w:hAnsi="FrankRuehl" w:cs="FrankRuehl"/>
          <w:vanish/>
          <w:color w:val="FF0000"/>
          <w:sz w:val="20"/>
          <w:szCs w:val="20"/>
          <w:shd w:val="clear" w:color="auto" w:fill="FFFF99"/>
          <w:rtl/>
        </w:rPr>
      </w:pPr>
      <w:bookmarkStart w:id="27" w:name="Rov57"/>
      <w:r w:rsidRPr="0097292E">
        <w:rPr>
          <w:rStyle w:val="default"/>
          <w:rFonts w:ascii="FrankRuehl" w:hAnsi="FrankRuehl" w:cs="FrankRuehl"/>
          <w:vanish/>
          <w:color w:val="FF0000"/>
          <w:sz w:val="20"/>
          <w:szCs w:val="20"/>
          <w:shd w:val="clear" w:color="auto" w:fill="FFFF99"/>
          <w:rtl/>
        </w:rPr>
        <w:t>מיום 11.3.2018</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b/>
          <w:bCs/>
          <w:vanish/>
          <w:sz w:val="20"/>
          <w:szCs w:val="20"/>
          <w:shd w:val="clear" w:color="auto" w:fill="FFFF99"/>
          <w:rtl/>
        </w:rPr>
        <w:t>תיקון מס' 1</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hyperlink r:id="rId14" w:history="1">
        <w:r w:rsidRPr="0097292E">
          <w:rPr>
            <w:rStyle w:val="Hyperlink"/>
            <w:rFonts w:ascii="FrankRuehl" w:hAnsi="FrankRuehl" w:cs="FrankRuehl"/>
            <w:vanish/>
            <w:szCs w:val="20"/>
            <w:shd w:val="clear" w:color="auto" w:fill="FFFF99"/>
            <w:rtl/>
          </w:rPr>
          <w:t>ס"ח תשע"ח מס' 2699</w:t>
        </w:r>
      </w:hyperlink>
      <w:r w:rsidRPr="0097292E">
        <w:rPr>
          <w:rStyle w:val="default"/>
          <w:rFonts w:ascii="FrankRuehl" w:hAnsi="FrankRuehl" w:cs="FrankRuehl"/>
          <w:vanish/>
          <w:sz w:val="20"/>
          <w:szCs w:val="20"/>
          <w:shd w:val="clear" w:color="auto" w:fill="FFFF99"/>
          <w:rtl/>
        </w:rPr>
        <w:t xml:space="preserve"> מיום 11.3.2018 עמ' </w:t>
      </w:r>
      <w:r w:rsidRPr="0097292E">
        <w:rPr>
          <w:rStyle w:val="default"/>
          <w:rFonts w:ascii="FrankRuehl" w:hAnsi="FrankRuehl" w:cs="FrankRuehl" w:hint="cs"/>
          <w:vanish/>
          <w:sz w:val="20"/>
          <w:szCs w:val="20"/>
          <w:shd w:val="clear" w:color="auto" w:fill="FFFF99"/>
          <w:rtl/>
        </w:rPr>
        <w:t>240</w:t>
      </w:r>
      <w:r w:rsidRPr="0097292E">
        <w:rPr>
          <w:rStyle w:val="default"/>
          <w:rFonts w:ascii="FrankRuehl" w:hAnsi="FrankRuehl" w:cs="FrankRuehl"/>
          <w:vanish/>
          <w:sz w:val="20"/>
          <w:szCs w:val="20"/>
          <w:shd w:val="clear" w:color="auto" w:fill="FFFF99"/>
          <w:rtl/>
        </w:rPr>
        <w:t xml:space="preserve"> (</w:t>
      </w:r>
      <w:hyperlink r:id="rId15" w:history="1">
        <w:r w:rsidRPr="0097292E">
          <w:rPr>
            <w:rStyle w:val="Hyperlink"/>
            <w:rFonts w:ascii="FrankRuehl" w:hAnsi="FrankRuehl" w:cs="FrankRuehl"/>
            <w:vanish/>
            <w:szCs w:val="20"/>
            <w:shd w:val="clear" w:color="auto" w:fill="FFFF99"/>
            <w:rtl/>
          </w:rPr>
          <w:t>ה"ח 1186</w:t>
        </w:r>
      </w:hyperlink>
      <w:r w:rsidRPr="0097292E">
        <w:rPr>
          <w:rStyle w:val="default"/>
          <w:rFonts w:ascii="FrankRuehl" w:hAnsi="FrankRuehl" w:cs="FrankRuehl"/>
          <w:vanish/>
          <w:sz w:val="20"/>
          <w:szCs w:val="20"/>
          <w:shd w:val="clear" w:color="auto" w:fill="FFFF99"/>
          <w:rtl/>
        </w:rPr>
        <w:t>)</w:t>
      </w:r>
    </w:p>
    <w:p w:rsidR="0097292E" w:rsidRPr="0097292E" w:rsidRDefault="0097292E" w:rsidP="0097292E">
      <w:pPr>
        <w:pStyle w:val="P00"/>
        <w:ind w:left="0" w:right="1134"/>
        <w:rPr>
          <w:rStyle w:val="default"/>
          <w:rFonts w:cs="FrankRuehl" w:hint="cs"/>
          <w:sz w:val="2"/>
          <w:szCs w:val="2"/>
          <w:shd w:val="clear" w:color="auto" w:fill="FFFF99"/>
          <w:rtl/>
        </w:rPr>
      </w:pPr>
      <w:r w:rsidRPr="0097292E">
        <w:rPr>
          <w:rStyle w:val="default"/>
          <w:rFonts w:cs="FrankRuehl"/>
          <w:vanish/>
          <w:sz w:val="22"/>
          <w:szCs w:val="22"/>
          <w:shd w:val="clear" w:color="auto" w:fill="FFFF99"/>
          <w:rtl/>
        </w:rPr>
        <w:tab/>
      </w:r>
      <w:r w:rsidRPr="0097292E">
        <w:rPr>
          <w:rStyle w:val="default"/>
          <w:rFonts w:cs="FrankRuehl" w:hint="cs"/>
          <w:vanish/>
          <w:sz w:val="22"/>
          <w:szCs w:val="22"/>
          <w:shd w:val="clear" w:color="auto" w:fill="FFFF99"/>
          <w:rtl/>
        </w:rPr>
        <w:t>(א)</w:t>
      </w:r>
      <w:r w:rsidRPr="0097292E">
        <w:rPr>
          <w:rStyle w:val="default"/>
          <w:rFonts w:cs="FrankRuehl" w:hint="cs"/>
          <w:vanish/>
          <w:sz w:val="22"/>
          <w:szCs w:val="22"/>
          <w:shd w:val="clear" w:color="auto" w:fill="FFFF99"/>
          <w:rtl/>
        </w:rPr>
        <w:tab/>
        <w:t xml:space="preserve">ועדת השרים תבטל את ההכרזה שניתנה לפי סעיפים 3 או 9, לפי העניין, אם מצאה, מיוזמתה, לאחר שעיינה בבקשה לביטול ההכרזה ובהמלצת הוועדה המייעצת באותה בקשה או לאחר שעיינה בהמלצת מטה הסנקציות כאמור בסעיף 21, כי חדל להתקיים תנאי מהתנאים להכרזה לפי הסעיפים האמורים, לפי העניין, </w:t>
      </w:r>
      <w:r w:rsidRPr="0097292E">
        <w:rPr>
          <w:rStyle w:val="default"/>
          <w:rFonts w:cs="FrankRuehl" w:hint="cs"/>
          <w:strike/>
          <w:vanish/>
          <w:sz w:val="22"/>
          <w:szCs w:val="22"/>
          <w:shd w:val="clear" w:color="auto" w:fill="FFFF99"/>
          <w:rtl/>
        </w:rPr>
        <w:t>ובכלל זה אם גוף מוסמך של מדינה זרה, לרבות מועצת הביטחון של האמות המאוחדות, ביטל הכרזה כאמור באותם סעיפים שעל בסיסה הכריזה ועדת השרים,</w:t>
      </w:r>
      <w:r w:rsidRPr="0097292E">
        <w:rPr>
          <w:rStyle w:val="default"/>
          <w:rFonts w:cs="FrankRuehl" w:hint="cs"/>
          <w:vanish/>
          <w:sz w:val="22"/>
          <w:szCs w:val="22"/>
          <w:shd w:val="clear" w:color="auto" w:fill="FFFF99"/>
          <w:rtl/>
        </w:rPr>
        <w:t xml:space="preserve"> או כי קיימים טעמים אחרים המצדיקים זאת.</w:t>
      </w:r>
      <w:bookmarkEnd w:id="27"/>
    </w:p>
    <w:p w:rsidR="00301EEF" w:rsidRDefault="00301EEF" w:rsidP="003D091F">
      <w:pPr>
        <w:pStyle w:val="P00"/>
        <w:spacing w:before="72"/>
        <w:ind w:left="0" w:right="1134"/>
        <w:rPr>
          <w:rStyle w:val="default"/>
          <w:rFonts w:cs="FrankRuehl" w:hint="cs"/>
          <w:rtl/>
        </w:rPr>
      </w:pPr>
      <w:bookmarkStart w:id="28" w:name="Seif19"/>
      <w:bookmarkEnd w:id="28"/>
      <w:r>
        <w:rPr>
          <w:lang w:val="he-IL"/>
        </w:rPr>
        <w:pict>
          <v:rect id="_x0000_s1069" style="position:absolute;left:0;text-align:left;margin-left:464.5pt;margin-top:8.05pt;width:75.05pt;height:37.95pt;z-index:251651072" o:allowincell="f" filled="f" stroked="f" strokecolor="lime" strokeweight=".25pt">
            <v:textbox style="mso-next-textbox:#_x0000_s1069"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זכות עיון לצורך הגשת בקשה שלא להכריז או בקשה לביטול הכרזה</w:t>
                  </w:r>
                </w:p>
              </w:txbxContent>
            </v:textbox>
            <w10:anchorlock/>
          </v:rect>
        </w:pict>
      </w:r>
      <w:r>
        <w:rPr>
          <w:rStyle w:val="big-number"/>
          <w:rFonts w:cs="Miriam" w:hint="cs"/>
          <w:rtl/>
        </w:rPr>
        <w:t>1</w:t>
      </w:r>
      <w:r w:rsidR="003D091F">
        <w:rPr>
          <w:rStyle w:val="big-number"/>
          <w:rFonts w:cs="Miriam" w:hint="cs"/>
          <w:rtl/>
        </w:rPr>
        <w:t>9</w:t>
      </w:r>
      <w:r w:rsidRPr="00301EEF">
        <w:rPr>
          <w:rStyle w:val="default"/>
          <w:rFonts w:cs="FrankRuehl"/>
          <w:rtl/>
        </w:rPr>
        <w:t>.</w:t>
      </w:r>
      <w:r w:rsidRPr="00301EEF">
        <w:rPr>
          <w:rStyle w:val="default"/>
          <w:rFonts w:cs="FrankRuehl"/>
          <w:rtl/>
        </w:rPr>
        <w:tab/>
      </w:r>
      <w:r w:rsidR="003D091F">
        <w:rPr>
          <w:rStyle w:val="default"/>
          <w:rFonts w:cs="FrankRuehl" w:hint="cs"/>
          <w:rtl/>
        </w:rPr>
        <w:t>(א)</w:t>
      </w:r>
      <w:r w:rsidR="003D091F">
        <w:rPr>
          <w:rStyle w:val="default"/>
          <w:rFonts w:cs="FrankRuehl" w:hint="cs"/>
          <w:rtl/>
        </w:rPr>
        <w:tab/>
        <w:t xml:space="preserve">הזכאי להגיש בקשה שלא להכריז או בקשה לביטול הכרזה רשאי, לצורך הגשת הבקשה כאמור, לעיין במידע הנוגע להכרזה אשר הועבר לוועדת השרים על ידי מטה הסנקציות או אשר הועבר לוועדה המייעצת, ואולם לא יהיה רשאי לעיין במידע שלגביו קבע הגורם שהוא מקור המידע (בסימן זה </w:t>
      </w:r>
      <w:r w:rsidR="003D091F">
        <w:rPr>
          <w:rStyle w:val="default"/>
          <w:rFonts w:cs="FrankRuehl"/>
          <w:rtl/>
        </w:rPr>
        <w:t>–</w:t>
      </w:r>
      <w:r w:rsidR="003D091F">
        <w:rPr>
          <w:rStyle w:val="default"/>
          <w:rFonts w:cs="FrankRuehl" w:hint="cs"/>
          <w:rtl/>
        </w:rPr>
        <w:t xml:space="preserve"> מקור המידע), בתיאום עם מטה הסנקציות, כי גילויו עלול לפגוע בביטחון המדינה, ביחסי החוץ שלה או בשלום הציבור או בביטחונו, או לפגוע בעניין ציבורי חשוב אחר, וכי העניין שיש באי-גילויו עדיף מהצורך לגלותו לשם בירור האמת ועשיית צדק (בסימן זה </w:t>
      </w:r>
      <w:r w:rsidR="003D091F">
        <w:rPr>
          <w:rStyle w:val="default"/>
          <w:rFonts w:cs="FrankRuehl"/>
          <w:rtl/>
        </w:rPr>
        <w:t>–</w:t>
      </w:r>
      <w:r w:rsidR="003D091F">
        <w:rPr>
          <w:rStyle w:val="default"/>
          <w:rFonts w:cs="FrankRuehl" w:hint="cs"/>
          <w:rtl/>
        </w:rPr>
        <w:t xml:space="preserve"> מידע חסוי); בהעדר הסכמה בין מקור המידע למטה הסנקציות לעניין היותו של המידע מידע חסוי, תובא המחלוקת להכרעתו של ראש הממשלה.</w:t>
      </w:r>
    </w:p>
    <w:p w:rsidR="003D091F" w:rsidRDefault="003D091F" w:rsidP="003D09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הכריע ראש הממשלה במחלוקת כאמור בסעיף קטן (א) כי מידע אינו מידע חסוי, רשאי מקור המידע בתיאום עם מטה הסנקציות, לבקש מהוועדה המייעצת או מוועדת השרים כי המידע האמור לא יובא בחשבון הגיבוש המלצה של הוועדה המייעצת או קבלת החלטה של ועדת השרים, לפי העניין, לפי פרק זה; ביקש מקור המדיע בתיאום עם מטה הסנקציות כאמור, לא יתחשבו הוועדה המייעצת וועדת השרים במידע האמור, והמידע לא יועבר למבקש.</w:t>
      </w:r>
    </w:p>
    <w:p w:rsidR="00301EEF" w:rsidRDefault="00301EEF" w:rsidP="003D091F">
      <w:pPr>
        <w:pStyle w:val="P00"/>
        <w:spacing w:before="72"/>
        <w:ind w:left="0" w:right="1134"/>
        <w:rPr>
          <w:rStyle w:val="default"/>
          <w:rFonts w:cs="FrankRuehl" w:hint="cs"/>
          <w:rtl/>
        </w:rPr>
      </w:pPr>
      <w:bookmarkStart w:id="29" w:name="Seif20"/>
      <w:bookmarkEnd w:id="29"/>
      <w:r>
        <w:rPr>
          <w:lang w:val="he-IL"/>
        </w:rPr>
        <w:pict>
          <v:rect id="_x0000_s1070" style="position:absolute;left:0;text-align:left;margin-left:464.5pt;margin-top:8.05pt;width:75.05pt;height:16.75pt;z-index:251652096" o:allowincell="f" filled="f" stroked="f" strokecolor="lime" strokeweight=".25pt">
            <v:textbox style="mso-next-textbox:#_x0000_s1070"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עיון במידע חסוי</w:t>
                  </w:r>
                </w:p>
              </w:txbxContent>
            </v:textbox>
            <w10:anchorlock/>
          </v:rect>
        </w:pict>
      </w:r>
      <w:r>
        <w:rPr>
          <w:rStyle w:val="big-number"/>
          <w:rFonts w:cs="Miriam" w:hint="cs"/>
          <w:rtl/>
        </w:rPr>
        <w:t>20</w:t>
      </w:r>
      <w:r w:rsidRPr="00301EEF">
        <w:rPr>
          <w:rStyle w:val="default"/>
          <w:rFonts w:cs="FrankRuehl"/>
          <w:rtl/>
        </w:rPr>
        <w:t>.</w:t>
      </w:r>
      <w:r w:rsidRPr="00301EEF">
        <w:rPr>
          <w:rStyle w:val="default"/>
          <w:rFonts w:cs="FrankRuehl"/>
          <w:rtl/>
        </w:rPr>
        <w:tab/>
      </w:r>
      <w:r w:rsidR="003D091F">
        <w:rPr>
          <w:rStyle w:val="default"/>
          <w:rFonts w:cs="FrankRuehl" w:hint="cs"/>
          <w:rtl/>
        </w:rPr>
        <w:t>(א)</w:t>
      </w:r>
      <w:r w:rsidR="003D091F">
        <w:rPr>
          <w:rStyle w:val="default"/>
          <w:rFonts w:cs="FrankRuehl" w:hint="cs"/>
          <w:rtl/>
        </w:rPr>
        <w:tab/>
        <w:t>הוועדה המייעצת רשאית לעיין במידע חסוי לשם גיבוש המלצתה לפי סעיפים 15 ו-17(ב), ולבסס את המלצתה על מידע כאמור.</w:t>
      </w:r>
    </w:p>
    <w:p w:rsidR="003D091F" w:rsidRDefault="003D091F" w:rsidP="003D09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ביקשה הוועדה המייעצת לבסס את המלצתה כאמור בסעיף קטן (א) על מידע חסוי שהוצג לה, תודיע למבקש על כוונתה לעשות כן, ורשאית היא להעביר לו, בתיאום עם מקור המידע ועם מטה הסנקציות, תמצית של המידע החסוי, ככל שאפשר לעשות כן בלי לפגוע באינטרס שבשלו נקבע כי הוא מידע חסוי.</w:t>
      </w:r>
    </w:p>
    <w:p w:rsidR="003D091F" w:rsidRDefault="003D091F" w:rsidP="003D09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השרים רשאית לעיין במידע חסוי לשם גיבוש החלטתה לפי סעיפים 16 ו-17(ב), ולבסס את החלטתה על מידע כאמור.</w:t>
      </w:r>
    </w:p>
    <w:p w:rsidR="00301EEF" w:rsidRDefault="00301EEF" w:rsidP="003D091F">
      <w:pPr>
        <w:pStyle w:val="P00"/>
        <w:spacing w:before="72"/>
        <w:ind w:left="0" w:right="1134"/>
        <w:rPr>
          <w:rStyle w:val="default"/>
          <w:rFonts w:cs="FrankRuehl" w:hint="cs"/>
          <w:rtl/>
        </w:rPr>
      </w:pPr>
      <w:bookmarkStart w:id="30" w:name="Seif21"/>
      <w:bookmarkEnd w:id="30"/>
      <w:r>
        <w:rPr>
          <w:lang w:val="he-IL"/>
        </w:rPr>
        <w:pict>
          <v:rect id="_x0000_s1071" style="position:absolute;left:0;text-align:left;margin-left:464.5pt;margin-top:8.05pt;width:75.05pt;height:16.75pt;z-index:251653120" o:allowincell="f" filled="f" stroked="f" strokecolor="lime" strokeweight=".25pt">
            <v:textbox style="mso-next-textbox:#_x0000_s1071"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ביקורת תקופתית</w:t>
                  </w:r>
                </w:p>
              </w:txbxContent>
            </v:textbox>
            <w10:anchorlock/>
          </v:rect>
        </w:pict>
      </w:r>
      <w:r>
        <w:rPr>
          <w:rStyle w:val="big-number"/>
          <w:rFonts w:cs="Miriam" w:hint="cs"/>
          <w:rtl/>
        </w:rPr>
        <w:t>2</w:t>
      </w:r>
      <w:r w:rsidR="003D091F">
        <w:rPr>
          <w:rStyle w:val="big-number"/>
          <w:rFonts w:cs="Miriam" w:hint="cs"/>
          <w:rtl/>
        </w:rPr>
        <w:t>1</w:t>
      </w:r>
      <w:r w:rsidRPr="00301EEF">
        <w:rPr>
          <w:rStyle w:val="default"/>
          <w:rFonts w:cs="FrankRuehl"/>
          <w:rtl/>
        </w:rPr>
        <w:t>.</w:t>
      </w:r>
      <w:r w:rsidRPr="00301EEF">
        <w:rPr>
          <w:rStyle w:val="default"/>
          <w:rFonts w:cs="FrankRuehl"/>
          <w:rtl/>
        </w:rPr>
        <w:tab/>
      </w:r>
      <w:r w:rsidR="003D091F">
        <w:rPr>
          <w:rStyle w:val="default"/>
          <w:rFonts w:cs="FrankRuehl" w:hint="cs"/>
          <w:rtl/>
        </w:rPr>
        <w:t>אחת לשנתיים יבחן מטה הסנקציות את ההכרזות שניתנו לפי סעיפים 3 ו-9 ויבדוק אם מתקיימים התנאים להכרזה המנויים בסעיפים האמורים; מצא מטה הסנקציות כי חדל להתקיים תנאי מהתנאים כאמור, ימליץ לפני ועדת השרים לבטל את ההכרזה.</w:t>
      </w:r>
    </w:p>
    <w:p w:rsidR="003D091F" w:rsidRPr="003D091F" w:rsidRDefault="003D091F" w:rsidP="003D091F">
      <w:pPr>
        <w:pStyle w:val="medium2-header"/>
        <w:keepLines w:val="0"/>
        <w:spacing w:before="72"/>
        <w:ind w:left="0" w:right="1134"/>
        <w:rPr>
          <w:rFonts w:cs="FrankRuehl" w:hint="cs"/>
          <w:noProof/>
          <w:sz w:val="20"/>
          <w:rtl/>
        </w:rPr>
      </w:pPr>
      <w:bookmarkStart w:id="31" w:name="med2"/>
      <w:bookmarkEnd w:id="31"/>
      <w:r w:rsidRPr="003D091F">
        <w:rPr>
          <w:rFonts w:cs="FrankRuehl" w:hint="cs"/>
          <w:noProof/>
          <w:sz w:val="20"/>
          <w:rtl/>
        </w:rPr>
        <w:t>פרק ג': ועדת השרים, הוועדה המייעצת ומטה הסנקציות</w:t>
      </w:r>
    </w:p>
    <w:p w:rsidR="003D091F" w:rsidRPr="003D091F" w:rsidRDefault="003D091F" w:rsidP="003D091F">
      <w:pPr>
        <w:pStyle w:val="header-2"/>
        <w:ind w:left="0" w:right="1134"/>
        <w:rPr>
          <w:rFonts w:cs="Miriam" w:hint="cs"/>
          <w:rtl/>
        </w:rPr>
      </w:pPr>
      <w:bookmarkStart w:id="32" w:name="hed23"/>
      <w:bookmarkEnd w:id="32"/>
      <w:r w:rsidRPr="003D091F">
        <w:rPr>
          <w:rFonts w:cs="Miriam" w:hint="cs"/>
          <w:rtl/>
        </w:rPr>
        <w:t>סימן א': ועדת השרים</w:t>
      </w:r>
    </w:p>
    <w:p w:rsidR="00301EEF" w:rsidRDefault="00301EEF" w:rsidP="00A70D85">
      <w:pPr>
        <w:pStyle w:val="P00"/>
        <w:spacing w:before="72"/>
        <w:ind w:left="0" w:right="1134"/>
        <w:rPr>
          <w:rStyle w:val="default"/>
          <w:rFonts w:cs="FrankRuehl" w:hint="cs"/>
          <w:rtl/>
        </w:rPr>
      </w:pPr>
      <w:bookmarkStart w:id="33" w:name="Seif22"/>
      <w:bookmarkEnd w:id="33"/>
      <w:r>
        <w:rPr>
          <w:lang w:val="he-IL"/>
        </w:rPr>
        <w:pict>
          <v:rect id="_x0000_s1072" style="position:absolute;left:0;text-align:left;margin-left:464.5pt;margin-top:8.05pt;width:75.05pt;height:16.75pt;z-index:251654144" o:allowincell="f" filled="f" stroked="f" strokecolor="lime" strokeweight=".25pt">
            <v:textbox style="mso-next-textbox:#_x0000_s1072"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הקמת ועדת השרים ותפקידיה</w:t>
                  </w:r>
                </w:p>
              </w:txbxContent>
            </v:textbox>
            <w10:anchorlock/>
          </v:rect>
        </w:pict>
      </w:r>
      <w:r>
        <w:rPr>
          <w:rStyle w:val="big-number"/>
          <w:rFonts w:cs="Miriam" w:hint="cs"/>
          <w:rtl/>
        </w:rPr>
        <w:t>2</w:t>
      </w:r>
      <w:r w:rsidR="00A70D85">
        <w:rPr>
          <w:rStyle w:val="big-number"/>
          <w:rFonts w:cs="Miriam" w:hint="cs"/>
          <w:rtl/>
        </w:rPr>
        <w:t>2</w:t>
      </w:r>
      <w:r w:rsidRPr="00301EEF">
        <w:rPr>
          <w:rStyle w:val="default"/>
          <w:rFonts w:cs="FrankRuehl"/>
          <w:rtl/>
        </w:rPr>
        <w:t>.</w:t>
      </w:r>
      <w:r w:rsidRPr="00301EEF">
        <w:rPr>
          <w:rStyle w:val="default"/>
          <w:rFonts w:cs="FrankRuehl"/>
          <w:rtl/>
        </w:rPr>
        <w:tab/>
      </w:r>
      <w:r w:rsidR="00A70D85">
        <w:rPr>
          <w:rStyle w:val="default"/>
          <w:rFonts w:cs="FrankRuehl" w:hint="cs"/>
          <w:rtl/>
        </w:rPr>
        <w:t>תוקם ועדת שרים, שתפקידיה יהיו כמפורט בחוק זה, ואלה חבריה:</w:t>
      </w:r>
    </w:p>
    <w:p w:rsidR="00A70D85" w:rsidRDefault="00A70D85" w:rsidP="00A70D8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שר האוצר, והוא יהיה יושב ראש הוועדה;</w:t>
      </w:r>
    </w:p>
    <w:p w:rsidR="00A70D85" w:rsidRDefault="00A70D85" w:rsidP="00A70D8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שר החוץ;</w:t>
      </w:r>
    </w:p>
    <w:p w:rsidR="00A70D85" w:rsidRDefault="00A70D85" w:rsidP="00A70D8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שר האנרגיה והמים;</w:t>
      </w:r>
    </w:p>
    <w:p w:rsidR="00A70D85" w:rsidRDefault="00A70D85" w:rsidP="00A70D8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שר התעשייה המסחר והתעסוקה;</w:t>
      </w:r>
    </w:p>
    <w:p w:rsidR="00A70D85" w:rsidRDefault="00A70D85" w:rsidP="00A70D8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שר המשפטים;</w:t>
      </w:r>
    </w:p>
    <w:p w:rsidR="00A70D85" w:rsidRDefault="00A70D85" w:rsidP="00A70D8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שר הביטחון.</w:t>
      </w:r>
    </w:p>
    <w:p w:rsidR="00301EEF" w:rsidRDefault="00301EEF" w:rsidP="00A70D85">
      <w:pPr>
        <w:pStyle w:val="P00"/>
        <w:spacing w:before="72"/>
        <w:ind w:left="0" w:right="1134"/>
        <w:rPr>
          <w:rStyle w:val="default"/>
          <w:rFonts w:cs="FrankRuehl" w:hint="cs"/>
          <w:rtl/>
        </w:rPr>
      </w:pPr>
      <w:bookmarkStart w:id="34" w:name="Seif23"/>
      <w:bookmarkEnd w:id="34"/>
      <w:r>
        <w:rPr>
          <w:lang w:val="he-IL"/>
        </w:rPr>
        <w:pict>
          <v:rect id="_x0000_s1073" style="position:absolute;left:0;text-align:left;margin-left:464.5pt;margin-top:8.05pt;width:75.05pt;height:16.75pt;z-index:251655168" o:allowincell="f" filled="f" stroked="f" strokecolor="lime" strokeweight=".25pt">
            <v:textbox style="mso-next-textbox:#_x0000_s1073"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סדרי עבודת ועדת השרים</w:t>
                  </w:r>
                </w:p>
              </w:txbxContent>
            </v:textbox>
            <w10:anchorlock/>
          </v:rect>
        </w:pict>
      </w:r>
      <w:r>
        <w:rPr>
          <w:rStyle w:val="big-number"/>
          <w:rFonts w:cs="Miriam" w:hint="cs"/>
          <w:rtl/>
        </w:rPr>
        <w:t>2</w:t>
      </w:r>
      <w:r w:rsidR="00A70D85">
        <w:rPr>
          <w:rStyle w:val="big-number"/>
          <w:rFonts w:cs="Miriam" w:hint="cs"/>
          <w:rtl/>
        </w:rPr>
        <w:t>3</w:t>
      </w:r>
      <w:r w:rsidRPr="00301EEF">
        <w:rPr>
          <w:rStyle w:val="default"/>
          <w:rFonts w:cs="FrankRuehl"/>
          <w:rtl/>
        </w:rPr>
        <w:t>.</w:t>
      </w:r>
      <w:r w:rsidRPr="00301EEF">
        <w:rPr>
          <w:rStyle w:val="default"/>
          <w:rFonts w:cs="FrankRuehl"/>
          <w:rtl/>
        </w:rPr>
        <w:tab/>
      </w:r>
      <w:r w:rsidR="00A70D85">
        <w:rPr>
          <w:rStyle w:val="default"/>
          <w:rFonts w:cs="FrankRuehl" w:hint="cs"/>
          <w:rtl/>
        </w:rPr>
        <w:t>(א)</w:t>
      </w:r>
      <w:r w:rsidR="00A70D85">
        <w:rPr>
          <w:rStyle w:val="default"/>
          <w:rFonts w:cs="FrankRuehl" w:hint="cs"/>
          <w:rtl/>
        </w:rPr>
        <w:tab/>
        <w:t>יושב ראש ועדת השרים יכנס את ועדת השרים לישיבות כל אימת שיראה צורך בכך או לפי המלצת מטה הסנקציות.</w:t>
      </w:r>
    </w:p>
    <w:p w:rsidR="00A70D85" w:rsidRDefault="00A70D85" w:rsidP="00A70D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הדיונים של ועדת השרים הם סודיים; הפרוטוקולים של ועדת השרים והחלטותיה הם חסויים, למעט חלקים בהם שאינם כוללים מידע חסוי.</w:t>
      </w:r>
    </w:p>
    <w:p w:rsidR="00A70D85" w:rsidRPr="00A70D85" w:rsidRDefault="00A70D85" w:rsidP="00A70D85">
      <w:pPr>
        <w:pStyle w:val="header-2"/>
        <w:ind w:left="0" w:right="1134"/>
        <w:rPr>
          <w:rFonts w:cs="Miriam" w:hint="cs"/>
          <w:rtl/>
        </w:rPr>
      </w:pPr>
      <w:bookmarkStart w:id="35" w:name="hed24"/>
      <w:bookmarkEnd w:id="35"/>
      <w:r w:rsidRPr="00A70D85">
        <w:rPr>
          <w:rFonts w:cs="Miriam" w:hint="cs"/>
          <w:rtl/>
        </w:rPr>
        <w:t>סימן ב': הוועדה המייעצת</w:t>
      </w:r>
    </w:p>
    <w:p w:rsidR="00301EEF" w:rsidRDefault="00301EEF" w:rsidP="00A70D85">
      <w:pPr>
        <w:pStyle w:val="P00"/>
        <w:spacing w:before="72"/>
        <w:ind w:left="0" w:right="1134"/>
        <w:rPr>
          <w:rStyle w:val="default"/>
          <w:rFonts w:cs="FrankRuehl" w:hint="cs"/>
          <w:rtl/>
        </w:rPr>
      </w:pPr>
      <w:bookmarkStart w:id="36" w:name="Seif24"/>
      <w:bookmarkEnd w:id="36"/>
      <w:r>
        <w:rPr>
          <w:lang w:val="he-IL"/>
        </w:rPr>
        <w:pict>
          <v:rect id="_x0000_s1074" style="position:absolute;left:0;text-align:left;margin-left:464.5pt;margin-top:8.05pt;width:75.05pt;height:16.75pt;z-index:251656192" o:allowincell="f" filled="f" stroked="f" strokecolor="lime" strokeweight=".25pt">
            <v:textbox style="mso-next-textbox:#_x0000_s1074"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מינוי הוועדה המייעצת</w:t>
                  </w:r>
                </w:p>
              </w:txbxContent>
            </v:textbox>
            <w10:anchorlock/>
          </v:rect>
        </w:pict>
      </w:r>
      <w:r>
        <w:rPr>
          <w:rStyle w:val="big-number"/>
          <w:rFonts w:cs="Miriam" w:hint="cs"/>
          <w:rtl/>
        </w:rPr>
        <w:t>2</w:t>
      </w:r>
      <w:r w:rsidR="00A70D85">
        <w:rPr>
          <w:rStyle w:val="big-number"/>
          <w:rFonts w:cs="Miriam" w:hint="cs"/>
          <w:rtl/>
        </w:rPr>
        <w:t>4</w:t>
      </w:r>
      <w:r w:rsidRPr="00301EEF">
        <w:rPr>
          <w:rStyle w:val="default"/>
          <w:rFonts w:cs="FrankRuehl"/>
          <w:rtl/>
        </w:rPr>
        <w:t>.</w:t>
      </w:r>
      <w:r w:rsidRPr="00301EEF">
        <w:rPr>
          <w:rStyle w:val="default"/>
          <w:rFonts w:cs="FrankRuehl"/>
          <w:rtl/>
        </w:rPr>
        <w:tab/>
      </w:r>
      <w:r w:rsidR="00A70D85">
        <w:rPr>
          <w:rStyle w:val="default"/>
          <w:rFonts w:cs="FrankRuehl" w:hint="cs"/>
          <w:rtl/>
        </w:rPr>
        <w:t>שר המשפטים ימנה ועדה מייעצת, בת שלושה חברים, שתפקידיה יהיו כמפורט בחוק זה, ואלה חבריה:</w:t>
      </w:r>
    </w:p>
    <w:p w:rsidR="00A70D85" w:rsidRDefault="00A70D85" w:rsidP="00A70D8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שופט בדימוס של בית המשפט העליון או של בית משפט מחוזי, שימונה על פי המלצת נשיא בית המשפט העליון, והוא יהיה יושב הראש;</w:t>
      </w:r>
    </w:p>
    <w:p w:rsidR="00A70D85" w:rsidRDefault="00A70D85" w:rsidP="00A70D8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משפטן הכשיר לשמש שופט של בית משפט מחוזי, שימונה על פי המלצת נשיא בית המשפט העליון;</w:t>
      </w:r>
    </w:p>
    <w:p w:rsidR="00A70D85" w:rsidRDefault="00A70D85" w:rsidP="00A70D8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חבר בעל רקע מדיני או ביטחוני וידע בתחום האיראני, שימונה בידי ראש הממשלה.</w:t>
      </w:r>
    </w:p>
    <w:p w:rsidR="00301EEF" w:rsidRDefault="00301EEF" w:rsidP="00A70D85">
      <w:pPr>
        <w:pStyle w:val="P00"/>
        <w:spacing w:before="72"/>
        <w:ind w:left="0" w:right="1134"/>
        <w:rPr>
          <w:rStyle w:val="default"/>
          <w:rFonts w:cs="FrankRuehl" w:hint="cs"/>
          <w:rtl/>
        </w:rPr>
      </w:pPr>
      <w:bookmarkStart w:id="37" w:name="Seif25"/>
      <w:bookmarkEnd w:id="37"/>
      <w:r>
        <w:rPr>
          <w:lang w:val="he-IL"/>
        </w:rPr>
        <w:pict>
          <v:rect id="_x0000_s1075" style="position:absolute;left:0;text-align:left;margin-left:464.5pt;margin-top:8.05pt;width:75.05pt;height:15.75pt;z-index:251657216" o:allowincell="f" filled="f" stroked="f" strokecolor="lime" strokeweight=".25pt">
            <v:textbox style="mso-next-textbox:#_x0000_s1075"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איסור ניגוד עניינים</w:t>
                  </w:r>
                </w:p>
              </w:txbxContent>
            </v:textbox>
            <w10:anchorlock/>
          </v:rect>
        </w:pict>
      </w:r>
      <w:r>
        <w:rPr>
          <w:rStyle w:val="big-number"/>
          <w:rFonts w:cs="Miriam" w:hint="cs"/>
          <w:rtl/>
        </w:rPr>
        <w:t>2</w:t>
      </w:r>
      <w:r w:rsidR="00A70D85">
        <w:rPr>
          <w:rStyle w:val="big-number"/>
          <w:rFonts w:cs="Miriam" w:hint="cs"/>
          <w:rtl/>
        </w:rPr>
        <w:t>5</w:t>
      </w:r>
      <w:r w:rsidRPr="00301EEF">
        <w:rPr>
          <w:rStyle w:val="default"/>
          <w:rFonts w:cs="FrankRuehl"/>
          <w:rtl/>
        </w:rPr>
        <w:t>.</w:t>
      </w:r>
      <w:r w:rsidRPr="00301EEF">
        <w:rPr>
          <w:rStyle w:val="default"/>
          <w:rFonts w:cs="FrankRuehl"/>
          <w:rtl/>
        </w:rPr>
        <w:tab/>
      </w:r>
      <w:r w:rsidR="00A70D85">
        <w:rPr>
          <w:rStyle w:val="default"/>
          <w:rFonts w:cs="FrankRuehl" w:hint="cs"/>
          <w:rtl/>
        </w:rPr>
        <w:t>(א)</w:t>
      </w:r>
      <w:r w:rsidR="00A70D85">
        <w:rPr>
          <w:rStyle w:val="default"/>
          <w:rFonts w:cs="FrankRuehl" w:hint="cs"/>
          <w:rtl/>
        </w:rPr>
        <w:tab/>
        <w:t>לא ימונה לחבר הוועדה המייעצת ולא יכהן בה כחבר, מי שעלול להימצא, במישרין או בעקיפין, באופן תדיר, במצב של ניגוד עניינים בין תפקידו כחבר הוועדה המייעצת לבין עניין אחר או תפקיד אחר שלו.</w:t>
      </w:r>
    </w:p>
    <w:p w:rsidR="00A70D85" w:rsidRDefault="00A70D85" w:rsidP="00A70D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הוועדה המייעצת יימנע מהשתתפות בדיון ומהצבעה בישיבות הוועדה המייעצת, אם הנושא הנדון עלול לגרום לו להימצא, במישרין או בעקיפין, במצב של ניגוד עניינים בין תפקידו כחבר הוועדה המייעצת ובין עניין אישי שלו או בין תפקיד אחר שלו; חבר הוועדה המייעצת לא יטפל במסגרת תפקידו בנושא כאמור, גם מחוץ לישיבות הוועדה המייעצת.</w:t>
      </w:r>
    </w:p>
    <w:p w:rsidR="00A70D85" w:rsidRDefault="00A70D85" w:rsidP="00A70D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A70D85" w:rsidRDefault="00A70D85" w:rsidP="00A70D85">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עניין אישי של גוף שהוא או קרובו בעלי עניין, בעלי שליטה או נושאי משרה בו;</w:t>
      </w:r>
    </w:p>
    <w:p w:rsidR="00A70D85" w:rsidRDefault="00A70D85" w:rsidP="00A70D85">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הורה הורה, הורה של בן זוג, ילד, אח או אחות, או בן זוגו או ילדו של כל אחד מאלה, וכן כל אדם אחר שיש לו כלפיו קרבה או זיקה אישית, כלכלית או פוליטית.</w:t>
      </w:r>
    </w:p>
    <w:p w:rsidR="00A70D85" w:rsidRPr="00A70D85" w:rsidRDefault="00A70D85" w:rsidP="00A70D85">
      <w:pPr>
        <w:pStyle w:val="header-2"/>
        <w:ind w:left="0" w:right="1134"/>
        <w:rPr>
          <w:rFonts w:cs="Miriam" w:hint="cs"/>
          <w:rtl/>
        </w:rPr>
      </w:pPr>
      <w:bookmarkStart w:id="38" w:name="hed25"/>
      <w:bookmarkEnd w:id="38"/>
      <w:r w:rsidRPr="00A70D85">
        <w:rPr>
          <w:rFonts w:cs="Miriam" w:hint="cs"/>
          <w:rtl/>
        </w:rPr>
        <w:t>סימן ג': מטה הסנקציות</w:t>
      </w:r>
    </w:p>
    <w:p w:rsidR="00301EEF" w:rsidRDefault="00301EEF" w:rsidP="00A70D85">
      <w:pPr>
        <w:pStyle w:val="P00"/>
        <w:spacing w:before="72"/>
        <w:ind w:left="0" w:right="1134"/>
        <w:rPr>
          <w:rStyle w:val="default"/>
          <w:rFonts w:cs="FrankRuehl" w:hint="cs"/>
          <w:rtl/>
        </w:rPr>
      </w:pPr>
      <w:bookmarkStart w:id="39" w:name="Seif26"/>
      <w:bookmarkEnd w:id="39"/>
      <w:r>
        <w:rPr>
          <w:lang w:val="he-IL"/>
        </w:rPr>
        <w:pict>
          <v:rect id="_x0000_s1076" style="position:absolute;left:0;text-align:left;margin-left:464.5pt;margin-top:8.05pt;width:75.05pt;height:16.75pt;z-index:251658240" o:allowincell="f" filled="f" stroked="f" strokecolor="lime" strokeweight=".25pt">
            <v:textbox style="mso-next-textbox:#_x0000_s1076"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הקמת מטה הסנקציות ותפקידיו</w:t>
                  </w:r>
                </w:p>
              </w:txbxContent>
            </v:textbox>
            <w10:anchorlock/>
          </v:rect>
        </w:pict>
      </w:r>
      <w:r>
        <w:rPr>
          <w:rStyle w:val="big-number"/>
          <w:rFonts w:cs="Miriam" w:hint="cs"/>
          <w:rtl/>
        </w:rPr>
        <w:t>2</w:t>
      </w:r>
      <w:r w:rsidR="00A70D85">
        <w:rPr>
          <w:rStyle w:val="big-number"/>
          <w:rFonts w:cs="Miriam" w:hint="cs"/>
          <w:rtl/>
        </w:rPr>
        <w:t>6</w:t>
      </w:r>
      <w:r w:rsidRPr="00301EEF">
        <w:rPr>
          <w:rStyle w:val="default"/>
          <w:rFonts w:cs="FrankRuehl"/>
          <w:rtl/>
        </w:rPr>
        <w:t>.</w:t>
      </w:r>
      <w:r w:rsidRPr="00301EEF">
        <w:rPr>
          <w:rStyle w:val="default"/>
          <w:rFonts w:cs="FrankRuehl"/>
          <w:rtl/>
        </w:rPr>
        <w:tab/>
      </w:r>
      <w:r w:rsidR="00A70D85">
        <w:rPr>
          <w:rStyle w:val="default"/>
          <w:rFonts w:cs="FrankRuehl" w:hint="cs"/>
          <w:rtl/>
        </w:rPr>
        <w:t>לשם קידום מטרותיו של חוק זה יוקם במשרד האוצר מטה סנקציות שתפקידיו יהיו כמפורט בחוק זה.</w:t>
      </w:r>
    </w:p>
    <w:p w:rsidR="00301EEF" w:rsidRDefault="00301EEF" w:rsidP="00D01A2B">
      <w:pPr>
        <w:pStyle w:val="P00"/>
        <w:spacing w:before="72"/>
        <w:ind w:left="0" w:right="1134"/>
        <w:rPr>
          <w:rStyle w:val="default"/>
          <w:rFonts w:cs="FrankRuehl" w:hint="cs"/>
          <w:rtl/>
        </w:rPr>
      </w:pPr>
      <w:bookmarkStart w:id="40" w:name="Seif27"/>
      <w:bookmarkEnd w:id="40"/>
      <w:r>
        <w:rPr>
          <w:lang w:val="he-IL"/>
        </w:rPr>
        <w:pict>
          <v:rect id="_x0000_s1077" style="position:absolute;left:0;text-align:left;margin-left:464.5pt;margin-top:8.05pt;width:75.05pt;height:16.75pt;z-index:251659264" o:allowincell="f" filled="f" stroked="f" strokecolor="lime" strokeweight=".25pt">
            <v:textbox style="mso-next-textbox:#_x0000_s1077"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מבנה מטה הסנקציות</w:t>
                  </w:r>
                </w:p>
              </w:txbxContent>
            </v:textbox>
            <w10:anchorlock/>
          </v:rect>
        </w:pict>
      </w:r>
      <w:r>
        <w:rPr>
          <w:rStyle w:val="big-number"/>
          <w:rFonts w:cs="Miriam" w:hint="cs"/>
          <w:rtl/>
        </w:rPr>
        <w:t>2</w:t>
      </w:r>
      <w:r w:rsidR="00A70D85">
        <w:rPr>
          <w:rStyle w:val="big-number"/>
          <w:rFonts w:cs="Miriam" w:hint="cs"/>
          <w:rtl/>
        </w:rPr>
        <w:t>7</w:t>
      </w:r>
      <w:r w:rsidRPr="00301EEF">
        <w:rPr>
          <w:rStyle w:val="default"/>
          <w:rFonts w:cs="FrankRuehl"/>
          <w:rtl/>
        </w:rPr>
        <w:t>.</w:t>
      </w:r>
      <w:r w:rsidRPr="00301EEF">
        <w:rPr>
          <w:rStyle w:val="default"/>
          <w:rFonts w:cs="FrankRuehl"/>
          <w:rtl/>
        </w:rPr>
        <w:tab/>
      </w:r>
      <w:r w:rsidR="00D01A2B">
        <w:rPr>
          <w:rStyle w:val="default"/>
          <w:rFonts w:cs="FrankRuehl" w:hint="cs"/>
          <w:rtl/>
        </w:rPr>
        <w:t>(א)</w:t>
      </w:r>
      <w:r w:rsidR="00D01A2B">
        <w:rPr>
          <w:rStyle w:val="default"/>
          <w:rFonts w:cs="FrankRuehl" w:hint="cs"/>
          <w:rtl/>
        </w:rPr>
        <w:tab/>
        <w:t>מטה הסנקציות יורכב מוועדת היגוי, וכן מעובדי המטה שיבצעו את עבודת המטה השוטפת, ובהם ראש המטה שימנה שר האוצר בהתייעצות עם ראש הממשלה.</w:t>
      </w:r>
    </w:p>
    <w:p w:rsidR="00D01A2B" w:rsidRDefault="00D01A2B" w:rsidP="00D01A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ההיגוי תכוון את פעילותו של מטה הסנקציות ותהיה אחראית לגבש את עמדת מטה הסנקציות לעניין הכרזות על גורמים זרים לפי סעיפים 3 או 9 ולעניין מתן היתרים לפי סעיפים 4(א), 5(ב), 10(א) או (ב) או 11(ב), ולהביאה לפני ועדת השרים; עמדה זו תגובש לאחר שהובאו לפני ועדת ההיגוי עמדות משרדי הממשלה ורשויות הביטחון הנוגעים בדבר.</w:t>
      </w:r>
    </w:p>
    <w:p w:rsidR="00D01A2B" w:rsidRDefault="00D01A2B" w:rsidP="00D01A2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חברי ועדת ההיגוי של מטה הסנקציות יהיו עובדי המדינה, כמפורט להלן:</w:t>
      </w:r>
    </w:p>
    <w:p w:rsidR="00D01A2B" w:rsidRDefault="00D01A2B" w:rsidP="00A70D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70D05">
        <w:rPr>
          <w:rStyle w:val="default"/>
          <w:rFonts w:cs="FrankRuehl" w:hint="cs"/>
          <w:rtl/>
        </w:rPr>
        <w:t>נציג משרד ראש הממשלה שימנה ראש הממשלה, והוא יהיה יושב הראש;</w:t>
      </w:r>
    </w:p>
    <w:p w:rsidR="00A70D05" w:rsidRDefault="00A70D05" w:rsidP="00A70D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משרד האוצר שימנה שר האוצר;</w:t>
      </w:r>
    </w:p>
    <w:p w:rsidR="00A70D05" w:rsidRDefault="00A70D05" w:rsidP="00A70D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משרד החוץ שימנה שר החוץ;</w:t>
      </w:r>
    </w:p>
    <w:p w:rsidR="00A70D05" w:rsidRDefault="00A70D05" w:rsidP="00A70D0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משרד המשפטים שימנה שר המשפטים;</w:t>
      </w:r>
    </w:p>
    <w:p w:rsidR="00A70D05" w:rsidRDefault="00A70D05" w:rsidP="00A70D0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משרד האנרגיה והמים שימנה שר האנרגיה והמים;</w:t>
      </w:r>
    </w:p>
    <w:p w:rsidR="00A70D05" w:rsidRDefault="00A70D05" w:rsidP="00A70D0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משרד התעשייה המסחר והתעסוקה שימנה שר התעשייה המסחר והתעסוקה;</w:t>
      </w:r>
    </w:p>
    <w:p w:rsidR="00A70D05" w:rsidRDefault="00A70D05" w:rsidP="00A70D0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בנק ישראל שימנה נגיד בנק ישראל;</w:t>
      </w:r>
    </w:p>
    <w:p w:rsidR="00A70D05" w:rsidRDefault="00A70D05" w:rsidP="00A70D0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משרד הביטחון שימנה שר הביטחון;</w:t>
      </w:r>
    </w:p>
    <w:p w:rsidR="00A70D05" w:rsidRDefault="00A70D05" w:rsidP="00A70D0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המטה לביטחון לאומי שימנה ראש המטה לביטחון לאומי;</w:t>
      </w:r>
    </w:p>
    <w:p w:rsidR="00A70D05" w:rsidRDefault="00A70D05" w:rsidP="00A70D05">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נציג משטרת ישראל שימנה השר לביטחון הפנים.</w:t>
      </w:r>
    </w:p>
    <w:p w:rsidR="00301EEF" w:rsidRDefault="00301EEF" w:rsidP="00A70D05">
      <w:pPr>
        <w:pStyle w:val="P00"/>
        <w:spacing w:before="72"/>
        <w:ind w:left="0" w:right="1134"/>
        <w:rPr>
          <w:rStyle w:val="default"/>
          <w:rFonts w:cs="FrankRuehl" w:hint="cs"/>
          <w:rtl/>
        </w:rPr>
      </w:pPr>
      <w:bookmarkStart w:id="41" w:name="Seif28"/>
      <w:bookmarkEnd w:id="41"/>
      <w:r>
        <w:rPr>
          <w:lang w:val="he-IL"/>
        </w:rPr>
        <w:pict>
          <v:rect id="_x0000_s1078" style="position:absolute;left:0;text-align:left;margin-left:464.5pt;margin-top:8.05pt;width:75.05pt;height:16.75pt;z-index:251660288" o:allowincell="f" filled="f" stroked="f" strokecolor="lime" strokeweight=".25pt">
            <v:textbox style="mso-next-textbox:#_x0000_s1078"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סמכות לקבלת מידע ושמירתו</w:t>
                  </w:r>
                </w:p>
              </w:txbxContent>
            </v:textbox>
            <w10:anchorlock/>
          </v:rect>
        </w:pict>
      </w:r>
      <w:r>
        <w:rPr>
          <w:rStyle w:val="big-number"/>
          <w:rFonts w:cs="Miriam" w:hint="cs"/>
          <w:rtl/>
        </w:rPr>
        <w:t>2</w:t>
      </w:r>
      <w:r w:rsidR="00A70D05">
        <w:rPr>
          <w:rStyle w:val="big-number"/>
          <w:rFonts w:cs="Miriam" w:hint="cs"/>
          <w:rtl/>
        </w:rPr>
        <w:t>8</w:t>
      </w:r>
      <w:r w:rsidRPr="00301EEF">
        <w:rPr>
          <w:rStyle w:val="default"/>
          <w:rFonts w:cs="FrankRuehl"/>
          <w:rtl/>
        </w:rPr>
        <w:t>.</w:t>
      </w:r>
      <w:r w:rsidRPr="00301EEF">
        <w:rPr>
          <w:rStyle w:val="default"/>
          <w:rFonts w:cs="FrankRuehl"/>
          <w:rtl/>
        </w:rPr>
        <w:tab/>
      </w:r>
      <w:r w:rsidR="00A70D05">
        <w:rPr>
          <w:rStyle w:val="default"/>
          <w:rFonts w:cs="FrankRuehl" w:hint="cs"/>
          <w:rtl/>
        </w:rPr>
        <w:t>(א)</w:t>
      </w:r>
      <w:r w:rsidR="00A70D05">
        <w:rPr>
          <w:rStyle w:val="default"/>
          <w:rFonts w:cs="FrankRuehl" w:hint="cs"/>
          <w:rtl/>
        </w:rPr>
        <w:tab/>
        <w:t xml:space="preserve">לשם מילוי תפקידי מטה הסנקציות לפי חוק זה, רשאי עובד מטה הסנקציות ששר האוצר הסמיך לכך </w:t>
      </w:r>
      <w:r w:rsidR="00A70D05">
        <w:rPr>
          <w:rStyle w:val="default"/>
          <w:rFonts w:cs="FrankRuehl"/>
          <w:rtl/>
        </w:rPr>
        <w:t>–</w:t>
      </w:r>
    </w:p>
    <w:p w:rsidR="00A70D05" w:rsidRDefault="00A70D05" w:rsidP="00A70D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הנוגע בדבר למסור כל מידע שיש בו כדי לסייע למטה הסנקציות במילוי תפקידיו לפי חוק זה;</w:t>
      </w:r>
    </w:p>
    <w:p w:rsidR="00A70D05" w:rsidRDefault="00A70D05" w:rsidP="00A70D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לפנות למשרד הממשלתי או לרשות ביטחון בבקשה לקבל מידע שיש בו כדי לסייע למטה הסנקציות למילוי תפקידיו לפי חוק זה.</w:t>
      </w:r>
    </w:p>
    <w:p w:rsidR="00A70D05" w:rsidRDefault="00A70D05" w:rsidP="00A70D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נמסר למטה הסנקציות מידע כאמור בסעיף קטן (א)(1) והודיע מוסר המידע, עם מסירתו, כי גילוי המידע, כולו או חלקו, עלול לחשוף סוד מסחרי, יישמר המידע באופן שיבטיח את שמירת סודיותו, כפי שיורה ראש מטה הסנקציות.</w:t>
      </w:r>
    </w:p>
    <w:p w:rsidR="00A70D05" w:rsidRDefault="00A70D05" w:rsidP="00A70D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707DC">
        <w:rPr>
          <w:rStyle w:val="default"/>
          <w:rFonts w:cs="FrankRuehl" w:hint="cs"/>
          <w:rtl/>
        </w:rPr>
        <w:t>מידע כאמור בסעיף קטן (א)(2) יימסר למטה הסנקציות ויישמר בו בהתאם לכללי אבטחת מידע שייקבעו בהסכמת הקצין המוסמך כהגדרתו בחוק להסדרת הביטחון בגופים ציבוריים, התשנ"ח-1998, או בהסכמת אחד מאלה, לפי העניין:</w:t>
      </w:r>
    </w:p>
    <w:p w:rsidR="00A707DC" w:rsidRDefault="00A707DC" w:rsidP="00A707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צבא הגנה לישראל </w:t>
      </w:r>
      <w:r>
        <w:rPr>
          <w:rStyle w:val="default"/>
          <w:rFonts w:cs="FrankRuehl"/>
          <w:rtl/>
        </w:rPr>
        <w:t>–</w:t>
      </w:r>
      <w:r>
        <w:rPr>
          <w:rStyle w:val="default"/>
          <w:rFonts w:cs="FrankRuehl" w:hint="cs"/>
          <w:rtl/>
        </w:rPr>
        <w:t xml:space="preserve"> מי שהסמיך ראש המטה הכללי בצבא הגנה לישראל, לעניין זה, בפקודות הצבא;</w:t>
      </w:r>
    </w:p>
    <w:p w:rsidR="00A707DC" w:rsidRDefault="00A707DC" w:rsidP="00A707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שירות בתי הסוהר </w:t>
      </w:r>
      <w:r>
        <w:rPr>
          <w:rStyle w:val="default"/>
          <w:rFonts w:cs="FrankRuehl"/>
          <w:rtl/>
        </w:rPr>
        <w:t>–</w:t>
      </w:r>
      <w:r>
        <w:rPr>
          <w:rStyle w:val="default"/>
          <w:rFonts w:cs="FrankRuehl" w:hint="cs"/>
          <w:rtl/>
        </w:rPr>
        <w:t xml:space="preserve"> מי שהסמיך נציב שירות בתי הסוהר, לעניין זה, בפקודות הנציבות;</w:t>
      </w:r>
    </w:p>
    <w:p w:rsidR="00A707DC" w:rsidRDefault="00A707DC" w:rsidP="00A707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הרשות להגנה על עדים </w:t>
      </w:r>
      <w:r>
        <w:rPr>
          <w:rStyle w:val="default"/>
          <w:rFonts w:cs="FrankRuehl"/>
          <w:rtl/>
        </w:rPr>
        <w:t>–</w:t>
      </w:r>
      <w:r>
        <w:rPr>
          <w:rStyle w:val="default"/>
          <w:rFonts w:cs="FrankRuehl" w:hint="cs"/>
          <w:rtl/>
        </w:rPr>
        <w:t xml:space="preserve"> ראש הרשות או עובד בכיר ברשות שהוא הסמיך לעניין זה.</w:t>
      </w:r>
    </w:p>
    <w:p w:rsidR="00A707DC" w:rsidRDefault="00A707DC" w:rsidP="00A70D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B0D31">
        <w:rPr>
          <w:rStyle w:val="default"/>
          <w:rFonts w:cs="FrankRuehl" w:hint="cs"/>
          <w:rtl/>
        </w:rPr>
        <w:t>על אף האמור בסעיף קטן (ג), משרד ממשלתי, באישור היועץ המשפטי לממשלה, או רשות ביטחון רשאים שלא למסור מידע שנדרשו למסור לפי סעיף קטן (א), מטעמי סודיות או ביטחון המדינה.</w:t>
      </w:r>
    </w:p>
    <w:p w:rsidR="003B0D31" w:rsidRDefault="003B0D31" w:rsidP="00A70D0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FE7F36">
        <w:rPr>
          <w:rStyle w:val="default"/>
          <w:rFonts w:cs="FrankRuehl" w:hint="cs"/>
          <w:rtl/>
        </w:rPr>
        <w:t>ראה עובד משרד ממשלתי או עובד רשות ביטחון או משרת בה, כי קיים ברשותו מידע שהוא סבור שיש בו כדי לסייע למטה הסנקציות למילוי תפקידיו לפי חוק זה, רשאי הוא להעביר את המידע לעובד מטה הסנקציות שהוסמך לפי סעיף קטן (א)(2), בכפוף לנהלים שייקבעו בעניין בכל משרד ממשלתי או רשות ביטחון.</w:t>
      </w:r>
    </w:p>
    <w:p w:rsidR="00FE7F36" w:rsidRDefault="00FE7F36" w:rsidP="00A70D0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בלי לגרוע מהוראות כל דין, עובד מטה הסנקציות, בעבר או בהווה, לא ימסור מידע שהגיע אליו בתוקף תפקידו למי שאינו מוסמך לקבלו, אלא אם כן נדרש לכך כדין.</w:t>
      </w:r>
    </w:p>
    <w:p w:rsidR="00FE7F36" w:rsidRPr="004C3D03" w:rsidRDefault="00FE7F36" w:rsidP="004C3D03">
      <w:pPr>
        <w:pStyle w:val="medium2-header"/>
        <w:keepLines w:val="0"/>
        <w:spacing w:before="72"/>
        <w:ind w:left="0" w:right="1134"/>
        <w:rPr>
          <w:rFonts w:cs="FrankRuehl" w:hint="cs"/>
          <w:noProof/>
          <w:sz w:val="20"/>
          <w:rtl/>
        </w:rPr>
      </w:pPr>
      <w:bookmarkStart w:id="42" w:name="med3"/>
      <w:bookmarkEnd w:id="42"/>
      <w:r w:rsidRPr="004C3D03">
        <w:rPr>
          <w:rFonts w:cs="FrankRuehl" w:hint="cs"/>
          <w:noProof/>
          <w:sz w:val="20"/>
          <w:rtl/>
        </w:rPr>
        <w:t>פרק ד': עונשין וסמכויות אכיפה</w:t>
      </w:r>
    </w:p>
    <w:p w:rsidR="00301EEF" w:rsidRDefault="00301EEF" w:rsidP="004C3D03">
      <w:pPr>
        <w:pStyle w:val="P00"/>
        <w:spacing w:before="72"/>
        <w:ind w:left="0" w:right="1134"/>
        <w:rPr>
          <w:rStyle w:val="default"/>
          <w:rFonts w:cs="FrankRuehl" w:hint="cs"/>
          <w:rtl/>
        </w:rPr>
      </w:pPr>
      <w:bookmarkStart w:id="43" w:name="Seif29"/>
      <w:bookmarkEnd w:id="43"/>
      <w:r>
        <w:rPr>
          <w:lang w:val="he-IL"/>
        </w:rPr>
        <w:pict>
          <v:rect id="_x0000_s1079" style="position:absolute;left:0;text-align:left;margin-left:464.5pt;margin-top:8.05pt;width:75.05pt;height:13.55pt;z-index:251661312" o:allowincell="f" filled="f" stroked="f" strokecolor="lime" strokeweight=".25pt">
            <v:textbox style="mso-next-textbox:#_x0000_s1079"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2</w:t>
      </w:r>
      <w:r w:rsidR="00FE7F36">
        <w:rPr>
          <w:rStyle w:val="big-number"/>
          <w:rFonts w:cs="Miriam" w:hint="cs"/>
          <w:rtl/>
        </w:rPr>
        <w:t>9</w:t>
      </w:r>
      <w:r w:rsidRPr="00301EEF">
        <w:rPr>
          <w:rStyle w:val="default"/>
          <w:rFonts w:cs="FrankRuehl"/>
          <w:rtl/>
        </w:rPr>
        <w:t>.</w:t>
      </w:r>
      <w:r w:rsidRPr="00301EEF">
        <w:rPr>
          <w:rStyle w:val="default"/>
          <w:rFonts w:cs="FrankRuehl"/>
          <w:rtl/>
        </w:rPr>
        <w:tab/>
      </w:r>
      <w:r w:rsidR="004C3D03">
        <w:rPr>
          <w:rStyle w:val="default"/>
          <w:rFonts w:cs="FrankRuehl" w:hint="cs"/>
          <w:rtl/>
        </w:rPr>
        <w:t xml:space="preserve">(א) המקיים עם גורם זר מסייע פעילות כלכלית שלא ניתן היתר לגביה או שלא בהתאם לתנאי ההיתר, בניגוד להוראות סעיף 4(א) או (ד), דינו </w:t>
      </w:r>
      <w:r w:rsidR="004C3D03">
        <w:rPr>
          <w:rStyle w:val="default"/>
          <w:rFonts w:cs="FrankRuehl"/>
          <w:rtl/>
        </w:rPr>
        <w:t>–</w:t>
      </w:r>
      <w:r w:rsidR="004C3D03">
        <w:rPr>
          <w:rStyle w:val="default"/>
          <w:rFonts w:cs="FrankRuehl" w:hint="cs"/>
          <w:rtl/>
        </w:rPr>
        <w:t xml:space="preserve"> מאסר שלוש שנים או קנס פי ארבעה מהקנס האמור בסעיף 61(א)(4) לחוק העונשין, ואם נעברה העבירה בידי תאגיד </w:t>
      </w:r>
      <w:r w:rsidR="004C3D03">
        <w:rPr>
          <w:rStyle w:val="default"/>
          <w:rFonts w:cs="FrankRuehl"/>
          <w:rtl/>
        </w:rPr>
        <w:t>–</w:t>
      </w:r>
      <w:r w:rsidR="004C3D03">
        <w:rPr>
          <w:rStyle w:val="default"/>
          <w:rFonts w:cs="FrankRuehl" w:hint="cs"/>
          <w:rtl/>
        </w:rPr>
        <w:t xml:space="preserve"> כפל הקנס האמור.</w:t>
      </w:r>
    </w:p>
    <w:p w:rsidR="004C3D03" w:rsidRDefault="004C3D03" w:rsidP="004C3D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שלא מסר דיווח לפי הוראות סעיף 6, דינו </w:t>
      </w:r>
      <w:r>
        <w:rPr>
          <w:rStyle w:val="default"/>
          <w:rFonts w:cs="FrankRuehl"/>
          <w:rtl/>
        </w:rPr>
        <w:t>–</w:t>
      </w:r>
      <w:r>
        <w:rPr>
          <w:rStyle w:val="default"/>
          <w:rFonts w:cs="FrankRuehl" w:hint="cs"/>
          <w:rtl/>
        </w:rPr>
        <w:t xml:space="preserve"> מאסר שנה או קנס כאמור בסעיף 61(א)(3) לחוק העונשין.</w:t>
      </w:r>
    </w:p>
    <w:p w:rsidR="004C3D03" w:rsidRDefault="004C3D03" w:rsidP="004C3D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המשקיע בתאגיד המקיים קשר עסקי עם איראן, בלי שניתן היתר לכך או שלא בהתאם לתנאי ההיתר, בניגוד להוראות סעיף 10(א), (ב) או (ה), דינו </w:t>
      </w:r>
      <w:r>
        <w:rPr>
          <w:rStyle w:val="default"/>
          <w:rFonts w:cs="FrankRuehl"/>
          <w:rtl/>
        </w:rPr>
        <w:t>–</w:t>
      </w:r>
      <w:r>
        <w:rPr>
          <w:rStyle w:val="default"/>
          <w:rFonts w:cs="FrankRuehl" w:hint="cs"/>
          <w:rtl/>
        </w:rPr>
        <w:t xml:space="preserve"> מאסר שנה או קנס פי שלושה מהקנס האמור בסעיף 61(א)(4) לחוק העונשין, ואם נעברה העבירה בידי תאגיד </w:t>
      </w:r>
      <w:r>
        <w:rPr>
          <w:rStyle w:val="default"/>
          <w:rFonts w:cs="FrankRuehl"/>
          <w:rtl/>
        </w:rPr>
        <w:t>–</w:t>
      </w:r>
      <w:r>
        <w:rPr>
          <w:rStyle w:val="default"/>
          <w:rFonts w:cs="FrankRuehl" w:hint="cs"/>
          <w:rtl/>
        </w:rPr>
        <w:t xml:space="preserve"> כפל הקנס האמור.</w:t>
      </w:r>
    </w:p>
    <w:p w:rsidR="00301EEF" w:rsidRDefault="00301EEF" w:rsidP="00604F24">
      <w:pPr>
        <w:pStyle w:val="P00"/>
        <w:spacing w:before="72"/>
        <w:ind w:left="0" w:right="1134"/>
        <w:rPr>
          <w:rStyle w:val="default"/>
          <w:rFonts w:cs="FrankRuehl" w:hint="cs"/>
          <w:rtl/>
        </w:rPr>
      </w:pPr>
      <w:bookmarkStart w:id="44" w:name="Seif30"/>
      <w:bookmarkEnd w:id="44"/>
      <w:r>
        <w:rPr>
          <w:lang w:val="he-IL"/>
        </w:rPr>
        <w:pict>
          <v:rect id="_x0000_s1080" style="position:absolute;left:0;text-align:left;margin-left:464.5pt;margin-top:8.05pt;width:75.05pt;height:16.75pt;z-index:251662336" o:allowincell="f" filled="f" stroked="f" strokecolor="lime" strokeweight=".25pt">
            <v:textbox style="mso-next-textbox:#_x0000_s1080"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hint="cs"/>
          <w:rtl/>
        </w:rPr>
        <w:t>30</w:t>
      </w:r>
      <w:r w:rsidRPr="00301EEF">
        <w:rPr>
          <w:rStyle w:val="default"/>
          <w:rFonts w:cs="FrankRuehl"/>
          <w:rtl/>
        </w:rPr>
        <w:t>.</w:t>
      </w:r>
      <w:r w:rsidRPr="00301EEF">
        <w:rPr>
          <w:rStyle w:val="default"/>
          <w:rFonts w:cs="FrankRuehl"/>
          <w:rtl/>
        </w:rPr>
        <w:tab/>
      </w:r>
      <w:r w:rsidR="00604F24">
        <w:rPr>
          <w:rStyle w:val="default"/>
          <w:rFonts w:cs="FrankRuehl" w:hint="cs"/>
          <w:rtl/>
        </w:rPr>
        <w:t>(א)</w:t>
      </w:r>
      <w:r w:rsidR="00604F24">
        <w:rPr>
          <w:rStyle w:val="default"/>
          <w:rFonts w:cs="FrankRuehl" w:hint="cs"/>
          <w:rtl/>
        </w:rPr>
        <w:tab/>
        <w:t xml:space="preserve">נושא משרה בתאגיד יפקח ויעשה כל שניתן למניעת עבירות לפי סעיף 29, בידי התאגיד או בידי עובד מעובדיו; המפר הוראה זו, דינו </w:t>
      </w:r>
      <w:r w:rsidR="00604F24">
        <w:rPr>
          <w:rStyle w:val="default"/>
          <w:rFonts w:cs="FrankRuehl"/>
          <w:rtl/>
        </w:rPr>
        <w:t>–</w:t>
      </w:r>
      <w:r w:rsidR="00604F24">
        <w:rPr>
          <w:rStyle w:val="default"/>
          <w:rFonts w:cs="FrankRuehl" w:hint="cs"/>
          <w:rtl/>
        </w:rPr>
        <w:t xml:space="preserve"> כפל קנס כאמור בסעיף 61(א)(3) לחוק העונשין; לעניין זה, "נושא משרה" </w:t>
      </w:r>
      <w:r w:rsidR="00604F24">
        <w:rPr>
          <w:rStyle w:val="default"/>
          <w:rFonts w:cs="FrankRuehl"/>
          <w:rtl/>
        </w:rPr>
        <w:t>–</w:t>
      </w:r>
      <w:r w:rsidR="00604F24">
        <w:rPr>
          <w:rStyle w:val="default"/>
          <w:rFonts w:cs="FrankRuehl" w:hint="cs"/>
          <w:rtl/>
        </w:rPr>
        <w:t xml:space="preserve"> מנהל פעיל בתאגיד, שותף למעט שותף מוגבל, או פקיד האחראי מטעם התאגיד על התחום שבו בוצעה העבירה.</w:t>
      </w:r>
    </w:p>
    <w:p w:rsidR="00604F24" w:rsidRDefault="00604F24" w:rsidP="00604F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29 בידי תאגיד או בידי עובד מעובדיו, חזקה היא כי נושא משרה בתאגיד הפר את חובתו לפי סעיף קטן (א), אלא אם כן הוכיח כי עשה כל שניתן כדי למלא את חובתו.</w:t>
      </w:r>
    </w:p>
    <w:p w:rsidR="00301EEF" w:rsidRDefault="00301EEF" w:rsidP="002A1D4E">
      <w:pPr>
        <w:pStyle w:val="P00"/>
        <w:spacing w:before="72"/>
        <w:ind w:left="0" w:right="1134"/>
        <w:rPr>
          <w:rStyle w:val="default"/>
          <w:rFonts w:cs="FrankRuehl" w:hint="cs"/>
          <w:rtl/>
        </w:rPr>
      </w:pPr>
      <w:bookmarkStart w:id="45" w:name="Seif31"/>
      <w:bookmarkEnd w:id="45"/>
      <w:r>
        <w:rPr>
          <w:lang w:val="he-IL"/>
        </w:rPr>
        <w:pict>
          <v:rect id="_x0000_s1081" style="position:absolute;left:0;text-align:left;margin-left:464.5pt;margin-top:8.05pt;width:75.05pt;height:14.3pt;z-index:251663360" o:allowincell="f" filled="f" stroked="f" strokecolor="lime" strokeweight=".25pt">
            <v:textbox style="mso-next-textbox:#_x0000_s1081"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חילוט לאחר הרשעה</w:t>
                  </w:r>
                </w:p>
              </w:txbxContent>
            </v:textbox>
            <w10:anchorlock/>
          </v:rect>
        </w:pict>
      </w:r>
      <w:r>
        <w:rPr>
          <w:rStyle w:val="big-number"/>
          <w:rFonts w:cs="Miriam" w:hint="cs"/>
          <w:rtl/>
        </w:rPr>
        <w:t>3</w:t>
      </w:r>
      <w:r w:rsidR="00604F24">
        <w:rPr>
          <w:rStyle w:val="big-number"/>
          <w:rFonts w:cs="Miriam" w:hint="cs"/>
          <w:rtl/>
        </w:rPr>
        <w:t>1</w:t>
      </w:r>
      <w:r w:rsidRPr="00301EEF">
        <w:rPr>
          <w:rStyle w:val="default"/>
          <w:rFonts w:cs="FrankRuehl"/>
          <w:rtl/>
        </w:rPr>
        <w:t>.</w:t>
      </w:r>
      <w:r w:rsidRPr="00301EEF">
        <w:rPr>
          <w:rStyle w:val="default"/>
          <w:rFonts w:cs="FrankRuehl"/>
          <w:rtl/>
        </w:rPr>
        <w:tab/>
      </w:r>
      <w:r w:rsidR="002A1D4E">
        <w:rPr>
          <w:rStyle w:val="default"/>
          <w:rFonts w:cs="FrankRuehl" w:hint="cs"/>
          <w:rtl/>
        </w:rPr>
        <w:t>(א)</w:t>
      </w:r>
      <w:r w:rsidR="002A1D4E">
        <w:rPr>
          <w:rStyle w:val="default"/>
          <w:rFonts w:cs="FrankRuehl" w:hint="cs"/>
          <w:rtl/>
        </w:rPr>
        <w:tab/>
        <w:t>הורשע אדם בעבירה לפי סעיף 29(א) או (ג), יצווה בית המשפט, אלא אם כן סבר שלא לעשות כן מנימוקים מיוחדים שיפרט, כי נוסף על כל עונש, יחולט רכוש כמפורט להלן:</w:t>
      </w:r>
    </w:p>
    <w:p w:rsidR="002A1D4E" w:rsidRDefault="002A1D4E" w:rsidP="002A1D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רכוש הקשור לעבירה שנמצא בחזקתו, בשליטתו או בחשבונו של הנידון;</w:t>
      </w:r>
    </w:p>
    <w:p w:rsidR="002A1D4E" w:rsidRDefault="002A1D4E" w:rsidP="002A1D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רכוש של הנידון שהוא שווה ערך לרכוש הקשור לעבירה, כמשמעותו בפסקה (2) להגדרה "רכוש הקשור לעבירה".</w:t>
      </w:r>
    </w:p>
    <w:p w:rsidR="002A1D4E" w:rsidRDefault="002A1D4E" w:rsidP="002A1D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6, 9 עד 13, 18 עד 20 ו-28 עד 30 לחוק מאבק בארגוני פשיעה, יחולו לעניין חילוט לפי סעיף זה, בשינויים המחויבים.</w:t>
      </w:r>
    </w:p>
    <w:p w:rsidR="00301EEF" w:rsidRDefault="00301EEF" w:rsidP="002A1D4E">
      <w:pPr>
        <w:pStyle w:val="P00"/>
        <w:spacing w:before="72"/>
        <w:ind w:left="0" w:right="1134"/>
        <w:rPr>
          <w:rStyle w:val="default"/>
          <w:rFonts w:cs="FrankRuehl" w:hint="cs"/>
          <w:rtl/>
        </w:rPr>
      </w:pPr>
      <w:bookmarkStart w:id="46" w:name="Seif32"/>
      <w:bookmarkEnd w:id="46"/>
      <w:r>
        <w:rPr>
          <w:lang w:val="he-IL"/>
        </w:rPr>
        <w:pict>
          <v:rect id="_x0000_s1082" style="position:absolute;left:0;text-align:left;margin-left:464.5pt;margin-top:8.05pt;width:75.05pt;height:16.75pt;z-index:251664384" o:allowincell="f" filled="f" stroked="f" strokecolor="lime" strokeweight=".25pt">
            <v:textbox style="mso-next-textbox:#_x0000_s1082"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חילוט שלא בעקבות הרשעה</w:t>
                  </w:r>
                </w:p>
              </w:txbxContent>
            </v:textbox>
            <w10:anchorlock/>
          </v:rect>
        </w:pict>
      </w:r>
      <w:r>
        <w:rPr>
          <w:rStyle w:val="big-number"/>
          <w:rFonts w:cs="Miriam" w:hint="cs"/>
          <w:rtl/>
        </w:rPr>
        <w:t>3</w:t>
      </w:r>
      <w:r w:rsidR="002A1D4E">
        <w:rPr>
          <w:rStyle w:val="big-number"/>
          <w:rFonts w:cs="Miriam" w:hint="cs"/>
          <w:rtl/>
        </w:rPr>
        <w:t>2</w:t>
      </w:r>
      <w:r w:rsidRPr="00301EEF">
        <w:rPr>
          <w:rStyle w:val="default"/>
          <w:rFonts w:cs="FrankRuehl"/>
          <w:rtl/>
        </w:rPr>
        <w:t>.</w:t>
      </w:r>
      <w:r w:rsidRPr="00301EEF">
        <w:rPr>
          <w:rStyle w:val="default"/>
          <w:rFonts w:cs="FrankRuehl"/>
          <w:rtl/>
        </w:rPr>
        <w:tab/>
      </w:r>
      <w:r w:rsidR="002A1D4E">
        <w:rPr>
          <w:rStyle w:val="default"/>
          <w:rFonts w:cs="FrankRuehl" w:hint="cs"/>
          <w:rtl/>
        </w:rPr>
        <w:t>(א)</w:t>
      </w:r>
      <w:r w:rsidR="002A1D4E">
        <w:rPr>
          <w:rStyle w:val="default"/>
          <w:rFonts w:cs="FrankRuehl" w:hint="cs"/>
          <w:rtl/>
        </w:rPr>
        <w:tab/>
        <w:t>בית משפט מחוזי רשאי, על פי בקשה של פרקליט מחוז, לצוות על חילוט רכוש בהליך אזרחי, בין אם הורשע או הואשם אדם בעבירה לפי סעיף 29(א) או (ג), ובין אם לאו, אם נוכח כח הרכוש הוא רכוש הקשור לעבירה כמשמעותו בפסקה (2) להגדרה "רכוש הקשור לעבירה".</w:t>
      </w:r>
    </w:p>
    <w:p w:rsidR="002A1D4E" w:rsidRDefault="002A1D4E" w:rsidP="002A1D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15, 18 עד 20 ו-28 עד 30 לחוק מאבק בארגוני פשיעה, יחולו על חילוט לפי סעיף זה, בשינויים המחויבים.</w:t>
      </w:r>
    </w:p>
    <w:p w:rsidR="00301EEF" w:rsidRDefault="00301EEF" w:rsidP="002A1D4E">
      <w:pPr>
        <w:pStyle w:val="P00"/>
        <w:spacing w:before="72"/>
        <w:ind w:left="0" w:right="1134"/>
        <w:rPr>
          <w:rStyle w:val="default"/>
          <w:rFonts w:cs="FrankRuehl" w:hint="cs"/>
          <w:rtl/>
        </w:rPr>
      </w:pPr>
      <w:bookmarkStart w:id="47" w:name="Seif33"/>
      <w:bookmarkEnd w:id="47"/>
      <w:r>
        <w:rPr>
          <w:lang w:val="he-IL"/>
        </w:rPr>
        <w:pict>
          <v:rect id="_x0000_s1083" style="position:absolute;left:0;text-align:left;margin-left:464.5pt;margin-top:8.05pt;width:75.05pt;height:16.75pt;z-index:251665408" o:allowincell="f" filled="f" stroked="f" strokecolor="lime" strokeweight=".25pt">
            <v:textbox style="mso-next-textbox:#_x0000_s1083"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סמכויות חיפוש ותפיסה</w:t>
                  </w:r>
                </w:p>
              </w:txbxContent>
            </v:textbox>
            <w10:anchorlock/>
          </v:rect>
        </w:pict>
      </w:r>
      <w:r>
        <w:rPr>
          <w:rStyle w:val="big-number"/>
          <w:rFonts w:cs="Miriam" w:hint="cs"/>
          <w:rtl/>
        </w:rPr>
        <w:t>3</w:t>
      </w:r>
      <w:r w:rsidR="002A1D4E">
        <w:rPr>
          <w:rStyle w:val="big-number"/>
          <w:rFonts w:cs="Miriam" w:hint="cs"/>
          <w:rtl/>
        </w:rPr>
        <w:t>3</w:t>
      </w:r>
      <w:r w:rsidRPr="00301EEF">
        <w:rPr>
          <w:rStyle w:val="default"/>
          <w:rFonts w:cs="FrankRuehl"/>
          <w:rtl/>
        </w:rPr>
        <w:t>.</w:t>
      </w:r>
      <w:r w:rsidRPr="00301EEF">
        <w:rPr>
          <w:rStyle w:val="default"/>
          <w:rFonts w:cs="FrankRuehl"/>
          <w:rtl/>
        </w:rPr>
        <w:tab/>
      </w:r>
      <w:r w:rsidR="002A1D4E">
        <w:rPr>
          <w:rStyle w:val="default"/>
          <w:rFonts w:cs="FrankRuehl" w:hint="cs"/>
          <w:rtl/>
        </w:rPr>
        <w:t>סמכויות החיפוש והתפיסה לפי פקודת סדר הדין הפלילי (מעצר וחיפוש) [נוסח חדש], התשכ"ט-1969, יחולו, בכפוף להוראות חוק זה ובשינויים המחויבים, גם לעניין רכוש שביחס אליו ניתן לתת צו חילוט לפי פרק זה.</w:t>
      </w:r>
    </w:p>
    <w:p w:rsidR="002A1D4E" w:rsidRPr="002A1D4E" w:rsidRDefault="002A1D4E" w:rsidP="002A1D4E">
      <w:pPr>
        <w:pStyle w:val="medium2-header"/>
        <w:keepLines w:val="0"/>
        <w:spacing w:before="72"/>
        <w:ind w:left="0" w:right="1134"/>
        <w:rPr>
          <w:rFonts w:cs="FrankRuehl" w:hint="cs"/>
          <w:noProof/>
          <w:sz w:val="20"/>
          <w:rtl/>
        </w:rPr>
      </w:pPr>
      <w:bookmarkStart w:id="48" w:name="med4"/>
      <w:bookmarkEnd w:id="48"/>
      <w:r w:rsidRPr="002A1D4E">
        <w:rPr>
          <w:rFonts w:cs="FrankRuehl" w:hint="cs"/>
          <w:noProof/>
          <w:sz w:val="20"/>
          <w:rtl/>
        </w:rPr>
        <w:t>פרק ה': הוראות שונות</w:t>
      </w:r>
    </w:p>
    <w:p w:rsidR="00301EEF" w:rsidRDefault="00301EEF" w:rsidP="002A1D4E">
      <w:pPr>
        <w:pStyle w:val="P00"/>
        <w:spacing w:before="72"/>
        <w:ind w:left="0" w:right="1134"/>
        <w:rPr>
          <w:rStyle w:val="default"/>
          <w:rFonts w:cs="FrankRuehl" w:hint="cs"/>
          <w:rtl/>
        </w:rPr>
      </w:pPr>
      <w:bookmarkStart w:id="49" w:name="Seif34"/>
      <w:bookmarkEnd w:id="49"/>
      <w:r>
        <w:rPr>
          <w:lang w:val="he-IL"/>
        </w:rPr>
        <w:pict>
          <v:rect id="_x0000_s1084" style="position:absolute;left:0;text-align:left;margin-left:464.5pt;margin-top:8.05pt;width:75.05pt;height:16.75pt;z-index:251666432" o:allowincell="f" filled="f" stroked="f" strokecolor="lime" strokeweight=".25pt">
            <v:textbox style="mso-next-textbox:#_x0000_s1084"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תחולת הוראות על המדינה</w:t>
                  </w:r>
                </w:p>
              </w:txbxContent>
            </v:textbox>
            <w10:anchorlock/>
          </v:rect>
        </w:pict>
      </w:r>
      <w:r>
        <w:rPr>
          <w:rStyle w:val="big-number"/>
          <w:rFonts w:cs="Miriam" w:hint="cs"/>
          <w:rtl/>
        </w:rPr>
        <w:t>3</w:t>
      </w:r>
      <w:r w:rsidR="002A1D4E">
        <w:rPr>
          <w:rStyle w:val="big-number"/>
          <w:rFonts w:cs="Miriam" w:hint="cs"/>
          <w:rtl/>
        </w:rPr>
        <w:t>4</w:t>
      </w:r>
      <w:r w:rsidRPr="00301EEF">
        <w:rPr>
          <w:rStyle w:val="default"/>
          <w:rFonts w:cs="FrankRuehl"/>
          <w:rtl/>
        </w:rPr>
        <w:t>.</w:t>
      </w:r>
      <w:r w:rsidRPr="00301EEF">
        <w:rPr>
          <w:rStyle w:val="default"/>
          <w:rFonts w:cs="FrankRuehl"/>
          <w:rtl/>
        </w:rPr>
        <w:tab/>
      </w:r>
      <w:r w:rsidR="002A1D4E">
        <w:rPr>
          <w:rStyle w:val="default"/>
          <w:rFonts w:cs="FrankRuehl" w:hint="cs"/>
          <w:rtl/>
        </w:rPr>
        <w:t>הוראות סעיפים 4 ו-10 יחולו גם על המדינה.</w:t>
      </w:r>
    </w:p>
    <w:p w:rsidR="00301EEF" w:rsidRDefault="00301EEF" w:rsidP="002A1D4E">
      <w:pPr>
        <w:pStyle w:val="P00"/>
        <w:spacing w:before="72"/>
        <w:ind w:left="0" w:right="1134"/>
        <w:rPr>
          <w:rStyle w:val="default"/>
          <w:rFonts w:cs="FrankRuehl" w:hint="cs"/>
          <w:rtl/>
        </w:rPr>
      </w:pPr>
      <w:bookmarkStart w:id="50" w:name="Seif35"/>
      <w:bookmarkEnd w:id="50"/>
      <w:r>
        <w:rPr>
          <w:lang w:val="he-IL"/>
        </w:rPr>
        <w:pict>
          <v:rect id="_x0000_s1085" style="position:absolute;left:0;text-align:left;margin-left:464.5pt;margin-top:8.05pt;width:75.05pt;height:10.85pt;z-index:251667456" o:allowincell="f" filled="f" stroked="f" strokecolor="lime" strokeweight=".25pt">
            <v:textbox style="mso-next-textbox:#_x0000_s1085"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3</w:t>
      </w:r>
      <w:r w:rsidR="002A1D4E">
        <w:rPr>
          <w:rStyle w:val="big-number"/>
          <w:rFonts w:cs="Miriam" w:hint="cs"/>
          <w:rtl/>
        </w:rPr>
        <w:t>5</w:t>
      </w:r>
      <w:r w:rsidRPr="00301EEF">
        <w:rPr>
          <w:rStyle w:val="default"/>
          <w:rFonts w:cs="FrankRuehl"/>
          <w:rtl/>
        </w:rPr>
        <w:t>.</w:t>
      </w:r>
      <w:r w:rsidRPr="00301EEF">
        <w:rPr>
          <w:rStyle w:val="default"/>
          <w:rFonts w:cs="FrankRuehl"/>
          <w:rtl/>
        </w:rPr>
        <w:tab/>
      </w:r>
      <w:r w:rsidR="002A1D4E">
        <w:rPr>
          <w:rStyle w:val="default"/>
          <w:rFonts w:cs="FrankRuehl" w:hint="cs"/>
          <w:rtl/>
        </w:rPr>
        <w:t>אין בהוראות חוק זה כדי לגרוע מהוראות כל דין אחר, ובכלל זה פקודת המסחר עם האויב.</w:t>
      </w:r>
    </w:p>
    <w:p w:rsidR="00301EEF" w:rsidRDefault="00301EEF" w:rsidP="002A1D4E">
      <w:pPr>
        <w:pStyle w:val="P00"/>
        <w:spacing w:before="72"/>
        <w:ind w:left="0" w:right="1134"/>
        <w:rPr>
          <w:rStyle w:val="default"/>
          <w:rFonts w:cs="FrankRuehl"/>
          <w:rtl/>
        </w:rPr>
      </w:pPr>
      <w:r>
        <w:rPr>
          <w:lang w:val="he-IL"/>
        </w:rPr>
        <w:pict>
          <v:rect id="_x0000_s1086" style="position:absolute;left:0;text-align:left;margin-left:464.5pt;margin-top:8.05pt;width:75.05pt;height:18.05pt;z-index:251668480" o:allowincell="f" filled="f" stroked="f" strokecolor="lime" strokeweight=".25pt">
            <v:textbox style="mso-next-textbox:#_x0000_s1086" inset="0,0,0,0">
              <w:txbxContent>
                <w:p w:rsidR="00A45F06" w:rsidRDefault="0097292E" w:rsidP="00301EEF">
                  <w:pPr>
                    <w:spacing w:line="160" w:lineRule="exact"/>
                    <w:jc w:val="left"/>
                    <w:rPr>
                      <w:rFonts w:cs="Miriam" w:hint="cs"/>
                      <w:noProof/>
                      <w:sz w:val="18"/>
                      <w:szCs w:val="18"/>
                      <w:rtl/>
                    </w:rPr>
                  </w:pPr>
                  <w:r>
                    <w:rPr>
                      <w:rFonts w:cs="Miriam" w:hint="cs"/>
                      <w:sz w:val="18"/>
                      <w:szCs w:val="18"/>
                      <w:rtl/>
                    </w:rPr>
                    <w:t>(תיקון מס' 1) תשע"ח-2018</w:t>
                  </w:r>
                </w:p>
              </w:txbxContent>
            </v:textbox>
            <w10:anchorlock/>
          </v:rect>
        </w:pict>
      </w:r>
      <w:r>
        <w:rPr>
          <w:rStyle w:val="big-number"/>
          <w:rFonts w:cs="Miriam" w:hint="cs"/>
          <w:rtl/>
        </w:rPr>
        <w:t>3</w:t>
      </w:r>
      <w:r w:rsidR="002A1D4E">
        <w:rPr>
          <w:rStyle w:val="big-number"/>
          <w:rFonts w:cs="Miriam" w:hint="cs"/>
          <w:rtl/>
        </w:rPr>
        <w:t>6</w:t>
      </w:r>
      <w:r w:rsidRPr="00301EEF">
        <w:rPr>
          <w:rStyle w:val="default"/>
          <w:rFonts w:cs="FrankRuehl"/>
          <w:rtl/>
        </w:rPr>
        <w:t>.</w:t>
      </w:r>
      <w:r w:rsidRPr="00301EEF">
        <w:rPr>
          <w:rStyle w:val="default"/>
          <w:rFonts w:cs="FrankRuehl"/>
          <w:rtl/>
        </w:rPr>
        <w:tab/>
      </w:r>
      <w:r w:rsidR="0097292E">
        <w:rPr>
          <w:rStyle w:val="default"/>
          <w:rFonts w:cs="FrankRuehl" w:hint="cs"/>
          <w:rtl/>
        </w:rPr>
        <w:t>(בוטל)</w:t>
      </w:r>
      <w:r w:rsidR="002A1D4E">
        <w:rPr>
          <w:rStyle w:val="default"/>
          <w:rFonts w:cs="FrankRuehl" w:hint="cs"/>
          <w:rtl/>
        </w:rPr>
        <w:t>.</w:t>
      </w:r>
    </w:p>
    <w:p w:rsidR="0097292E" w:rsidRPr="0097292E" w:rsidRDefault="0097292E" w:rsidP="0097292E">
      <w:pPr>
        <w:pStyle w:val="P00"/>
        <w:spacing w:before="0"/>
        <w:ind w:left="0" w:right="1134"/>
        <w:rPr>
          <w:rStyle w:val="default"/>
          <w:rFonts w:ascii="FrankRuehl" w:hAnsi="FrankRuehl" w:cs="FrankRuehl"/>
          <w:vanish/>
          <w:color w:val="FF0000"/>
          <w:sz w:val="20"/>
          <w:szCs w:val="20"/>
          <w:shd w:val="clear" w:color="auto" w:fill="FFFF99"/>
          <w:rtl/>
        </w:rPr>
      </w:pPr>
      <w:bookmarkStart w:id="51" w:name="Rov58"/>
      <w:r w:rsidRPr="0097292E">
        <w:rPr>
          <w:rStyle w:val="default"/>
          <w:rFonts w:ascii="FrankRuehl" w:hAnsi="FrankRuehl" w:cs="FrankRuehl"/>
          <w:vanish/>
          <w:color w:val="FF0000"/>
          <w:sz w:val="20"/>
          <w:szCs w:val="20"/>
          <w:shd w:val="clear" w:color="auto" w:fill="FFFF99"/>
          <w:rtl/>
        </w:rPr>
        <w:t>מיום 11.3.2018</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b/>
          <w:bCs/>
          <w:vanish/>
          <w:sz w:val="20"/>
          <w:szCs w:val="20"/>
          <w:shd w:val="clear" w:color="auto" w:fill="FFFF99"/>
          <w:rtl/>
        </w:rPr>
        <w:t>תיקון מס' 1</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hyperlink r:id="rId16" w:history="1">
        <w:r w:rsidRPr="0097292E">
          <w:rPr>
            <w:rStyle w:val="Hyperlink"/>
            <w:rFonts w:ascii="FrankRuehl" w:hAnsi="FrankRuehl" w:cs="FrankRuehl"/>
            <w:vanish/>
            <w:szCs w:val="20"/>
            <w:shd w:val="clear" w:color="auto" w:fill="FFFF99"/>
            <w:rtl/>
          </w:rPr>
          <w:t>ס"ח תשע"ח מס' 2699</w:t>
        </w:r>
      </w:hyperlink>
      <w:r w:rsidRPr="0097292E">
        <w:rPr>
          <w:rStyle w:val="default"/>
          <w:rFonts w:ascii="FrankRuehl" w:hAnsi="FrankRuehl" w:cs="FrankRuehl"/>
          <w:vanish/>
          <w:sz w:val="20"/>
          <w:szCs w:val="20"/>
          <w:shd w:val="clear" w:color="auto" w:fill="FFFF99"/>
          <w:rtl/>
        </w:rPr>
        <w:t xml:space="preserve"> מיום 11.3.2018 עמ' </w:t>
      </w:r>
      <w:r w:rsidRPr="0097292E">
        <w:rPr>
          <w:rStyle w:val="default"/>
          <w:rFonts w:ascii="FrankRuehl" w:hAnsi="FrankRuehl" w:cs="FrankRuehl" w:hint="cs"/>
          <w:vanish/>
          <w:sz w:val="20"/>
          <w:szCs w:val="20"/>
          <w:shd w:val="clear" w:color="auto" w:fill="FFFF99"/>
          <w:rtl/>
        </w:rPr>
        <w:t>240</w:t>
      </w:r>
      <w:r w:rsidRPr="0097292E">
        <w:rPr>
          <w:rStyle w:val="default"/>
          <w:rFonts w:ascii="FrankRuehl" w:hAnsi="FrankRuehl" w:cs="FrankRuehl"/>
          <w:vanish/>
          <w:sz w:val="20"/>
          <w:szCs w:val="20"/>
          <w:shd w:val="clear" w:color="auto" w:fill="FFFF99"/>
          <w:rtl/>
        </w:rPr>
        <w:t xml:space="preserve"> (</w:t>
      </w:r>
      <w:hyperlink r:id="rId17" w:history="1">
        <w:r w:rsidRPr="0097292E">
          <w:rPr>
            <w:rStyle w:val="Hyperlink"/>
            <w:rFonts w:ascii="FrankRuehl" w:hAnsi="FrankRuehl" w:cs="FrankRuehl"/>
            <w:vanish/>
            <w:szCs w:val="20"/>
            <w:shd w:val="clear" w:color="auto" w:fill="FFFF99"/>
            <w:rtl/>
          </w:rPr>
          <w:t>ה"ח 1186</w:t>
        </w:r>
      </w:hyperlink>
      <w:r w:rsidRPr="0097292E">
        <w:rPr>
          <w:rStyle w:val="default"/>
          <w:rFonts w:ascii="FrankRuehl" w:hAnsi="FrankRuehl" w:cs="FrankRuehl"/>
          <w:vanish/>
          <w:sz w:val="20"/>
          <w:szCs w:val="20"/>
          <w:shd w:val="clear" w:color="auto" w:fill="FFFF99"/>
          <w:rtl/>
        </w:rPr>
        <w:t>)</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hint="cs"/>
          <w:b/>
          <w:bCs/>
          <w:vanish/>
          <w:sz w:val="20"/>
          <w:szCs w:val="20"/>
          <w:shd w:val="clear" w:color="auto" w:fill="FFFF99"/>
          <w:rtl/>
        </w:rPr>
        <w:t>ביטול סעיף 36</w:t>
      </w:r>
    </w:p>
    <w:p w:rsidR="0097292E" w:rsidRPr="0097292E" w:rsidRDefault="0097292E" w:rsidP="0097292E">
      <w:pPr>
        <w:pStyle w:val="P0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hint="cs"/>
          <w:vanish/>
          <w:sz w:val="20"/>
          <w:szCs w:val="20"/>
          <w:shd w:val="clear" w:color="auto" w:fill="FFFF99"/>
          <w:rtl/>
        </w:rPr>
        <w:t>הנוסח הקודם:</w:t>
      </w:r>
    </w:p>
    <w:p w:rsidR="0097292E" w:rsidRPr="0097292E" w:rsidRDefault="0097292E" w:rsidP="0097292E">
      <w:pPr>
        <w:pStyle w:val="P00"/>
        <w:spacing w:before="20"/>
        <w:ind w:left="0" w:right="1134"/>
        <w:rPr>
          <w:rStyle w:val="default"/>
          <w:rFonts w:ascii="Miriam" w:hAnsi="Miriam" w:cs="Miriam"/>
          <w:strike/>
          <w:vanish/>
          <w:sz w:val="16"/>
          <w:szCs w:val="16"/>
          <w:shd w:val="clear" w:color="auto" w:fill="FFFF99"/>
          <w:rtl/>
        </w:rPr>
      </w:pPr>
      <w:r w:rsidRPr="0097292E">
        <w:rPr>
          <w:rStyle w:val="default"/>
          <w:rFonts w:ascii="Miriam" w:hAnsi="Miriam" w:cs="Miriam"/>
          <w:strike/>
          <w:vanish/>
          <w:sz w:val="16"/>
          <w:szCs w:val="16"/>
          <w:shd w:val="clear" w:color="auto" w:fill="FFFF99"/>
          <w:rtl/>
        </w:rPr>
        <w:t>שינוי התוספת</w:t>
      </w:r>
    </w:p>
    <w:p w:rsidR="0097292E" w:rsidRPr="0097292E" w:rsidRDefault="0097292E" w:rsidP="0097292E">
      <w:pPr>
        <w:pStyle w:val="P00"/>
        <w:spacing w:before="0"/>
        <w:ind w:left="0" w:right="1134"/>
        <w:rPr>
          <w:rStyle w:val="default"/>
          <w:rFonts w:cs="FrankRuehl"/>
          <w:strike/>
          <w:sz w:val="2"/>
          <w:szCs w:val="2"/>
          <w:rtl/>
        </w:rPr>
      </w:pPr>
      <w:r w:rsidRPr="0097292E">
        <w:rPr>
          <w:rStyle w:val="default"/>
          <w:rFonts w:cs="FrankRuehl" w:hint="cs"/>
          <w:strike/>
          <w:vanish/>
          <w:sz w:val="22"/>
          <w:szCs w:val="22"/>
          <w:shd w:val="clear" w:color="auto" w:fill="FFFF99"/>
          <w:rtl/>
        </w:rPr>
        <w:t>36</w:t>
      </w:r>
      <w:r w:rsidRPr="0097292E">
        <w:rPr>
          <w:rStyle w:val="default"/>
          <w:rFonts w:cs="FrankRuehl"/>
          <w:strike/>
          <w:vanish/>
          <w:sz w:val="22"/>
          <w:szCs w:val="22"/>
          <w:shd w:val="clear" w:color="auto" w:fill="FFFF99"/>
          <w:rtl/>
        </w:rPr>
        <w:t>.</w:t>
      </w:r>
      <w:r w:rsidRPr="0097292E">
        <w:rPr>
          <w:rStyle w:val="default"/>
          <w:rFonts w:cs="FrankRuehl"/>
          <w:strike/>
          <w:vanish/>
          <w:sz w:val="22"/>
          <w:szCs w:val="22"/>
          <w:shd w:val="clear" w:color="auto" w:fill="FFFF99"/>
          <w:rtl/>
        </w:rPr>
        <w:tab/>
      </w:r>
      <w:r w:rsidRPr="0097292E">
        <w:rPr>
          <w:rStyle w:val="default"/>
          <w:rFonts w:cs="FrankRuehl" w:hint="cs"/>
          <w:strike/>
          <w:vanish/>
          <w:sz w:val="22"/>
          <w:szCs w:val="22"/>
          <w:shd w:val="clear" w:color="auto" w:fill="FFFF99"/>
          <w:rtl/>
        </w:rPr>
        <w:t>ראש הממשלה רשאי, בהתייעצות עם שר האוצר, לשנות, בצו, את התוספת.</w:t>
      </w:r>
      <w:bookmarkEnd w:id="51"/>
    </w:p>
    <w:p w:rsidR="00301EEF" w:rsidRDefault="00301EEF" w:rsidP="002A1D4E">
      <w:pPr>
        <w:pStyle w:val="P00"/>
        <w:spacing w:before="72"/>
        <w:ind w:left="0" w:right="1134"/>
        <w:rPr>
          <w:rStyle w:val="default"/>
          <w:rFonts w:cs="FrankRuehl" w:hint="cs"/>
          <w:rtl/>
        </w:rPr>
      </w:pPr>
      <w:bookmarkStart w:id="52" w:name="Seif36"/>
      <w:bookmarkEnd w:id="52"/>
      <w:r>
        <w:rPr>
          <w:lang w:val="he-IL"/>
        </w:rPr>
        <w:pict>
          <v:rect id="_x0000_s1087" style="position:absolute;left:0;text-align:left;margin-left:464.5pt;margin-top:8.05pt;width:75.05pt;height:10.2pt;z-index:251669504" o:allowincell="f" filled="f" stroked="f" strokecolor="lime" strokeweight=".25pt">
            <v:textbox style="mso-next-textbox:#_x0000_s1087"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3</w:t>
      </w:r>
      <w:r w:rsidR="002A1D4E">
        <w:rPr>
          <w:rStyle w:val="big-number"/>
          <w:rFonts w:cs="Miriam" w:hint="cs"/>
          <w:rtl/>
        </w:rPr>
        <w:t>7</w:t>
      </w:r>
      <w:r w:rsidRPr="00301EEF">
        <w:rPr>
          <w:rStyle w:val="default"/>
          <w:rFonts w:cs="FrankRuehl"/>
          <w:rtl/>
        </w:rPr>
        <w:t>.</w:t>
      </w:r>
      <w:r w:rsidRPr="00301EEF">
        <w:rPr>
          <w:rStyle w:val="default"/>
          <w:rFonts w:cs="FrankRuehl"/>
          <w:rtl/>
        </w:rPr>
        <w:tab/>
      </w:r>
      <w:r w:rsidR="002A1D4E">
        <w:rPr>
          <w:rStyle w:val="default"/>
          <w:rFonts w:cs="FrankRuehl" w:hint="cs"/>
          <w:rtl/>
        </w:rPr>
        <w:t>(א)</w:t>
      </w:r>
      <w:r w:rsidR="002A1D4E">
        <w:rPr>
          <w:rStyle w:val="default"/>
          <w:rFonts w:cs="FrankRuehl" w:hint="cs"/>
          <w:rtl/>
        </w:rPr>
        <w:tab/>
        <w:t>שר האוצר ממונה על ביצועו של חוק זה, והוא רשאי, בהסכמת ראש הממשלה ובאישור ועדת החוקה חוק ומשפט של הכנסת, להתקין תקנות בכל עניין הנוגע לביצועו, לרבות בעניינים אלה:</w:t>
      </w:r>
    </w:p>
    <w:p w:rsidR="002A1D4E" w:rsidRDefault="002A1D4E" w:rsidP="002A1D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הדרכים והמועדים למתן הודעות לפי סימן ג' בפרק ב';</w:t>
      </w:r>
    </w:p>
    <w:p w:rsidR="002A1D4E" w:rsidRDefault="002A1D4E" w:rsidP="002A1D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סדרי העבודה של מטה הסנקציות;</w:t>
      </w:r>
    </w:p>
    <w:p w:rsidR="002A1D4E" w:rsidRDefault="002A1D4E" w:rsidP="002A1D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סדרי הדיונים של הוועדה המייעצת, אם לא נקבעו לפי חוק זה.</w:t>
      </w:r>
    </w:p>
    <w:p w:rsidR="002A1D4E" w:rsidRDefault="002A1D4E" w:rsidP="002A1D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שר המשפטים רשאי, בהסכמת שר האוצר ובאישור ועדת החוקה חוק ומשפט של הכנסת, לקבוע הוראות בדבר סדרי דין בעניין בקשה לצו חילוט </w:t>
      </w:r>
      <w:r w:rsidR="00402F1C">
        <w:rPr>
          <w:rStyle w:val="default"/>
          <w:rFonts w:cs="FrankRuehl" w:hint="cs"/>
          <w:rtl/>
        </w:rPr>
        <w:t>בהליך פלילי או אזרחי לפי הוראות פרק ד', וכן בעניין הליכים לשמיעת התנגדויות לחילוט, בקשה למתן סעדים לשמירת רכוש, עיון חוזר וערעור, והדרכים למימוש החילוט, לניהול הנכסים ולמתן הודעות לטוענים לזכות ברכוש.</w:t>
      </w:r>
    </w:p>
    <w:p w:rsidR="00301EEF" w:rsidRDefault="00301EEF" w:rsidP="00402F1C">
      <w:pPr>
        <w:pStyle w:val="P00"/>
        <w:spacing w:before="72"/>
        <w:ind w:left="0" w:right="1134"/>
        <w:rPr>
          <w:rStyle w:val="default"/>
          <w:rFonts w:cs="FrankRuehl" w:hint="cs"/>
          <w:rtl/>
        </w:rPr>
      </w:pPr>
      <w:bookmarkStart w:id="53" w:name="Seif37"/>
      <w:bookmarkEnd w:id="53"/>
      <w:r>
        <w:rPr>
          <w:lang w:val="he-IL"/>
        </w:rPr>
        <w:pict>
          <v:rect id="_x0000_s1088" style="position:absolute;left:0;text-align:left;margin-left:464.5pt;margin-top:8.05pt;width:75.05pt;height:36.25pt;z-index:251670528" o:allowincell="f" filled="f" stroked="f" strokecolor="lime" strokeweight=".25pt">
            <v:textbox style="mso-next-textbox:#_x0000_s1088" inset="0,0,0,0">
              <w:txbxContent>
                <w:p w:rsidR="00A45F06" w:rsidRDefault="00A45F06" w:rsidP="00301EEF">
                  <w:pPr>
                    <w:spacing w:line="160" w:lineRule="exact"/>
                    <w:jc w:val="left"/>
                    <w:rPr>
                      <w:rFonts w:cs="Miriam" w:hint="cs"/>
                      <w:noProof/>
                      <w:sz w:val="18"/>
                      <w:szCs w:val="18"/>
                      <w:rtl/>
                    </w:rPr>
                  </w:pPr>
                  <w:r>
                    <w:rPr>
                      <w:rFonts w:cs="Miriam" w:hint="cs"/>
                      <w:sz w:val="18"/>
                      <w:szCs w:val="18"/>
                      <w:rtl/>
                    </w:rPr>
                    <w:t>ביטול חוק איסור השקעה בתאגידים המקיימים קשר עסקי עם איראן</w:t>
                  </w:r>
                </w:p>
              </w:txbxContent>
            </v:textbox>
            <w10:anchorlock/>
          </v:rect>
        </w:pict>
      </w:r>
      <w:r>
        <w:rPr>
          <w:rStyle w:val="big-number"/>
          <w:rFonts w:cs="Miriam" w:hint="cs"/>
          <w:rtl/>
        </w:rPr>
        <w:t>3</w:t>
      </w:r>
      <w:r w:rsidR="00402F1C">
        <w:rPr>
          <w:rStyle w:val="big-number"/>
          <w:rFonts w:cs="Miriam" w:hint="cs"/>
          <w:rtl/>
        </w:rPr>
        <w:t>8</w:t>
      </w:r>
      <w:r w:rsidRPr="00301EEF">
        <w:rPr>
          <w:rStyle w:val="default"/>
          <w:rFonts w:cs="FrankRuehl"/>
          <w:rtl/>
        </w:rPr>
        <w:t>.</w:t>
      </w:r>
      <w:r w:rsidRPr="00301EEF">
        <w:rPr>
          <w:rStyle w:val="default"/>
          <w:rFonts w:cs="FrankRuehl"/>
          <w:rtl/>
        </w:rPr>
        <w:tab/>
      </w:r>
      <w:r w:rsidR="00402F1C">
        <w:rPr>
          <w:rStyle w:val="default"/>
          <w:rFonts w:cs="FrankRuehl" w:hint="cs"/>
          <w:rtl/>
        </w:rPr>
        <w:t xml:space="preserve">חוק איסור השקעה בתאגידים המקיימים קשר עסקי עם איראן, התשס"ח-2008 </w:t>
      </w:r>
      <w:r w:rsidR="00402F1C">
        <w:rPr>
          <w:rStyle w:val="default"/>
          <w:rFonts w:cs="FrankRuehl"/>
          <w:rtl/>
        </w:rPr>
        <w:t>–</w:t>
      </w:r>
      <w:r w:rsidR="00402F1C">
        <w:rPr>
          <w:rStyle w:val="default"/>
          <w:rFonts w:cs="FrankRuehl" w:hint="cs"/>
          <w:rtl/>
        </w:rPr>
        <w:t xml:space="preserve"> בטל.</w:t>
      </w:r>
    </w:p>
    <w:p w:rsidR="00402F1C" w:rsidRDefault="00402F1C" w:rsidP="00402F1C">
      <w:pPr>
        <w:pStyle w:val="P00"/>
        <w:spacing w:before="72"/>
        <w:ind w:left="0" w:right="1134"/>
        <w:rPr>
          <w:rStyle w:val="default"/>
          <w:rFonts w:cs="FrankRuehl" w:hint="cs"/>
          <w:rtl/>
        </w:rPr>
      </w:pPr>
    </w:p>
    <w:p w:rsidR="00301EEF" w:rsidRDefault="00301EEF" w:rsidP="00402F1C">
      <w:pPr>
        <w:pStyle w:val="P00"/>
        <w:spacing w:before="72"/>
        <w:ind w:left="0" w:right="1134"/>
        <w:rPr>
          <w:rStyle w:val="default"/>
          <w:rFonts w:cs="FrankRuehl" w:hint="cs"/>
          <w:rtl/>
        </w:rPr>
      </w:pPr>
      <w:bookmarkStart w:id="54" w:name="Seif38"/>
      <w:bookmarkEnd w:id="54"/>
      <w:r>
        <w:rPr>
          <w:lang w:val="he-IL"/>
        </w:rPr>
        <w:pict>
          <v:rect id="_x0000_s1089" style="position:absolute;left:0;text-align:left;margin-left:464.5pt;margin-top:8.05pt;width:75.05pt;height:16.75pt;z-index:251671552" o:allowincell="f" filled="f" stroked="f" strokecolor="lime" strokeweight=".25pt">
            <v:textbox style="mso-next-textbox:#_x0000_s1089" inset="0,0,0,0">
              <w:txbxContent>
                <w:p w:rsidR="00A45F06" w:rsidRDefault="00A45F06" w:rsidP="00301EEF">
                  <w:pPr>
                    <w:spacing w:line="160" w:lineRule="exact"/>
                    <w:jc w:val="left"/>
                    <w:rPr>
                      <w:rFonts w:cs="Miriam" w:hint="cs"/>
                      <w:noProof/>
                      <w:sz w:val="18"/>
                      <w:szCs w:val="18"/>
                      <w:rtl/>
                    </w:rPr>
                  </w:pPr>
                  <w:r>
                    <w:rPr>
                      <w:rFonts w:cs="Miriam" w:hint="cs"/>
                      <w:sz w:val="18"/>
                      <w:szCs w:val="18"/>
                      <w:rtl/>
                    </w:rPr>
                    <w:t xml:space="preserve">תיקון חוק איסור הלבנת הון </w:t>
                  </w:r>
                  <w:r>
                    <w:rPr>
                      <w:rFonts w:cs="Miriam"/>
                      <w:sz w:val="18"/>
                      <w:szCs w:val="18"/>
                      <w:rtl/>
                    </w:rPr>
                    <w:t>–</w:t>
                  </w:r>
                  <w:r>
                    <w:rPr>
                      <w:rFonts w:cs="Miriam" w:hint="cs"/>
                      <w:sz w:val="18"/>
                      <w:szCs w:val="18"/>
                      <w:rtl/>
                    </w:rPr>
                    <w:t xml:space="preserve"> מס' 12</w:t>
                  </w:r>
                </w:p>
              </w:txbxContent>
            </v:textbox>
            <w10:anchorlock/>
          </v:rect>
        </w:pict>
      </w:r>
      <w:r>
        <w:rPr>
          <w:rStyle w:val="big-number"/>
          <w:rFonts w:cs="Miriam" w:hint="cs"/>
          <w:rtl/>
        </w:rPr>
        <w:t>3</w:t>
      </w:r>
      <w:r w:rsidR="00402F1C">
        <w:rPr>
          <w:rStyle w:val="big-number"/>
          <w:rFonts w:cs="Miriam" w:hint="cs"/>
          <w:rtl/>
        </w:rPr>
        <w:t>9</w:t>
      </w:r>
      <w:r w:rsidRPr="00301EEF">
        <w:rPr>
          <w:rStyle w:val="default"/>
          <w:rFonts w:cs="FrankRuehl"/>
          <w:rtl/>
        </w:rPr>
        <w:t>.</w:t>
      </w:r>
      <w:r w:rsidRPr="00301EEF">
        <w:rPr>
          <w:rStyle w:val="default"/>
          <w:rFonts w:cs="FrankRuehl"/>
          <w:rtl/>
        </w:rPr>
        <w:tab/>
      </w:r>
      <w:r w:rsidR="00402F1C">
        <w:rPr>
          <w:rStyle w:val="default"/>
          <w:rFonts w:cs="FrankRuehl" w:hint="cs"/>
          <w:rtl/>
        </w:rPr>
        <w:t xml:space="preserve">בחוק איסור הלבנת הון, התש"ס-2000 </w:t>
      </w:r>
      <w:r w:rsidR="00402F1C">
        <w:rPr>
          <w:rStyle w:val="default"/>
          <w:rFonts w:cs="FrankRuehl"/>
          <w:rtl/>
        </w:rPr>
        <w:t>–</w:t>
      </w:r>
    </w:p>
    <w:p w:rsidR="00402F1C" w:rsidRDefault="00402F1C" w:rsidP="00402F1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30 </w:t>
      </w:r>
      <w:r>
        <w:rPr>
          <w:rStyle w:val="default"/>
          <w:rFonts w:cs="FrankRuehl"/>
          <w:rtl/>
        </w:rPr>
        <w:t>–</w:t>
      </w:r>
    </w:p>
    <w:p w:rsidR="00402F1C" w:rsidRDefault="00402F1C" w:rsidP="00402F1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(ב)(1), במקום "וחוק איסור מימון טרור" יבוא "חוק איסור מימון טרור, בפקודת המסחר עם האויב וסימן א' בפרק ב' לחוק המאבק בתכנית הגרעין של איראן";</w:t>
      </w:r>
    </w:p>
    <w:p w:rsidR="00402F1C" w:rsidRDefault="00402F1C" w:rsidP="00402F1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(ג), אחרי "מעשים כאמור" יבוא "מניעת סחר עם האויב, מניעת פעילות כלכלית עם גורם זר מסייע";</w:t>
      </w:r>
    </w:p>
    <w:p w:rsidR="00402F1C" w:rsidRDefault="00402F1C" w:rsidP="00402F1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בסעיף קטן (ג1)(1), אחרי "מעשים כאמור" יבוא "מניעת סחר עם האויב, מניעת פעילות כלכלית עם גורם זר מסייע";</w:t>
      </w:r>
    </w:p>
    <w:p w:rsidR="00402F1C" w:rsidRDefault="00402F1C" w:rsidP="00402F1C">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בסעיף קטן (ה), במקום "ולפי חוק איסור מימון טרור" יבוא "לפי חוק איסור מימון טרור, לפי פקודת המסחר עם האויב ולפי סעיף 29(א) לחוק המאבק בתכנית הגרעין של איראן";</w:t>
      </w:r>
    </w:p>
    <w:p w:rsidR="00402F1C" w:rsidRDefault="00402F1C" w:rsidP="00402F1C">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בסעיף קטן (ו), במקום "וחוק איסור מימון טרור" יבוא "חוק איסור מימון טרור, פקודת המסחר עם האויב וסימן א' בפרק ב' לחוק המאבק בתכנית הגרעין של איראן";</w:t>
      </w:r>
    </w:p>
    <w:p w:rsidR="00402F1C" w:rsidRDefault="00402F1C" w:rsidP="00402F1C">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בסעיף קטן (ז), במקום "וחוק איסור מימון טרור" יבוא "חוק איסור מימון טרור, פקודת המסחר עם האויב וסימן א' בפרק ב' לחוק המאבק בתכנית הגרעין של איראן";</w:t>
      </w:r>
    </w:p>
    <w:p w:rsidR="00402F1C" w:rsidRDefault="00402F1C" w:rsidP="00402F1C">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בסעיף קטן (ח), במקום "או חוק איסור מימון טרור" יבוא "חוק איסור מימון טרור, פקודת המסחר עם האויב או סימן א' בפרק ב' לחוק המאבק בתכנית הגרעין של איראן";</w:t>
      </w:r>
    </w:p>
    <w:p w:rsidR="00402F1C" w:rsidRDefault="00402F1C" w:rsidP="00402F1C">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בסעיף קטן (י), אחרי ההגדרה "מלמ"ב" יבוא:</w:t>
      </w:r>
    </w:p>
    <w:p w:rsidR="00402F1C" w:rsidRDefault="00402F1C" w:rsidP="00402F1C">
      <w:pPr>
        <w:pStyle w:val="P00"/>
        <w:spacing w:before="72"/>
        <w:ind w:left="1474" w:right="1134"/>
        <w:rPr>
          <w:rStyle w:val="default"/>
          <w:rFonts w:cs="FrankRuehl" w:hint="cs"/>
          <w:rtl/>
        </w:rPr>
      </w:pPr>
      <w:r>
        <w:rPr>
          <w:rStyle w:val="default"/>
          <w:rFonts w:cs="FrankRuehl" w:hint="cs"/>
          <w:rtl/>
        </w:rPr>
        <w:t xml:space="preserve">""גורם זר מסייע" ו"פעילות כלכלית" </w:t>
      </w:r>
      <w:r>
        <w:rPr>
          <w:rStyle w:val="default"/>
          <w:rFonts w:cs="FrankRuehl"/>
          <w:rtl/>
        </w:rPr>
        <w:t>–</w:t>
      </w:r>
      <w:r>
        <w:rPr>
          <w:rStyle w:val="default"/>
          <w:rFonts w:cs="FrankRuehl" w:hint="cs"/>
          <w:rtl/>
        </w:rPr>
        <w:t xml:space="preserve"> כהגדרתם בחוק המאבק בתכנית הגרעין של איראן;</w:t>
      </w:r>
    </w:p>
    <w:p w:rsidR="00402F1C" w:rsidRDefault="00402F1C" w:rsidP="00402F1C">
      <w:pPr>
        <w:pStyle w:val="P00"/>
        <w:spacing w:before="72"/>
        <w:ind w:left="1474" w:right="1134"/>
        <w:rPr>
          <w:rStyle w:val="default"/>
          <w:rFonts w:cs="FrankRuehl" w:hint="cs"/>
          <w:rtl/>
        </w:rPr>
      </w:pPr>
      <w:r>
        <w:rPr>
          <w:rStyle w:val="default"/>
          <w:rFonts w:cs="FrankRuehl" w:hint="cs"/>
          <w:rtl/>
        </w:rPr>
        <w:t xml:space="preserve">"חוק המאבק בתכנית הגרעין של איראן" </w:t>
      </w:r>
      <w:r>
        <w:rPr>
          <w:rStyle w:val="default"/>
          <w:rFonts w:cs="FrankRuehl"/>
          <w:rtl/>
        </w:rPr>
        <w:t>–</w:t>
      </w:r>
      <w:r>
        <w:rPr>
          <w:rStyle w:val="default"/>
          <w:rFonts w:cs="FrankRuehl" w:hint="cs"/>
          <w:rtl/>
        </w:rPr>
        <w:t xml:space="preserve"> חוק המאבק בתכנית הגרעין של איראן, התשע"ב-2012;</w:t>
      </w:r>
    </w:p>
    <w:p w:rsidR="00402F1C" w:rsidRDefault="00402F1C" w:rsidP="00402F1C">
      <w:pPr>
        <w:pStyle w:val="P00"/>
        <w:spacing w:before="72"/>
        <w:ind w:left="1474" w:right="1134"/>
        <w:rPr>
          <w:rStyle w:val="default"/>
          <w:rFonts w:cs="FrankRuehl" w:hint="cs"/>
          <w:rtl/>
        </w:rPr>
      </w:pPr>
      <w:r>
        <w:rPr>
          <w:rStyle w:val="default"/>
          <w:rFonts w:cs="FrankRuehl" w:hint="cs"/>
          <w:rtl/>
        </w:rPr>
        <w:t xml:space="preserve">"פקודת המסחר עם האויב" </w:t>
      </w:r>
      <w:r>
        <w:rPr>
          <w:rStyle w:val="default"/>
          <w:rFonts w:cs="FrankRuehl"/>
          <w:rtl/>
        </w:rPr>
        <w:t>–</w:t>
      </w:r>
      <w:r>
        <w:rPr>
          <w:rStyle w:val="default"/>
          <w:rFonts w:cs="FrankRuehl" w:hint="cs"/>
          <w:rtl/>
        </w:rPr>
        <w:t xml:space="preserve"> פקודת המסחר עם האויב, 1939.";</w:t>
      </w:r>
    </w:p>
    <w:p w:rsidR="00402F1C" w:rsidRDefault="00402F1C" w:rsidP="00402F1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בתוספת הראשונה, אחרי פרט (18ד) יבוא:</w:t>
      </w:r>
    </w:p>
    <w:p w:rsidR="00402F1C" w:rsidRDefault="00402F1C" w:rsidP="00402F1C">
      <w:pPr>
        <w:pStyle w:val="P00"/>
        <w:spacing w:before="72"/>
        <w:ind w:left="1021" w:right="1134"/>
        <w:rPr>
          <w:rStyle w:val="default"/>
          <w:rFonts w:cs="FrankRuehl" w:hint="cs"/>
          <w:rtl/>
        </w:rPr>
      </w:pPr>
      <w:r>
        <w:rPr>
          <w:rStyle w:val="default"/>
          <w:rFonts w:cs="FrankRuehl" w:hint="cs"/>
          <w:rtl/>
        </w:rPr>
        <w:t>"(18ה) עבירה לפי סעיף 29(א) לחוק המאבק בתכנית הגרעין של איראן, התשע"ב-2012;".</w:t>
      </w:r>
    </w:p>
    <w:p w:rsidR="00301EEF" w:rsidRDefault="00301EEF" w:rsidP="00402F1C">
      <w:pPr>
        <w:pStyle w:val="P00"/>
        <w:spacing w:before="72"/>
        <w:ind w:left="0" w:right="1134"/>
        <w:rPr>
          <w:rStyle w:val="default"/>
          <w:rFonts w:cs="FrankRuehl" w:hint="cs"/>
          <w:rtl/>
        </w:rPr>
      </w:pPr>
      <w:bookmarkStart w:id="55" w:name="Seif39"/>
      <w:bookmarkEnd w:id="55"/>
      <w:r>
        <w:rPr>
          <w:lang w:val="he-IL"/>
        </w:rPr>
        <w:pict>
          <v:rect id="_x0000_s1090" style="position:absolute;left:0;text-align:left;margin-left:464.5pt;margin-top:8.05pt;width:75.05pt;height:16.75pt;z-index:251672576" o:allowincell="f" filled="f" stroked="f" strokecolor="lime" strokeweight=".25pt">
            <v:textbox style="mso-next-textbox:#_x0000_s1090" inset="0,0,0,0">
              <w:txbxContent>
                <w:p w:rsidR="00A45F06" w:rsidRDefault="00A45F06" w:rsidP="00301EEF">
                  <w:pPr>
                    <w:spacing w:line="160" w:lineRule="exact"/>
                    <w:jc w:val="left"/>
                    <w:rPr>
                      <w:rFonts w:cs="Miriam" w:hint="cs"/>
                      <w:noProof/>
                      <w:sz w:val="18"/>
                      <w:szCs w:val="18"/>
                      <w:rtl/>
                    </w:rPr>
                  </w:pPr>
                  <w:r>
                    <w:rPr>
                      <w:rFonts w:cs="Miriam" w:hint="cs"/>
                      <w:sz w:val="18"/>
                      <w:szCs w:val="18"/>
                      <w:rtl/>
                    </w:rPr>
                    <w:t xml:space="preserve">תיקון פקודת המסחר עם האויב </w:t>
                  </w:r>
                  <w:r>
                    <w:rPr>
                      <w:rFonts w:cs="Miriam"/>
                      <w:sz w:val="18"/>
                      <w:szCs w:val="18"/>
                      <w:rtl/>
                    </w:rPr>
                    <w:t>–</w:t>
                  </w:r>
                  <w:r>
                    <w:rPr>
                      <w:rFonts w:cs="Miriam" w:hint="cs"/>
                      <w:sz w:val="18"/>
                      <w:szCs w:val="18"/>
                      <w:rtl/>
                    </w:rPr>
                    <w:t xml:space="preserve"> מס' 2</w:t>
                  </w:r>
                </w:p>
              </w:txbxContent>
            </v:textbox>
            <w10:anchorlock/>
          </v:rect>
        </w:pict>
      </w:r>
      <w:r>
        <w:rPr>
          <w:rStyle w:val="big-number"/>
          <w:rFonts w:cs="Miriam" w:hint="cs"/>
          <w:rtl/>
        </w:rPr>
        <w:t>40</w:t>
      </w:r>
      <w:r w:rsidRPr="00301EEF">
        <w:rPr>
          <w:rStyle w:val="default"/>
          <w:rFonts w:cs="FrankRuehl"/>
          <w:rtl/>
        </w:rPr>
        <w:t>.</w:t>
      </w:r>
      <w:r w:rsidRPr="00301EEF">
        <w:rPr>
          <w:rStyle w:val="default"/>
          <w:rFonts w:cs="FrankRuehl"/>
          <w:rtl/>
        </w:rPr>
        <w:tab/>
      </w:r>
      <w:r w:rsidR="00402F1C">
        <w:rPr>
          <w:rStyle w:val="default"/>
          <w:rFonts w:cs="FrankRuehl" w:hint="cs"/>
          <w:rtl/>
        </w:rPr>
        <w:t xml:space="preserve">בפקודת המסחר עם האויב, 1939 </w:t>
      </w:r>
      <w:r w:rsidR="00402F1C">
        <w:rPr>
          <w:rStyle w:val="default"/>
          <w:rFonts w:cs="FrankRuehl"/>
          <w:rtl/>
        </w:rPr>
        <w:t>–</w:t>
      </w:r>
    </w:p>
    <w:p w:rsidR="00402F1C" w:rsidRDefault="00402F1C" w:rsidP="00402F1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3(1) </w:t>
      </w:r>
      <w:r>
        <w:rPr>
          <w:rStyle w:val="default"/>
          <w:rFonts w:cs="FrankRuehl"/>
          <w:rtl/>
        </w:rPr>
        <w:t>–</w:t>
      </w:r>
    </w:p>
    <w:p w:rsidR="00402F1C" w:rsidRDefault="00402F1C" w:rsidP="00402F1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בפסקה (א), במקום "שבע שנים או לקנס, או למאסר ולקנס כאחד, או" יבוא "עשר שנים או קנס פי חמישה מהקנס האמור בסעיף 61(א)(4) לחוק העונשין, התשל"ז-1977 (בפקודה זו </w:t>
      </w:r>
      <w:r>
        <w:rPr>
          <w:rStyle w:val="default"/>
          <w:rFonts w:cs="FrankRuehl"/>
          <w:rtl/>
        </w:rPr>
        <w:t>–</w:t>
      </w:r>
      <w:r>
        <w:rPr>
          <w:rStyle w:val="default"/>
          <w:rFonts w:cs="FrankRuehl" w:hint="cs"/>
          <w:rtl/>
        </w:rPr>
        <w:t xml:space="preserve"> חוק העונשין), ואם נעברה העבירה בידי תאגיד </w:t>
      </w:r>
      <w:r>
        <w:rPr>
          <w:rStyle w:val="default"/>
          <w:rFonts w:cs="FrankRuehl"/>
          <w:rtl/>
        </w:rPr>
        <w:t>–</w:t>
      </w:r>
      <w:r>
        <w:rPr>
          <w:rStyle w:val="default"/>
          <w:rFonts w:cs="FrankRuehl" w:hint="cs"/>
          <w:rtl/>
        </w:rPr>
        <w:t xml:space="preserve"> כפל הקנס האמור";</w:t>
      </w:r>
    </w:p>
    <w:p w:rsidR="00402F1C" w:rsidRDefault="00402F1C" w:rsidP="00402F1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פסקה (ב) </w:t>
      </w:r>
      <w:r>
        <w:rPr>
          <w:rStyle w:val="default"/>
          <w:rFonts w:cs="FrankRuehl"/>
          <w:rtl/>
        </w:rPr>
        <w:t>–</w:t>
      </w:r>
      <w:r>
        <w:rPr>
          <w:rStyle w:val="default"/>
          <w:rFonts w:cs="FrankRuehl" w:hint="cs"/>
          <w:rtl/>
        </w:rPr>
        <w:t xml:space="preserve"> תימחק;</w:t>
      </w:r>
    </w:p>
    <w:p w:rsidR="00402F1C" w:rsidRDefault="00402F1C" w:rsidP="00402F1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5 יבוא:</w:t>
      </w:r>
    </w:p>
    <w:p w:rsidR="00402F1C" w:rsidRDefault="00402F1C" w:rsidP="00EA257F">
      <w:pPr>
        <w:pStyle w:val="P00"/>
        <w:spacing w:before="72"/>
        <w:ind w:left="1021" w:right="1134"/>
        <w:rPr>
          <w:rStyle w:val="default"/>
          <w:rFonts w:cs="FrankRuehl" w:hint="cs"/>
          <w:rtl/>
        </w:rPr>
      </w:pPr>
      <w:r>
        <w:rPr>
          <w:rStyle w:val="default"/>
          <w:rFonts w:cs="FrankRuehl" w:hint="cs"/>
          <w:rtl/>
        </w:rPr>
        <w:t>"</w:t>
      </w:r>
      <w:r w:rsidRPr="00402F1C">
        <w:rPr>
          <w:rStyle w:val="default"/>
          <w:rFonts w:cs="Miriam" w:hint="cs"/>
          <w:sz w:val="18"/>
          <w:szCs w:val="18"/>
          <w:rtl/>
        </w:rPr>
        <w:t>חובות דיווח</w:t>
      </w:r>
    </w:p>
    <w:p w:rsidR="00402F1C" w:rsidRDefault="00402F1C" w:rsidP="00EA257F">
      <w:pPr>
        <w:pStyle w:val="P00"/>
        <w:spacing w:before="72"/>
        <w:ind w:left="1021" w:right="1134"/>
        <w:rPr>
          <w:rStyle w:val="default"/>
          <w:rFonts w:cs="FrankRuehl" w:hint="cs"/>
          <w:rtl/>
        </w:rPr>
      </w:pPr>
      <w:r>
        <w:rPr>
          <w:rStyle w:val="default"/>
          <w:rFonts w:cs="FrankRuehl" w:hint="cs"/>
          <w:rtl/>
        </w:rPr>
        <w:t>5א.</w:t>
      </w:r>
      <w:r>
        <w:rPr>
          <w:rStyle w:val="default"/>
          <w:rFonts w:cs="FrankRuehl" w:hint="cs"/>
          <w:rtl/>
        </w:rPr>
        <w:tab/>
        <w:t>(א)</w:t>
      </w:r>
      <w:r>
        <w:rPr>
          <w:rStyle w:val="default"/>
          <w:rFonts w:cs="FrankRuehl" w:hint="cs"/>
          <w:rtl/>
        </w:rPr>
        <w:tab/>
        <w:t>התבקש אדם לסחור במהלך עסקיו או במילוי תפקידו, והיה לאותו אדם חשד סביר כי הסחר הוא עם האויב, או סחר אדם והיה לו במועד ביצוע הסחר או בתוך שישה חודשים מהמועד האמור חשד סביר כאמור, ידווח על כך למשטרת ישראל.</w:t>
      </w:r>
    </w:p>
    <w:p w:rsidR="00402F1C" w:rsidRDefault="00402F1C" w:rsidP="00EA257F">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r>
      <w:r w:rsidR="00775DBF">
        <w:rPr>
          <w:rStyle w:val="default"/>
          <w:rFonts w:cs="FrankRuehl" w:hint="cs"/>
          <w:rtl/>
        </w:rPr>
        <w:t>דיווח לפי סעיף קטן (א) אינו גורע מחובת הדיווח לפי הוראות כל דין.</w:t>
      </w:r>
    </w:p>
    <w:p w:rsidR="00775DBF" w:rsidRDefault="00775DBF" w:rsidP="00EA257F">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דיווח כאמור בסעיף קטן (א) יכלול כל מידע הידוע למדווח והנוגע לעניין, ויימסר סמוך ככל האפשר, בנסיבות העניין, למועד שבו היה לאותו אדם חשד סביר להניח כאמור באותו סעיף קטן.</w:t>
      </w:r>
    </w:p>
    <w:p w:rsidR="00775DBF" w:rsidRDefault="00775DBF" w:rsidP="00EA257F">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 xml:space="preserve">דרכי הדיווח והמועדים לפי סעיף זה יהיו בהתאם לדרכי הדיווח והמועדים שנקבעו לפי סעיפים 6(ב) ו-7(ה) לחוק איסור הלבנת הון, התש"ס-2000 (בפקודה זו </w:t>
      </w:r>
      <w:r>
        <w:rPr>
          <w:rStyle w:val="default"/>
          <w:rFonts w:cs="FrankRuehl"/>
          <w:rtl/>
        </w:rPr>
        <w:t>–</w:t>
      </w:r>
      <w:r>
        <w:rPr>
          <w:rStyle w:val="default"/>
          <w:rFonts w:cs="FrankRuehl" w:hint="cs"/>
          <w:rtl/>
        </w:rPr>
        <w:t xml:space="preserve"> חוק איסור הלבנת הון), אלא אם כן קבעו אחרת השרים האמורים באותם סעיפים לאחר התייעצות כאמור באותם סעיפים.</w:t>
      </w:r>
    </w:p>
    <w:p w:rsidR="00775DBF" w:rsidRDefault="00775DBF" w:rsidP="00EA257F">
      <w:pPr>
        <w:pStyle w:val="P00"/>
        <w:spacing w:before="72"/>
        <w:ind w:left="1021" w:right="1134"/>
        <w:rPr>
          <w:rStyle w:val="default"/>
          <w:rFonts w:cs="FrankRuehl" w:hint="cs"/>
          <w:rtl/>
        </w:rPr>
      </w:pPr>
      <w:r>
        <w:rPr>
          <w:rStyle w:val="default"/>
          <w:rFonts w:cs="FrankRuehl" w:hint="cs"/>
          <w:rtl/>
        </w:rPr>
        <w:tab/>
        <w:t>(ה)</w:t>
      </w:r>
      <w:r>
        <w:rPr>
          <w:rStyle w:val="default"/>
          <w:rFonts w:cs="FrankRuehl" w:hint="cs"/>
          <w:rtl/>
        </w:rPr>
        <w:tab/>
        <w:t xml:space="preserve">לא מסר אדם דיווח לפי הוראות סעיף זה, דינו </w:t>
      </w:r>
      <w:r>
        <w:rPr>
          <w:rStyle w:val="default"/>
          <w:rFonts w:cs="FrankRuehl"/>
          <w:rtl/>
        </w:rPr>
        <w:t>–</w:t>
      </w:r>
      <w:r>
        <w:rPr>
          <w:rStyle w:val="default"/>
          <w:rFonts w:cs="FrankRuehl" w:hint="cs"/>
          <w:rtl/>
        </w:rPr>
        <w:t xml:space="preserve"> מאסר שנה או קנס כאמור בסעיף 61(א)(3) לחוק העונשין.</w:t>
      </w:r>
    </w:p>
    <w:p w:rsidR="00775DBF" w:rsidRPr="00A45F06" w:rsidRDefault="00775DBF" w:rsidP="00EA257F">
      <w:pPr>
        <w:pStyle w:val="P00"/>
        <w:spacing w:before="120"/>
        <w:ind w:left="1021" w:right="1134"/>
        <w:rPr>
          <w:rStyle w:val="default"/>
          <w:rFonts w:cs="Miriam" w:hint="cs"/>
          <w:sz w:val="18"/>
          <w:szCs w:val="18"/>
          <w:rtl/>
        </w:rPr>
      </w:pPr>
      <w:r w:rsidRPr="00A45F06">
        <w:rPr>
          <w:rStyle w:val="default"/>
          <w:rFonts w:cs="Miriam" w:hint="cs"/>
          <w:sz w:val="18"/>
          <w:szCs w:val="18"/>
          <w:rtl/>
        </w:rPr>
        <w:t>פטור מאחריות והגבלות על גילוי ודיווח</w:t>
      </w:r>
    </w:p>
    <w:p w:rsidR="00775DBF" w:rsidRDefault="00775DBF" w:rsidP="00EA257F">
      <w:pPr>
        <w:pStyle w:val="P00"/>
        <w:spacing w:before="72"/>
        <w:ind w:left="1021" w:right="1134"/>
        <w:rPr>
          <w:rStyle w:val="default"/>
          <w:rFonts w:cs="FrankRuehl" w:hint="cs"/>
          <w:rtl/>
        </w:rPr>
      </w:pPr>
      <w:r>
        <w:rPr>
          <w:rStyle w:val="default"/>
          <w:rFonts w:cs="FrankRuehl" w:hint="cs"/>
          <w:rtl/>
        </w:rPr>
        <w:t>5ב.</w:t>
      </w:r>
      <w:r>
        <w:rPr>
          <w:rStyle w:val="default"/>
          <w:rFonts w:cs="FrankRuehl" w:hint="cs"/>
          <w:rtl/>
        </w:rPr>
        <w:tab/>
        <w:t>(א)</w:t>
      </w:r>
      <w:r>
        <w:rPr>
          <w:rStyle w:val="default"/>
          <w:rFonts w:cs="FrankRuehl" w:hint="cs"/>
          <w:rtl/>
        </w:rPr>
        <w:tab/>
        <w:t>אי-עשיית סחר,</w:t>
      </w:r>
      <w:r w:rsidR="00A45F06">
        <w:rPr>
          <w:rStyle w:val="default"/>
          <w:rFonts w:cs="FrankRuehl" w:hint="cs"/>
          <w:rtl/>
        </w:rPr>
        <w:t xml:space="preserve"> מחדל אחר או מעשה, שנעשו בתום לב כדי להימנע מעבירה לפי פקודה זו, וכן דיווח או גילוי שנעשו בתום לב לצורך קיום הוראות פקודה זה, ופעולה בהתאם להנחיות משטרת ישראל, אין בהם הפרה של חובת סודיות ונאמנות או של חובה אחרת לפי כל דין או הסכם, ומי שעשה או שנמנע מעשייה כאמור, לא יישא באחריות פלילית, אזרחית או משמעתית בשל המעשה או המחדל; הוראות סעיף 24(ב) ו-(ג) לחוק איסור הלבנת הון יחולו לעניין מעשה או מחדל לפי סעיף קטן זה.</w:t>
      </w:r>
    </w:p>
    <w:p w:rsidR="00A45F06" w:rsidRDefault="00A45F06" w:rsidP="00EA257F">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סעיף 25 לחוק איסור הלבנת הון יחול לעניין גילוי ודיווח לפי הוראות פקודה זו, בשינויים המחויבים.</w:t>
      </w:r>
    </w:p>
    <w:p w:rsidR="00A45F06" w:rsidRPr="00A45F06" w:rsidRDefault="00A45F06" w:rsidP="00EA257F">
      <w:pPr>
        <w:pStyle w:val="P00"/>
        <w:spacing w:before="120"/>
        <w:ind w:left="1021" w:right="1134"/>
        <w:rPr>
          <w:rStyle w:val="default"/>
          <w:rFonts w:cs="Miriam" w:hint="cs"/>
          <w:sz w:val="18"/>
          <w:szCs w:val="18"/>
          <w:rtl/>
        </w:rPr>
      </w:pPr>
      <w:r w:rsidRPr="00A45F06">
        <w:rPr>
          <w:rStyle w:val="default"/>
          <w:rFonts w:cs="Miriam" w:hint="cs"/>
          <w:sz w:val="18"/>
          <w:szCs w:val="18"/>
          <w:rtl/>
        </w:rPr>
        <w:t>תחולת חוק איסור הלבנת הון</w:t>
      </w:r>
    </w:p>
    <w:p w:rsidR="00A45F06" w:rsidRDefault="00A45F06" w:rsidP="00EA257F">
      <w:pPr>
        <w:pStyle w:val="P00"/>
        <w:spacing w:before="72"/>
        <w:ind w:left="1021" w:right="1134"/>
        <w:rPr>
          <w:rStyle w:val="default"/>
          <w:rFonts w:cs="FrankRuehl" w:hint="cs"/>
          <w:rtl/>
        </w:rPr>
      </w:pPr>
      <w:r>
        <w:rPr>
          <w:rStyle w:val="default"/>
          <w:rFonts w:cs="FrankRuehl" w:hint="cs"/>
          <w:rtl/>
        </w:rPr>
        <w:t>5ג.</w:t>
      </w:r>
      <w:r>
        <w:rPr>
          <w:rStyle w:val="default"/>
          <w:rFonts w:cs="FrankRuehl" w:hint="cs"/>
          <w:rtl/>
        </w:rPr>
        <w:tab/>
        <w:t>(א)</w:t>
      </w:r>
      <w:r>
        <w:rPr>
          <w:rStyle w:val="default"/>
          <w:rFonts w:cs="FrankRuehl" w:hint="cs"/>
          <w:rtl/>
        </w:rPr>
        <w:tab/>
        <w:t>הסמכויות הנתונות לנגיד בנק ישראל ולשר להוציא צווים לשם אכיפתו של חוק איסור הלבנת הון, כאמור בסעיף 7 לחוק האמור, יהיו נתונות להם גם לשם אכיפת הוראות פקודה זו, וכן יהיה רשאי כל אחד מהם, בהסכמת שר המשפטים ובהתייעצות עם השר לביטחון הפנים, לקבוע בצו, לגבי תאגיד בנקאי או גוף, כאמור בסעיף 7 לחוק איסור הלבנת הון, הוראות בדבר בדיקת פרטי הזיהוי של צדדים לסחר אל מול פרטי הזיהוי של גורמים היכולים להיות מזוהים כאויבים.</w:t>
      </w:r>
    </w:p>
    <w:p w:rsidR="00A45F06" w:rsidRDefault="00A45F06" w:rsidP="00EA257F">
      <w:pPr>
        <w:pStyle w:val="P00"/>
        <w:spacing w:before="72"/>
        <w:ind w:left="1928" w:right="1134" w:hanging="907"/>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דיווחים שיתקבלו לפי סעיף זה ברשות לאיסור הלבנת הון ומימון טרור יישמרו במאגר המידע שהוקם לפי סעיף 28 לחוק איסור הלבנת הון; העברת מידע שהתקבל לפי סעיף זה או לצורך אכיפת הוראות פקודה זו ממאגר המידע, תיעשה לפי הוראות חוק איסור הלבנת הון;</w:t>
      </w:r>
    </w:p>
    <w:p w:rsidR="00A45F06" w:rsidRDefault="00A45F06" w:rsidP="00EA257F">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BA65EF">
        <w:rPr>
          <w:rStyle w:val="default"/>
          <w:rFonts w:cs="FrankRuehl" w:hint="cs"/>
          <w:rtl/>
        </w:rPr>
        <w:t xml:space="preserve">אדם שהגיע אליו מידע לפי פסקה (1), תוך כדי מילוי תפקידו או במהלך עבודתו, ישמרנו בסוד, לא יגלה או תו לאחר ולא יעשה בו כל שימוש, אלא לפי הוראות חוק איסור הלבנת הון או לפי צו בית משפט; מי שגילה מידע שהגיע אליו או עשה בו שימוש, בניגוד להוראות פסקה (1), דינו </w:t>
      </w:r>
      <w:r w:rsidR="00BA65EF">
        <w:rPr>
          <w:rStyle w:val="default"/>
          <w:rFonts w:cs="FrankRuehl"/>
          <w:rtl/>
        </w:rPr>
        <w:t>–</w:t>
      </w:r>
      <w:r w:rsidR="00BA65EF">
        <w:rPr>
          <w:rStyle w:val="default"/>
          <w:rFonts w:cs="FrankRuehl" w:hint="cs"/>
          <w:rtl/>
        </w:rPr>
        <w:t xml:space="preserve"> מאסר שלוש שנים או קנס כאמור בסעיף 61(א)(3) לחוק העונשין; הגורם ברשלנות לגילוי מידע לאחר, בניגוד להוראות פסקה (1), תוך הפרת הוראה מהוראות שנקבעו לאבטחת מידע לפי חוק איסור הלבנת הון, או תוך הפרת כלל או נוהל שקבע ראש הרשות לאיסור הלבנת הון ומימון טרור לפי הוראות כאמור, דינו </w:t>
      </w:r>
      <w:r w:rsidR="00BA65EF">
        <w:rPr>
          <w:rStyle w:val="default"/>
          <w:rFonts w:cs="FrankRuehl"/>
          <w:rtl/>
        </w:rPr>
        <w:t>–</w:t>
      </w:r>
      <w:r w:rsidR="00BA65EF">
        <w:rPr>
          <w:rStyle w:val="default"/>
          <w:rFonts w:cs="FrankRuehl" w:hint="cs"/>
          <w:rtl/>
        </w:rPr>
        <w:t xml:space="preserve"> מאסר שנה או קנס כאמור בסעיף 61(א)(2) לחוק העונשין.</w:t>
      </w:r>
    </w:p>
    <w:p w:rsidR="00BA65EF" w:rsidRDefault="00BA65EF" w:rsidP="00EA257F">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אחראי למילוי חובות בתאגיד בנקאי ובכל גוף המנוי בתוספת השלישית לחוק איסור הלבנת הון, שמונה לפי סעיף 8 לחוק האמור, יפעל גם לקיום החובות שיוטלו בצווים לפי סעיף קטן (א) על התאגיד או הגוף האמור, ולהדרכת העובדים לקיום החובות כאמור ולפיקוח על מילוין.</w:t>
      </w:r>
    </w:p>
    <w:p w:rsidR="00BA65EF" w:rsidRDefault="00BA65EF" w:rsidP="00EA257F">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המפקחים שמונו לפי סעיף 11יד לחוק איסור הלבנת הון, יפקחו גם על ביצוע הוראות צווים לפי סעיף קטן (א), שעניינן חובות תאגיד בנקאי וכל גוף המנוי בתוספת השלישית לחוק האמור, ולשם כך יהיו נתונות להם הסמכויות לפי החוק האמור ויחולו הוראות פרק ד'2 לחוק האמור.</w:t>
      </w:r>
    </w:p>
    <w:p w:rsidR="00BA65EF" w:rsidRDefault="00BA65EF" w:rsidP="00EA257F">
      <w:pPr>
        <w:pStyle w:val="P00"/>
        <w:spacing w:before="72"/>
        <w:ind w:left="1021" w:right="1134"/>
        <w:rPr>
          <w:rStyle w:val="default"/>
          <w:rFonts w:cs="FrankRuehl" w:hint="cs"/>
          <w:rtl/>
        </w:rPr>
      </w:pPr>
      <w:r>
        <w:rPr>
          <w:rStyle w:val="default"/>
          <w:rFonts w:cs="FrankRuehl" w:hint="cs"/>
          <w:rtl/>
        </w:rPr>
        <w:tab/>
        <w:t>(ה)</w:t>
      </w:r>
      <w:r>
        <w:rPr>
          <w:rStyle w:val="default"/>
          <w:rFonts w:cs="FrankRuehl" w:hint="cs"/>
          <w:rtl/>
        </w:rPr>
        <w:tab/>
      </w:r>
      <w:r w:rsidR="00363391">
        <w:rPr>
          <w:rStyle w:val="default"/>
          <w:rFonts w:cs="FrankRuehl" w:hint="cs"/>
          <w:rtl/>
        </w:rPr>
        <w:t>הוראות סעיף 14 לחוק איסור הלבנת הון הקובעות עיצום כספי על הפרת הוראות לפי החוק האמור, יחולו גם לעניין הפרת הוראות צווים לפי סעיף קטן (א); הסמכויות הנתונות לוועדה להטלת עיצום כספי שהוקמה לפי סעיף 13 לחוק איסור הלבנת הון, יהיו נתונות לה גם לגבי מי שהפר את הוראות הצווים האמורים ולעניין עיצום כספי יחולו ההוראות לפי פרק ה' לחוק האמור.</w:t>
      </w:r>
    </w:p>
    <w:p w:rsidR="00363391" w:rsidRDefault="00363391" w:rsidP="00EA257F">
      <w:pPr>
        <w:pStyle w:val="P00"/>
        <w:spacing w:before="72"/>
        <w:ind w:left="1021" w:right="1134"/>
        <w:rPr>
          <w:rStyle w:val="default"/>
          <w:rFonts w:cs="FrankRuehl" w:hint="cs"/>
          <w:rtl/>
        </w:rPr>
      </w:pPr>
      <w:r>
        <w:rPr>
          <w:rStyle w:val="default"/>
          <w:rFonts w:cs="FrankRuehl" w:hint="cs"/>
          <w:rtl/>
        </w:rPr>
        <w:tab/>
        <w:t>(ו)</w:t>
      </w:r>
      <w:r>
        <w:rPr>
          <w:rStyle w:val="default"/>
          <w:rFonts w:cs="FrankRuehl" w:hint="cs"/>
          <w:rtl/>
        </w:rPr>
        <w:tab/>
        <w:t>הוטל עיצום כספי לפי סעיף זה ושולם העיצום, לא יוגש כתב אישום בשל עבירה לפי סעיף 5א בשל אותו מעשה שבשלו הוטל העיצום הכספי.</w:t>
      </w:r>
    </w:p>
    <w:p w:rsidR="00363391" w:rsidRDefault="00363391" w:rsidP="00EA257F">
      <w:pPr>
        <w:pStyle w:val="P00"/>
        <w:spacing w:before="72"/>
        <w:ind w:left="1021" w:right="1134"/>
        <w:rPr>
          <w:rStyle w:val="default"/>
          <w:rFonts w:cs="FrankRuehl" w:hint="cs"/>
          <w:rtl/>
        </w:rPr>
      </w:pPr>
      <w:r>
        <w:rPr>
          <w:rStyle w:val="default"/>
          <w:rFonts w:cs="FrankRuehl" w:hint="cs"/>
          <w:rtl/>
        </w:rPr>
        <w:tab/>
        <w:t>(ז)</w:t>
      </w:r>
      <w:r>
        <w:rPr>
          <w:rStyle w:val="default"/>
          <w:rFonts w:cs="FrankRuehl" w:hint="cs"/>
          <w:rtl/>
        </w:rPr>
        <w:tab/>
        <w:t>על מעשה אחד המהווה הפרה של הוראות צו לפי סעיף קטן (א), לא יוטל יותר מעיצום כספי אחד, אף אם המעשה מהווה גם הפרה של צו לפי חוק איסור הלבנת הון.</w:t>
      </w:r>
      <w:r w:rsidR="00EA257F">
        <w:rPr>
          <w:rStyle w:val="default"/>
          <w:rFonts w:cs="FrankRuehl" w:hint="cs"/>
          <w:rtl/>
        </w:rPr>
        <w:t>".</w:t>
      </w:r>
    </w:p>
    <w:p w:rsidR="00301EEF" w:rsidRDefault="00301EEF" w:rsidP="00363391">
      <w:pPr>
        <w:pStyle w:val="P00"/>
        <w:spacing w:before="72"/>
        <w:ind w:left="0" w:right="1134"/>
        <w:rPr>
          <w:rStyle w:val="default"/>
          <w:rFonts w:cs="FrankRuehl" w:hint="cs"/>
          <w:rtl/>
        </w:rPr>
      </w:pPr>
      <w:bookmarkStart w:id="56" w:name="Seif40"/>
      <w:bookmarkEnd w:id="56"/>
      <w:r>
        <w:rPr>
          <w:lang w:val="he-IL"/>
        </w:rPr>
        <w:pict>
          <v:rect id="_x0000_s1091" style="position:absolute;left:0;text-align:left;margin-left:464.5pt;margin-top:8.05pt;width:75.05pt;height:24.15pt;z-index:251673600" o:allowincell="f" filled="f" stroked="f" strokecolor="lime" strokeweight=".25pt">
            <v:textbox style="mso-next-textbox:#_x0000_s1091" inset="0,0,0,0">
              <w:txbxContent>
                <w:p w:rsidR="00A45F06" w:rsidRDefault="00363391" w:rsidP="00301EEF">
                  <w:pPr>
                    <w:spacing w:line="160" w:lineRule="exact"/>
                    <w:jc w:val="lef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77</w:t>
                  </w:r>
                </w:p>
              </w:txbxContent>
            </v:textbox>
            <w10:anchorlock/>
          </v:rect>
        </w:pict>
      </w:r>
      <w:r>
        <w:rPr>
          <w:rStyle w:val="big-number"/>
          <w:rFonts w:cs="Miriam" w:hint="cs"/>
          <w:rtl/>
        </w:rPr>
        <w:t>4</w:t>
      </w:r>
      <w:r w:rsidR="00363391">
        <w:rPr>
          <w:rStyle w:val="big-number"/>
          <w:rFonts w:cs="Miriam" w:hint="cs"/>
          <w:rtl/>
        </w:rPr>
        <w:t>1</w:t>
      </w:r>
      <w:r w:rsidRPr="00301EEF">
        <w:rPr>
          <w:rStyle w:val="default"/>
          <w:rFonts w:cs="FrankRuehl"/>
          <w:rtl/>
        </w:rPr>
        <w:t>.</w:t>
      </w:r>
      <w:r w:rsidRPr="00301EEF">
        <w:rPr>
          <w:rStyle w:val="default"/>
          <w:rFonts w:cs="FrankRuehl"/>
          <w:rtl/>
        </w:rPr>
        <w:tab/>
      </w:r>
      <w:r w:rsidR="00363391">
        <w:rPr>
          <w:rStyle w:val="default"/>
          <w:rFonts w:cs="FrankRuehl" w:hint="cs"/>
          <w:rtl/>
        </w:rPr>
        <w:t xml:space="preserve">בחוק בתי משפט לעניינים מינהליים, התש"ס-2000, בתוספת הראשונה, פרט 34 </w:t>
      </w:r>
      <w:r w:rsidR="00363391">
        <w:rPr>
          <w:rStyle w:val="default"/>
          <w:rFonts w:cs="FrankRuehl"/>
          <w:rtl/>
        </w:rPr>
        <w:t>–</w:t>
      </w:r>
      <w:r w:rsidR="00363391">
        <w:rPr>
          <w:rStyle w:val="default"/>
          <w:rFonts w:cs="FrankRuehl" w:hint="cs"/>
          <w:rtl/>
        </w:rPr>
        <w:t xml:space="preserve"> יימחק.</w:t>
      </w:r>
    </w:p>
    <w:p w:rsidR="00363391" w:rsidRDefault="00363391" w:rsidP="00363391">
      <w:pPr>
        <w:pStyle w:val="P00"/>
        <w:spacing w:before="72"/>
        <w:ind w:left="0" w:right="1134"/>
        <w:rPr>
          <w:rStyle w:val="default"/>
          <w:rFonts w:cs="FrankRuehl" w:hint="cs"/>
          <w:rtl/>
        </w:rPr>
      </w:pPr>
    </w:p>
    <w:p w:rsidR="00301EEF" w:rsidRDefault="00301EEF" w:rsidP="00363391">
      <w:pPr>
        <w:pStyle w:val="P00"/>
        <w:spacing w:before="72"/>
        <w:ind w:left="0" w:right="1134"/>
        <w:rPr>
          <w:rStyle w:val="default"/>
          <w:rFonts w:cs="FrankRuehl" w:hint="cs"/>
          <w:rtl/>
        </w:rPr>
      </w:pPr>
      <w:bookmarkStart w:id="57" w:name="Seif41"/>
      <w:bookmarkEnd w:id="57"/>
      <w:r>
        <w:rPr>
          <w:lang w:val="he-IL"/>
        </w:rPr>
        <w:pict>
          <v:rect id="_x0000_s1092" style="position:absolute;left:0;text-align:left;margin-left:464.5pt;margin-top:8.05pt;width:75.05pt;height:16.75pt;z-index:251674624" o:allowincell="f" filled="f" stroked="f" strokecolor="lime" strokeweight=".25pt">
            <v:textbox style="mso-next-textbox:#_x0000_s1092" inset="0,0,0,0">
              <w:txbxContent>
                <w:p w:rsidR="00A45F06" w:rsidRDefault="00363391" w:rsidP="00301EEF">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363391">
        <w:rPr>
          <w:rStyle w:val="big-number"/>
          <w:rFonts w:cs="Miriam" w:hint="cs"/>
          <w:rtl/>
        </w:rPr>
        <w:t>2</w:t>
      </w:r>
      <w:r w:rsidRPr="00301EEF">
        <w:rPr>
          <w:rStyle w:val="default"/>
          <w:rFonts w:cs="FrankRuehl"/>
          <w:rtl/>
        </w:rPr>
        <w:t>.</w:t>
      </w:r>
      <w:r w:rsidRPr="00301EEF">
        <w:rPr>
          <w:rStyle w:val="default"/>
          <w:rFonts w:cs="FrankRuehl"/>
          <w:rtl/>
        </w:rPr>
        <w:tab/>
      </w:r>
      <w:r w:rsidR="00363391">
        <w:rPr>
          <w:rStyle w:val="default"/>
          <w:rFonts w:cs="FrankRuehl" w:hint="cs"/>
          <w:rtl/>
        </w:rPr>
        <w:t>תחילתו של חוק זה, למעט פרק ג' וסעיף 40, ביום תחילתן של תקנות לפי סעיף 37(א)(1).</w:t>
      </w:r>
    </w:p>
    <w:p w:rsidR="005F774E" w:rsidRDefault="005F774E">
      <w:pPr>
        <w:pStyle w:val="P00"/>
        <w:spacing w:before="72"/>
        <w:ind w:left="0" w:right="1134"/>
        <w:rPr>
          <w:rStyle w:val="default"/>
          <w:rFonts w:cs="FrankRuehl"/>
          <w:rtl/>
        </w:rPr>
      </w:pPr>
    </w:p>
    <w:p w:rsidR="0097292E" w:rsidRPr="0097292E" w:rsidRDefault="0097292E" w:rsidP="0097292E">
      <w:pPr>
        <w:pStyle w:val="medium2-header"/>
        <w:keepLines w:val="0"/>
        <w:spacing w:before="72"/>
        <w:ind w:left="0" w:right="1134"/>
        <w:rPr>
          <w:rFonts w:cs="FrankRuehl" w:hint="cs"/>
          <w:noProof/>
          <w:sz w:val="20"/>
          <w:rtl/>
        </w:rPr>
      </w:pPr>
      <w:bookmarkStart w:id="58" w:name="med5"/>
      <w:bookmarkEnd w:id="58"/>
      <w:r w:rsidRPr="0097292E">
        <w:rPr>
          <w:rFonts w:cs="FrankRuehl"/>
          <w:noProof/>
          <w:sz w:val="20"/>
        </w:rPr>
        <w:pict>
          <v:rect id="_x0000_s1108" style="position:absolute;left:0;text-align:left;margin-left:464.35pt;margin-top:7.1pt;width:75.05pt;height:15.35pt;z-index:251682816" o:allowincell="f" filled="f" stroked="f" strokecolor="lime" strokeweight=".25pt">
            <v:textbox style="mso-next-textbox:#_x0000_s1108" inset="0,0,0,0">
              <w:txbxContent>
                <w:p w:rsidR="0097292E" w:rsidRDefault="0097292E" w:rsidP="0097292E">
                  <w:pPr>
                    <w:spacing w:line="160" w:lineRule="exact"/>
                    <w:jc w:val="left"/>
                    <w:rPr>
                      <w:rFonts w:cs="Miriam" w:hint="cs"/>
                      <w:sz w:val="18"/>
                      <w:szCs w:val="18"/>
                      <w:rtl/>
                    </w:rPr>
                  </w:pPr>
                  <w:r>
                    <w:rPr>
                      <w:rFonts w:cs="Miriam" w:hint="cs"/>
                      <w:sz w:val="18"/>
                      <w:szCs w:val="18"/>
                      <w:rtl/>
                    </w:rPr>
                    <w:t>(תיקון מס' 1) תשע"ח-2018</w:t>
                  </w:r>
                </w:p>
              </w:txbxContent>
            </v:textbox>
            <w10:anchorlock/>
          </v:rect>
        </w:pict>
      </w:r>
      <w:r>
        <w:rPr>
          <w:rFonts w:cs="FrankRuehl" w:hint="cs"/>
          <w:noProof/>
          <w:sz w:val="20"/>
          <w:rtl/>
        </w:rPr>
        <w:t>תוספת</w:t>
      </w:r>
    </w:p>
    <w:p w:rsidR="00A70D85" w:rsidRPr="00904D1F" w:rsidRDefault="00363391" w:rsidP="00904D1F">
      <w:pPr>
        <w:pStyle w:val="P00"/>
        <w:spacing w:before="72"/>
        <w:ind w:left="0" w:right="1134"/>
        <w:jc w:val="center"/>
        <w:rPr>
          <w:rStyle w:val="default"/>
          <w:rFonts w:cs="FrankRuehl" w:hint="cs"/>
          <w:sz w:val="24"/>
          <w:szCs w:val="24"/>
          <w:rtl/>
        </w:rPr>
      </w:pPr>
      <w:r w:rsidRPr="00904D1F">
        <w:rPr>
          <w:rStyle w:val="default"/>
          <w:rFonts w:cs="FrankRuehl" w:hint="cs"/>
          <w:sz w:val="24"/>
          <w:szCs w:val="24"/>
          <w:rtl/>
        </w:rPr>
        <w:t>(</w:t>
      </w:r>
      <w:r w:rsidR="0097292E">
        <w:rPr>
          <w:rStyle w:val="default"/>
          <w:rFonts w:cs="FrankRuehl" w:hint="cs"/>
          <w:sz w:val="24"/>
          <w:szCs w:val="24"/>
          <w:rtl/>
        </w:rPr>
        <w:t>נמחקה</w:t>
      </w:r>
      <w:r w:rsidR="00904D1F" w:rsidRPr="00904D1F">
        <w:rPr>
          <w:rStyle w:val="default"/>
          <w:rFonts w:cs="FrankRuehl" w:hint="cs"/>
          <w:sz w:val="24"/>
          <w:szCs w:val="24"/>
          <w:rtl/>
        </w:rPr>
        <w:t>)</w:t>
      </w:r>
    </w:p>
    <w:p w:rsidR="0097292E" w:rsidRPr="0097292E" w:rsidRDefault="0097292E" w:rsidP="0097292E">
      <w:pPr>
        <w:pStyle w:val="P00"/>
        <w:spacing w:before="0"/>
        <w:ind w:left="0" w:right="1134"/>
        <w:rPr>
          <w:rStyle w:val="default"/>
          <w:rFonts w:ascii="FrankRuehl" w:hAnsi="FrankRuehl" w:cs="FrankRuehl"/>
          <w:vanish/>
          <w:color w:val="FF0000"/>
          <w:sz w:val="20"/>
          <w:szCs w:val="20"/>
          <w:shd w:val="clear" w:color="auto" w:fill="FFFF99"/>
          <w:rtl/>
        </w:rPr>
      </w:pPr>
      <w:bookmarkStart w:id="59" w:name="Rov59"/>
      <w:r w:rsidRPr="0097292E">
        <w:rPr>
          <w:rStyle w:val="default"/>
          <w:rFonts w:ascii="FrankRuehl" w:hAnsi="FrankRuehl" w:cs="FrankRuehl"/>
          <w:vanish/>
          <w:color w:val="FF0000"/>
          <w:sz w:val="20"/>
          <w:szCs w:val="20"/>
          <w:shd w:val="clear" w:color="auto" w:fill="FFFF99"/>
          <w:rtl/>
        </w:rPr>
        <w:t>מיום 11.3.2018</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b/>
          <w:bCs/>
          <w:vanish/>
          <w:sz w:val="20"/>
          <w:szCs w:val="20"/>
          <w:shd w:val="clear" w:color="auto" w:fill="FFFF99"/>
          <w:rtl/>
        </w:rPr>
        <w:t>תיקון מס' 1</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hyperlink r:id="rId18" w:history="1">
        <w:r w:rsidRPr="0097292E">
          <w:rPr>
            <w:rStyle w:val="Hyperlink"/>
            <w:rFonts w:ascii="FrankRuehl" w:hAnsi="FrankRuehl" w:cs="FrankRuehl"/>
            <w:vanish/>
            <w:szCs w:val="20"/>
            <w:shd w:val="clear" w:color="auto" w:fill="FFFF99"/>
            <w:rtl/>
          </w:rPr>
          <w:t>ס"ח תשע"ח מס' 2699</w:t>
        </w:r>
      </w:hyperlink>
      <w:r w:rsidRPr="0097292E">
        <w:rPr>
          <w:rStyle w:val="default"/>
          <w:rFonts w:ascii="FrankRuehl" w:hAnsi="FrankRuehl" w:cs="FrankRuehl"/>
          <w:vanish/>
          <w:sz w:val="20"/>
          <w:szCs w:val="20"/>
          <w:shd w:val="clear" w:color="auto" w:fill="FFFF99"/>
          <w:rtl/>
        </w:rPr>
        <w:t xml:space="preserve"> מיום 11.3.2018 עמ' </w:t>
      </w:r>
      <w:r w:rsidRPr="0097292E">
        <w:rPr>
          <w:rStyle w:val="default"/>
          <w:rFonts w:ascii="FrankRuehl" w:hAnsi="FrankRuehl" w:cs="FrankRuehl" w:hint="cs"/>
          <w:vanish/>
          <w:sz w:val="20"/>
          <w:szCs w:val="20"/>
          <w:shd w:val="clear" w:color="auto" w:fill="FFFF99"/>
          <w:rtl/>
        </w:rPr>
        <w:t>240</w:t>
      </w:r>
      <w:r w:rsidRPr="0097292E">
        <w:rPr>
          <w:rStyle w:val="default"/>
          <w:rFonts w:ascii="FrankRuehl" w:hAnsi="FrankRuehl" w:cs="FrankRuehl"/>
          <w:vanish/>
          <w:sz w:val="20"/>
          <w:szCs w:val="20"/>
          <w:shd w:val="clear" w:color="auto" w:fill="FFFF99"/>
          <w:rtl/>
        </w:rPr>
        <w:t xml:space="preserve"> (</w:t>
      </w:r>
      <w:hyperlink r:id="rId19" w:history="1">
        <w:r w:rsidRPr="0097292E">
          <w:rPr>
            <w:rStyle w:val="Hyperlink"/>
            <w:rFonts w:ascii="FrankRuehl" w:hAnsi="FrankRuehl" w:cs="FrankRuehl"/>
            <w:vanish/>
            <w:szCs w:val="20"/>
            <w:shd w:val="clear" w:color="auto" w:fill="FFFF99"/>
            <w:rtl/>
          </w:rPr>
          <w:t>ה"ח 1186</w:t>
        </w:r>
      </w:hyperlink>
      <w:r w:rsidRPr="0097292E">
        <w:rPr>
          <w:rStyle w:val="default"/>
          <w:rFonts w:ascii="FrankRuehl" w:hAnsi="FrankRuehl" w:cs="FrankRuehl"/>
          <w:vanish/>
          <w:sz w:val="20"/>
          <w:szCs w:val="20"/>
          <w:shd w:val="clear" w:color="auto" w:fill="FFFF99"/>
          <w:rtl/>
        </w:rPr>
        <w:t>)</w:t>
      </w:r>
    </w:p>
    <w:p w:rsidR="0097292E" w:rsidRPr="0097292E" w:rsidRDefault="0097292E" w:rsidP="0097292E">
      <w:pPr>
        <w:pStyle w:val="P00"/>
        <w:spacing w:before="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hint="cs"/>
          <w:b/>
          <w:bCs/>
          <w:vanish/>
          <w:sz w:val="20"/>
          <w:szCs w:val="20"/>
          <w:shd w:val="clear" w:color="auto" w:fill="FFFF99"/>
          <w:rtl/>
        </w:rPr>
        <w:t>מחיקת התוספת</w:t>
      </w:r>
    </w:p>
    <w:p w:rsidR="0097292E" w:rsidRPr="0097292E" w:rsidRDefault="0097292E" w:rsidP="0097292E">
      <w:pPr>
        <w:pStyle w:val="P00"/>
        <w:ind w:left="0" w:right="1134"/>
        <w:rPr>
          <w:rStyle w:val="default"/>
          <w:rFonts w:ascii="FrankRuehl" w:hAnsi="FrankRuehl" w:cs="FrankRuehl"/>
          <w:vanish/>
          <w:sz w:val="20"/>
          <w:szCs w:val="20"/>
          <w:shd w:val="clear" w:color="auto" w:fill="FFFF99"/>
          <w:rtl/>
        </w:rPr>
      </w:pPr>
      <w:r w:rsidRPr="0097292E">
        <w:rPr>
          <w:rStyle w:val="default"/>
          <w:rFonts w:ascii="FrankRuehl" w:hAnsi="FrankRuehl" w:cs="FrankRuehl" w:hint="cs"/>
          <w:vanish/>
          <w:sz w:val="20"/>
          <w:szCs w:val="20"/>
          <w:shd w:val="clear" w:color="auto" w:fill="FFFF99"/>
          <w:rtl/>
        </w:rPr>
        <w:t>הנוסח הקודם:</w:t>
      </w:r>
    </w:p>
    <w:p w:rsidR="0097292E" w:rsidRPr="0097292E" w:rsidRDefault="0097292E" w:rsidP="0097292E">
      <w:pPr>
        <w:pStyle w:val="P00"/>
        <w:spacing w:before="0"/>
        <w:ind w:left="0" w:right="1134"/>
        <w:jc w:val="center"/>
        <w:rPr>
          <w:rStyle w:val="default"/>
          <w:rFonts w:cs="FrankRuehl" w:hint="cs"/>
          <w:strike/>
          <w:vanish/>
          <w:sz w:val="22"/>
          <w:szCs w:val="22"/>
          <w:shd w:val="clear" w:color="auto" w:fill="FFFF99"/>
          <w:rtl/>
        </w:rPr>
      </w:pPr>
      <w:r w:rsidRPr="0097292E">
        <w:rPr>
          <w:rStyle w:val="default"/>
          <w:rFonts w:cs="FrankRuehl" w:hint="cs"/>
          <w:strike/>
          <w:vanish/>
          <w:sz w:val="22"/>
          <w:szCs w:val="22"/>
          <w:shd w:val="clear" w:color="auto" w:fill="FFFF99"/>
          <w:rtl/>
        </w:rPr>
        <w:t>תוספת</w:t>
      </w:r>
    </w:p>
    <w:p w:rsidR="0097292E" w:rsidRPr="0097292E" w:rsidRDefault="0097292E" w:rsidP="0097292E">
      <w:pPr>
        <w:pStyle w:val="P00"/>
        <w:spacing w:before="0"/>
        <w:ind w:left="0" w:right="1134"/>
        <w:jc w:val="center"/>
        <w:rPr>
          <w:rStyle w:val="default"/>
          <w:rFonts w:cs="FrankRuehl" w:hint="cs"/>
          <w:strike/>
          <w:vanish/>
          <w:sz w:val="22"/>
          <w:szCs w:val="22"/>
          <w:shd w:val="clear" w:color="auto" w:fill="FFFF99"/>
          <w:rtl/>
        </w:rPr>
      </w:pPr>
      <w:r w:rsidRPr="0097292E">
        <w:rPr>
          <w:rStyle w:val="default"/>
          <w:rFonts w:cs="FrankRuehl" w:hint="cs"/>
          <w:strike/>
          <w:vanish/>
          <w:sz w:val="22"/>
          <w:szCs w:val="22"/>
          <w:shd w:val="clear" w:color="auto" w:fill="FFFF99"/>
          <w:rtl/>
        </w:rPr>
        <w:t>(סעיפים 3(א)(2) ו-9(א)(2))</w:t>
      </w:r>
    </w:p>
    <w:p w:rsidR="0097292E" w:rsidRPr="0097292E" w:rsidRDefault="0097292E" w:rsidP="0097292E">
      <w:pPr>
        <w:pStyle w:val="P00"/>
        <w:spacing w:before="0"/>
        <w:ind w:left="0" w:right="1134"/>
        <w:jc w:val="center"/>
        <w:rPr>
          <w:rStyle w:val="default"/>
          <w:rFonts w:cs="FrankRuehl" w:hint="cs"/>
          <w:strike/>
          <w:vanish/>
          <w:sz w:val="22"/>
          <w:szCs w:val="22"/>
          <w:shd w:val="clear" w:color="auto" w:fill="FFFF99"/>
          <w:rtl/>
        </w:rPr>
      </w:pPr>
      <w:r w:rsidRPr="0097292E">
        <w:rPr>
          <w:rStyle w:val="default"/>
          <w:rFonts w:cs="FrankRuehl" w:hint="cs"/>
          <w:strike/>
          <w:vanish/>
          <w:sz w:val="22"/>
          <w:szCs w:val="22"/>
          <w:shd w:val="clear" w:color="auto" w:fill="FFFF99"/>
          <w:rtl/>
        </w:rPr>
        <w:t>החלטות מועצת הביטחון של האומות המאוחדות</w:t>
      </w:r>
    </w:p>
    <w:p w:rsidR="0097292E" w:rsidRPr="0097292E" w:rsidRDefault="0097292E" w:rsidP="0097292E">
      <w:pPr>
        <w:pStyle w:val="P00"/>
        <w:spacing w:before="0"/>
        <w:ind w:left="0" w:right="1134"/>
        <w:rPr>
          <w:rStyle w:val="default"/>
          <w:rFonts w:cs="FrankRuehl" w:hint="cs"/>
          <w:strike/>
          <w:vanish/>
          <w:sz w:val="18"/>
          <w:szCs w:val="22"/>
          <w:shd w:val="clear" w:color="auto" w:fill="FFFF99"/>
          <w:rtl/>
        </w:rPr>
      </w:pPr>
      <w:r w:rsidRPr="0097292E">
        <w:rPr>
          <w:rStyle w:val="default"/>
          <w:rFonts w:cs="FrankRuehl" w:hint="cs"/>
          <w:strike/>
          <w:vanish/>
          <w:sz w:val="18"/>
          <w:szCs w:val="22"/>
          <w:shd w:val="clear" w:color="auto" w:fill="FFFF99"/>
          <w:rtl/>
        </w:rPr>
        <w:t>1.</w:t>
      </w:r>
      <w:r w:rsidRPr="0097292E">
        <w:rPr>
          <w:rStyle w:val="default"/>
          <w:rFonts w:cs="FrankRuehl" w:hint="cs"/>
          <w:strike/>
          <w:vanish/>
          <w:sz w:val="18"/>
          <w:szCs w:val="22"/>
          <w:shd w:val="clear" w:color="auto" w:fill="FFFF99"/>
          <w:rtl/>
        </w:rPr>
        <w:tab/>
      </w:r>
      <w:r w:rsidRPr="0097292E">
        <w:rPr>
          <w:rStyle w:val="default"/>
          <w:rFonts w:cs="FrankRuehl"/>
          <w:strike/>
          <w:vanish/>
          <w:sz w:val="18"/>
          <w:szCs w:val="22"/>
          <w:shd w:val="clear" w:color="auto" w:fill="FFFF99"/>
        </w:rPr>
        <w:t>Resolution 1737 (2006) – Non-proliferation</w:t>
      </w:r>
    </w:p>
    <w:p w:rsidR="0097292E" w:rsidRPr="0097292E" w:rsidRDefault="0097292E" w:rsidP="0097292E">
      <w:pPr>
        <w:pStyle w:val="P00"/>
        <w:spacing w:before="0"/>
        <w:ind w:left="0" w:right="1134"/>
        <w:rPr>
          <w:rStyle w:val="default"/>
          <w:rFonts w:cs="FrankRuehl" w:hint="cs"/>
          <w:strike/>
          <w:vanish/>
          <w:sz w:val="18"/>
          <w:szCs w:val="22"/>
          <w:shd w:val="clear" w:color="auto" w:fill="FFFF99"/>
          <w:rtl/>
        </w:rPr>
      </w:pPr>
      <w:r w:rsidRPr="0097292E">
        <w:rPr>
          <w:rStyle w:val="default"/>
          <w:rFonts w:cs="FrankRuehl" w:hint="cs"/>
          <w:strike/>
          <w:vanish/>
          <w:sz w:val="18"/>
          <w:szCs w:val="22"/>
          <w:shd w:val="clear" w:color="auto" w:fill="FFFF99"/>
          <w:rtl/>
        </w:rPr>
        <w:t>2.</w:t>
      </w:r>
      <w:r w:rsidRPr="0097292E">
        <w:rPr>
          <w:rStyle w:val="default"/>
          <w:rFonts w:cs="FrankRuehl" w:hint="cs"/>
          <w:strike/>
          <w:vanish/>
          <w:sz w:val="18"/>
          <w:szCs w:val="22"/>
          <w:shd w:val="clear" w:color="auto" w:fill="FFFF99"/>
          <w:rtl/>
        </w:rPr>
        <w:tab/>
      </w:r>
      <w:r w:rsidRPr="0097292E">
        <w:rPr>
          <w:rStyle w:val="default"/>
          <w:rFonts w:cs="FrankRuehl"/>
          <w:strike/>
          <w:vanish/>
          <w:sz w:val="18"/>
          <w:szCs w:val="22"/>
          <w:shd w:val="clear" w:color="auto" w:fill="FFFF99"/>
        </w:rPr>
        <w:t>Resolution 1747 (2007) – Non-proliferation</w:t>
      </w:r>
    </w:p>
    <w:p w:rsidR="0097292E" w:rsidRPr="0097292E" w:rsidRDefault="0097292E" w:rsidP="0097292E">
      <w:pPr>
        <w:pStyle w:val="P00"/>
        <w:spacing w:before="0"/>
        <w:ind w:left="0" w:right="1134"/>
        <w:rPr>
          <w:rStyle w:val="default"/>
          <w:rFonts w:cs="FrankRuehl" w:hint="cs"/>
          <w:strike/>
          <w:vanish/>
          <w:sz w:val="18"/>
          <w:szCs w:val="22"/>
          <w:shd w:val="clear" w:color="auto" w:fill="FFFF99"/>
          <w:rtl/>
        </w:rPr>
      </w:pPr>
      <w:r w:rsidRPr="0097292E">
        <w:rPr>
          <w:rStyle w:val="default"/>
          <w:rFonts w:cs="FrankRuehl"/>
          <w:strike/>
          <w:vanish/>
          <w:sz w:val="18"/>
          <w:szCs w:val="22"/>
          <w:shd w:val="clear" w:color="auto" w:fill="FFFF99"/>
        </w:rPr>
        <w:t>3</w:t>
      </w:r>
      <w:r w:rsidRPr="0097292E">
        <w:rPr>
          <w:rStyle w:val="default"/>
          <w:rFonts w:cs="FrankRuehl" w:hint="cs"/>
          <w:strike/>
          <w:vanish/>
          <w:sz w:val="18"/>
          <w:szCs w:val="22"/>
          <w:shd w:val="clear" w:color="auto" w:fill="FFFF99"/>
          <w:rtl/>
        </w:rPr>
        <w:t>.</w:t>
      </w:r>
      <w:r w:rsidRPr="0097292E">
        <w:rPr>
          <w:rStyle w:val="default"/>
          <w:rFonts w:cs="FrankRuehl" w:hint="cs"/>
          <w:strike/>
          <w:vanish/>
          <w:sz w:val="18"/>
          <w:szCs w:val="22"/>
          <w:shd w:val="clear" w:color="auto" w:fill="FFFF99"/>
          <w:rtl/>
        </w:rPr>
        <w:tab/>
      </w:r>
      <w:r w:rsidRPr="0097292E">
        <w:rPr>
          <w:rStyle w:val="default"/>
          <w:rFonts w:cs="FrankRuehl"/>
          <w:strike/>
          <w:vanish/>
          <w:sz w:val="18"/>
          <w:szCs w:val="22"/>
          <w:shd w:val="clear" w:color="auto" w:fill="FFFF99"/>
        </w:rPr>
        <w:t>Resolution 1803 (2008) – Non-proliferation</w:t>
      </w:r>
    </w:p>
    <w:p w:rsidR="0097292E" w:rsidRPr="0097292E" w:rsidRDefault="0097292E" w:rsidP="0097292E">
      <w:pPr>
        <w:pStyle w:val="P00"/>
        <w:spacing w:before="0"/>
        <w:ind w:left="0" w:right="1134"/>
        <w:rPr>
          <w:rStyle w:val="default"/>
          <w:rFonts w:cs="FrankRuehl" w:hint="cs"/>
          <w:sz w:val="2"/>
          <w:szCs w:val="2"/>
          <w:rtl/>
        </w:rPr>
      </w:pPr>
      <w:r w:rsidRPr="0097292E">
        <w:rPr>
          <w:rStyle w:val="default"/>
          <w:rFonts w:cs="FrankRuehl"/>
          <w:strike/>
          <w:vanish/>
          <w:sz w:val="18"/>
          <w:szCs w:val="22"/>
          <w:shd w:val="clear" w:color="auto" w:fill="FFFF99"/>
        </w:rPr>
        <w:t>4</w:t>
      </w:r>
      <w:r w:rsidRPr="0097292E">
        <w:rPr>
          <w:rStyle w:val="default"/>
          <w:rFonts w:cs="FrankRuehl" w:hint="cs"/>
          <w:strike/>
          <w:vanish/>
          <w:sz w:val="18"/>
          <w:szCs w:val="22"/>
          <w:shd w:val="clear" w:color="auto" w:fill="FFFF99"/>
          <w:rtl/>
        </w:rPr>
        <w:t>.</w:t>
      </w:r>
      <w:r w:rsidRPr="0097292E">
        <w:rPr>
          <w:rStyle w:val="default"/>
          <w:rFonts w:cs="FrankRuehl" w:hint="cs"/>
          <w:strike/>
          <w:vanish/>
          <w:sz w:val="18"/>
          <w:szCs w:val="22"/>
          <w:shd w:val="clear" w:color="auto" w:fill="FFFF99"/>
          <w:rtl/>
        </w:rPr>
        <w:tab/>
      </w:r>
      <w:r w:rsidRPr="0097292E">
        <w:rPr>
          <w:rStyle w:val="default"/>
          <w:rFonts w:cs="FrankRuehl"/>
          <w:strike/>
          <w:vanish/>
          <w:sz w:val="18"/>
          <w:szCs w:val="22"/>
          <w:shd w:val="clear" w:color="auto" w:fill="FFFF99"/>
        </w:rPr>
        <w:t>Resolution 1929 (2010) – Non-proliferation</w:t>
      </w:r>
      <w:bookmarkEnd w:id="59"/>
    </w:p>
    <w:p w:rsidR="00A70D85" w:rsidRDefault="00A70D85">
      <w:pPr>
        <w:pStyle w:val="P00"/>
        <w:spacing w:before="72"/>
        <w:ind w:left="0" w:right="1134"/>
        <w:rPr>
          <w:rStyle w:val="default"/>
          <w:rFonts w:cs="FrankRuehl" w:hint="cs"/>
          <w:rtl/>
        </w:rPr>
      </w:pPr>
    </w:p>
    <w:p w:rsidR="00DD06B1" w:rsidRDefault="00DD06B1">
      <w:pPr>
        <w:pStyle w:val="P00"/>
        <w:spacing w:before="72"/>
        <w:ind w:left="0" w:right="1134"/>
        <w:rPr>
          <w:rStyle w:val="default"/>
          <w:rFonts w:cs="FrankRuehl"/>
          <w:rtl/>
        </w:rPr>
      </w:pPr>
    </w:p>
    <w:p w:rsidR="00303E68" w:rsidRDefault="00303E68" w:rsidP="00303E68">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t>יובל שטייניץ</w:t>
      </w:r>
    </w:p>
    <w:p w:rsidR="00303E68" w:rsidRDefault="00303E68" w:rsidP="00303E6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sz w:val="22"/>
          <w:rtl/>
        </w:rPr>
        <w:tab/>
      </w:r>
      <w:r>
        <w:rPr>
          <w:rFonts w:cs="FrankRuehl" w:hint="cs"/>
          <w:sz w:val="22"/>
          <w:rtl/>
        </w:rPr>
        <w:t>ראש הממשלה</w:t>
      </w:r>
      <w:r>
        <w:rPr>
          <w:rFonts w:cs="FrankRuehl" w:hint="cs"/>
          <w:sz w:val="22"/>
          <w:rtl/>
        </w:rPr>
        <w:tab/>
      </w:r>
      <w:r>
        <w:rPr>
          <w:rFonts w:cs="FrankRuehl" w:hint="cs"/>
          <w:sz w:val="22"/>
          <w:rtl/>
        </w:rPr>
        <w:tab/>
        <w:t>שר האוצר</w:t>
      </w:r>
    </w:p>
    <w:p w:rsidR="00DD06B1" w:rsidRDefault="00303E68" w:rsidP="00303E68">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t>שמעון פרס</w:t>
      </w:r>
      <w:r w:rsidR="00A110D6">
        <w:rPr>
          <w:rStyle w:val="default"/>
          <w:rFonts w:cs="FrankRuehl" w:hint="cs"/>
          <w:rtl/>
        </w:rPr>
        <w:tab/>
      </w:r>
      <w:r>
        <w:rPr>
          <w:rStyle w:val="default"/>
          <w:rFonts w:cs="FrankRuehl" w:hint="cs"/>
          <w:rtl/>
        </w:rPr>
        <w:tab/>
        <w:t>ראובן ריבלין</w:t>
      </w:r>
    </w:p>
    <w:p w:rsidR="00DD06B1" w:rsidRDefault="00DD06B1" w:rsidP="00303E6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sidR="00303E68">
        <w:rPr>
          <w:rFonts w:cs="FrankRuehl" w:hint="cs"/>
          <w:sz w:val="22"/>
          <w:rtl/>
        </w:rPr>
        <w:t>נשיא המדינה</w:t>
      </w:r>
      <w:r w:rsidR="00A110D6">
        <w:rPr>
          <w:rFonts w:cs="FrankRuehl" w:hint="cs"/>
          <w:sz w:val="22"/>
          <w:rtl/>
        </w:rPr>
        <w:tab/>
      </w:r>
      <w:r w:rsidR="00303E68">
        <w:rPr>
          <w:rFonts w:cs="FrankRuehl" w:hint="cs"/>
          <w:sz w:val="22"/>
          <w:rtl/>
        </w:rPr>
        <w:tab/>
        <w:t>יושב ראש הכנסת</w:t>
      </w:r>
    </w:p>
    <w:p w:rsidR="00A70D85" w:rsidRDefault="00A70D85">
      <w:pPr>
        <w:pStyle w:val="P00"/>
        <w:spacing w:before="72"/>
        <w:ind w:left="0" w:right="1134"/>
        <w:rPr>
          <w:rStyle w:val="default"/>
          <w:rFonts w:cs="FrankRuehl" w:hint="cs"/>
          <w:rtl/>
        </w:rPr>
      </w:pPr>
    </w:p>
    <w:p w:rsidR="00DD06B1" w:rsidRDefault="00DD06B1">
      <w:pPr>
        <w:pStyle w:val="P00"/>
        <w:spacing w:before="72"/>
        <w:ind w:left="0" w:right="1134"/>
        <w:rPr>
          <w:rStyle w:val="default"/>
          <w:rFonts w:cs="FrankRuehl"/>
          <w:rtl/>
        </w:rPr>
      </w:pPr>
    </w:p>
    <w:p w:rsidR="00DD06B1" w:rsidRDefault="00DD06B1">
      <w:pPr>
        <w:pStyle w:val="P00"/>
        <w:spacing w:before="72"/>
        <w:ind w:left="0" w:right="1134"/>
        <w:rPr>
          <w:rStyle w:val="default"/>
          <w:rFonts w:cs="FrankRuehl"/>
          <w:rtl/>
        </w:rPr>
      </w:pPr>
      <w:bookmarkStart w:id="60" w:name="LawPartEnd"/>
    </w:p>
    <w:bookmarkEnd w:id="60"/>
    <w:p w:rsidR="00513123" w:rsidRDefault="00513123">
      <w:pPr>
        <w:pStyle w:val="P00"/>
        <w:spacing w:before="72"/>
        <w:ind w:left="0" w:right="1134"/>
        <w:rPr>
          <w:rStyle w:val="default"/>
          <w:rFonts w:cs="FrankRuehl"/>
          <w:rtl/>
        </w:rPr>
      </w:pPr>
    </w:p>
    <w:p w:rsidR="005A47BD" w:rsidRDefault="005A47BD" w:rsidP="005A47BD">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rsidR="00982D80" w:rsidRDefault="00982D80" w:rsidP="005A47BD">
      <w:pPr>
        <w:pStyle w:val="P00"/>
        <w:spacing w:before="72"/>
        <w:ind w:left="0" w:right="1134"/>
        <w:jc w:val="center"/>
        <w:rPr>
          <w:rStyle w:val="default"/>
          <w:rFonts w:cs="David"/>
          <w:color w:val="0000FF"/>
          <w:szCs w:val="24"/>
          <w:u w:val="single"/>
          <w:rtl/>
        </w:rPr>
      </w:pPr>
    </w:p>
    <w:p w:rsidR="00982D80" w:rsidRDefault="00982D80" w:rsidP="005A47BD">
      <w:pPr>
        <w:pStyle w:val="P00"/>
        <w:spacing w:before="72"/>
        <w:ind w:left="0" w:right="1134"/>
        <w:jc w:val="center"/>
        <w:rPr>
          <w:rStyle w:val="default"/>
          <w:rFonts w:cs="David"/>
          <w:color w:val="0000FF"/>
          <w:szCs w:val="24"/>
          <w:u w:val="single"/>
          <w:rtl/>
        </w:rPr>
      </w:pPr>
    </w:p>
    <w:p w:rsidR="00982D80" w:rsidRDefault="00982D80" w:rsidP="00982D80">
      <w:pPr>
        <w:pStyle w:val="P00"/>
        <w:spacing w:before="72"/>
        <w:ind w:left="0" w:right="1134"/>
        <w:jc w:val="center"/>
        <w:rPr>
          <w:rStyle w:val="default"/>
          <w:rFonts w:cs="David"/>
          <w:color w:val="0000FF"/>
          <w:szCs w:val="24"/>
          <w:u w:val="single"/>
          <w:rtl/>
        </w:rPr>
      </w:pPr>
      <w:hyperlink r:id="rId21" w:history="1">
        <w:r>
          <w:rPr>
            <w:rStyle w:val="default"/>
            <w:rFonts w:cs="David"/>
            <w:color w:val="0000FF"/>
            <w:szCs w:val="24"/>
            <w:u w:val="single"/>
            <w:rtl/>
          </w:rPr>
          <w:t>הודעה למנויים על עריכה ושינויים במסמכי פסיקה, חקיקה ועוד באתר נבו - הקש כאן</w:t>
        </w:r>
      </w:hyperlink>
    </w:p>
    <w:p w:rsidR="00E76CE1" w:rsidRPr="00982D80" w:rsidRDefault="00E76CE1" w:rsidP="00982D80">
      <w:pPr>
        <w:pStyle w:val="P00"/>
        <w:spacing w:before="72"/>
        <w:ind w:left="0" w:right="1134"/>
        <w:jc w:val="center"/>
        <w:rPr>
          <w:rStyle w:val="default"/>
          <w:rFonts w:cs="David"/>
          <w:color w:val="0000FF"/>
          <w:szCs w:val="24"/>
          <w:u w:val="single"/>
          <w:rtl/>
        </w:rPr>
      </w:pPr>
    </w:p>
    <w:sectPr w:rsidR="00E76CE1" w:rsidRPr="00982D80">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F05" w:rsidRDefault="00817F05">
      <w:r>
        <w:separator/>
      </w:r>
    </w:p>
  </w:endnote>
  <w:endnote w:type="continuationSeparator" w:id="0">
    <w:p w:rsidR="00817F05" w:rsidRDefault="0081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5F06" w:rsidRDefault="00A45F0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45F06" w:rsidRDefault="00A45F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45F06" w:rsidRDefault="00A45F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47BD">
      <w:rPr>
        <w:rFonts w:cs="TopType Jerushalmi"/>
        <w:noProof/>
        <w:color w:val="000000"/>
        <w:sz w:val="14"/>
        <w:szCs w:val="14"/>
      </w:rPr>
      <w:t>Z:\00000000000000000000000=2014------------------------\05-May\2014-05-28\LawsForHofit\04\500_744.doc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5F06" w:rsidRDefault="00A45F0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2D80">
      <w:rPr>
        <w:rFonts w:hAnsi="FrankRuehl" w:cs="FrankRuehl"/>
        <w:noProof/>
        <w:sz w:val="24"/>
        <w:szCs w:val="24"/>
        <w:rtl/>
      </w:rPr>
      <w:t>15</w:t>
    </w:r>
    <w:r>
      <w:rPr>
        <w:rFonts w:hAnsi="FrankRuehl" w:cs="FrankRuehl"/>
        <w:sz w:val="24"/>
        <w:szCs w:val="24"/>
        <w:rtl/>
      </w:rPr>
      <w:fldChar w:fldCharType="end"/>
    </w:r>
  </w:p>
  <w:p w:rsidR="00A45F06" w:rsidRDefault="00A45F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45F06" w:rsidRDefault="00A45F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47BD">
      <w:rPr>
        <w:rFonts w:cs="TopType Jerushalmi"/>
        <w:noProof/>
        <w:color w:val="000000"/>
        <w:sz w:val="14"/>
        <w:szCs w:val="14"/>
      </w:rPr>
      <w:t>Z:\00000000000000000000000=2014------------------------\05-May\2014-05-28\LawsForHofit\04\500_744.doc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F05" w:rsidRDefault="00817F05">
      <w:pPr>
        <w:spacing w:before="60" w:line="240" w:lineRule="auto"/>
        <w:ind w:right="1134"/>
      </w:pPr>
      <w:r>
        <w:separator/>
      </w:r>
    </w:p>
  </w:footnote>
  <w:footnote w:type="continuationSeparator" w:id="0">
    <w:p w:rsidR="00817F05" w:rsidRDefault="00817F05">
      <w:pPr>
        <w:spacing w:before="60" w:line="240" w:lineRule="auto"/>
        <w:ind w:right="1134"/>
      </w:pPr>
      <w:r>
        <w:separator/>
      </w:r>
    </w:p>
  </w:footnote>
  <w:footnote w:id="1">
    <w:p w:rsidR="0004339B" w:rsidRDefault="00A45F06" w:rsidP="000433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04339B">
          <w:rPr>
            <w:rStyle w:val="Hyperlink"/>
            <w:rFonts w:cs="FrankRuehl" w:hint="cs"/>
            <w:rtl/>
          </w:rPr>
          <w:t>ס"ח תשע"ב מס' 2377</w:t>
        </w:r>
      </w:hyperlink>
      <w:r>
        <w:rPr>
          <w:rFonts w:cs="FrankRuehl" w:hint="cs"/>
          <w:rtl/>
        </w:rPr>
        <w:t xml:space="preserve"> מיום 5.8.2012 עמ' 634 (</w:t>
      </w:r>
      <w:hyperlink r:id="rId2" w:history="1">
        <w:r w:rsidRPr="00301EEF">
          <w:rPr>
            <w:rStyle w:val="Hyperlink"/>
            <w:rFonts w:cs="FrankRuehl" w:hint="cs"/>
            <w:rtl/>
          </w:rPr>
          <w:t>ה"ח הממשלה תשע"ב מס' 696</w:t>
        </w:r>
      </w:hyperlink>
      <w:r>
        <w:rPr>
          <w:rFonts w:cs="FrankRuehl" w:hint="cs"/>
          <w:rtl/>
        </w:rPr>
        <w:t xml:space="preserve"> עמ' 896).</w:t>
      </w:r>
    </w:p>
    <w:p w:rsidR="00B561DA" w:rsidRPr="00811A69" w:rsidRDefault="00AE6206" w:rsidP="00B561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B561DA">
          <w:rPr>
            <w:rStyle w:val="Hyperlink"/>
            <w:rFonts w:ascii="FrankRuehl" w:hAnsi="FrankRuehl" w:cs="FrankRuehl"/>
            <w:rtl/>
          </w:rPr>
          <w:t>ס"ח תשע"ח מס' 2699</w:t>
        </w:r>
      </w:hyperlink>
      <w:r w:rsidRPr="000334ED">
        <w:rPr>
          <w:rFonts w:ascii="FrankRuehl" w:hAnsi="FrankRuehl" w:cs="FrankRuehl"/>
          <w:rtl/>
        </w:rPr>
        <w:t xml:space="preserve"> מיום 11.3.2018 עמ' 239 (</w:t>
      </w:r>
      <w:hyperlink r:id="rId4" w:history="1">
        <w:r w:rsidRPr="000334ED">
          <w:rPr>
            <w:rStyle w:val="Hyperlink"/>
            <w:rFonts w:ascii="FrankRuehl" w:hAnsi="FrankRuehl" w:cs="FrankRuehl"/>
            <w:rtl/>
          </w:rPr>
          <w:t>ה"ח הממשלה תשע"ח מס' 1186</w:t>
        </w:r>
      </w:hyperlink>
      <w:r w:rsidRPr="000334ED">
        <w:rPr>
          <w:rFonts w:ascii="FrankRuehl" w:hAnsi="FrankRuehl" w:cs="FrankRuehl"/>
          <w:rtl/>
        </w:rPr>
        <w:t xml:space="preserve"> עמ' 214)</w:t>
      </w:r>
      <w:r>
        <w:rPr>
          <w:rFonts w:ascii="FrankRuehl" w:hAnsi="FrankRuehl" w:cs="FrankRuehl" w:hint="cs"/>
          <w:rtl/>
        </w:rPr>
        <w:t xml:space="preserve"> </w:t>
      </w:r>
      <w:r>
        <w:rPr>
          <w:rFonts w:ascii="FrankRuehl" w:hAnsi="FrankRuehl" w:cs="FrankRuehl"/>
          <w:rtl/>
        </w:rPr>
        <w:t>–</w:t>
      </w:r>
      <w:r>
        <w:rPr>
          <w:rFonts w:ascii="FrankRuehl" w:hAnsi="FrankRuehl" w:cs="FrankRuehl" w:hint="cs"/>
          <w:rtl/>
        </w:rPr>
        <w:t xml:space="preserve"> תיקון מס' 1 בסעיף 27 לחוק למניעת הפצה ומימון של נשק להשמדה המונית,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5F06" w:rsidRDefault="00A45F0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בנק הדואר), תשס"ב- 2002</w:t>
    </w:r>
  </w:p>
  <w:p w:rsidR="00A45F06" w:rsidRDefault="00A45F0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45F06" w:rsidRDefault="00A45F0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5F06" w:rsidRDefault="00A45F06" w:rsidP="005F774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המאבק בתכנית הגרעין של איראן</w:t>
    </w:r>
    <w:r>
      <w:rPr>
        <w:rFonts w:hAnsi="FrankRuehl" w:cs="FrankRuehl"/>
        <w:color w:val="000000"/>
        <w:sz w:val="28"/>
        <w:szCs w:val="28"/>
        <w:rtl/>
      </w:rPr>
      <w:t xml:space="preserve">, </w:t>
    </w:r>
    <w:r>
      <w:rPr>
        <w:rFonts w:hAnsi="FrankRuehl" w:cs="FrankRuehl" w:hint="cs"/>
        <w:color w:val="000000"/>
        <w:sz w:val="28"/>
        <w:szCs w:val="28"/>
        <w:rtl/>
      </w:rPr>
      <w:t>תשע"ב-2012</w:t>
    </w:r>
  </w:p>
  <w:p w:rsidR="00A45F06" w:rsidRDefault="00A45F0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45F06" w:rsidRDefault="00A45F0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4E8"/>
    <w:rsid w:val="00014C7C"/>
    <w:rsid w:val="0002297D"/>
    <w:rsid w:val="0004339B"/>
    <w:rsid w:val="00076125"/>
    <w:rsid w:val="000A1DAC"/>
    <w:rsid w:val="000B5500"/>
    <w:rsid w:val="000E19E7"/>
    <w:rsid w:val="00107126"/>
    <w:rsid w:val="00120F7F"/>
    <w:rsid w:val="0014409F"/>
    <w:rsid w:val="00151A33"/>
    <w:rsid w:val="001541AF"/>
    <w:rsid w:val="001932D4"/>
    <w:rsid w:val="0019398B"/>
    <w:rsid w:val="001A4515"/>
    <w:rsid w:val="001C177E"/>
    <w:rsid w:val="001C24B4"/>
    <w:rsid w:val="001D4C4D"/>
    <w:rsid w:val="001E47CB"/>
    <w:rsid w:val="001E6C97"/>
    <w:rsid w:val="001F4496"/>
    <w:rsid w:val="0020371A"/>
    <w:rsid w:val="00265115"/>
    <w:rsid w:val="00284859"/>
    <w:rsid w:val="002914E8"/>
    <w:rsid w:val="002A1D4E"/>
    <w:rsid w:val="00301EEF"/>
    <w:rsid w:val="00303E68"/>
    <w:rsid w:val="00314AE9"/>
    <w:rsid w:val="00344D96"/>
    <w:rsid w:val="003631D2"/>
    <w:rsid w:val="00363391"/>
    <w:rsid w:val="00370475"/>
    <w:rsid w:val="0038096B"/>
    <w:rsid w:val="003B0D31"/>
    <w:rsid w:val="003C7245"/>
    <w:rsid w:val="003D091F"/>
    <w:rsid w:val="00402F1C"/>
    <w:rsid w:val="00484999"/>
    <w:rsid w:val="004A03A7"/>
    <w:rsid w:val="004C3B39"/>
    <w:rsid w:val="004C3D03"/>
    <w:rsid w:val="00513123"/>
    <w:rsid w:val="00526EE6"/>
    <w:rsid w:val="0056638B"/>
    <w:rsid w:val="005A47BD"/>
    <w:rsid w:val="005B6CF0"/>
    <w:rsid w:val="005C2D48"/>
    <w:rsid w:val="005D5B03"/>
    <w:rsid w:val="005F5777"/>
    <w:rsid w:val="005F774E"/>
    <w:rsid w:val="005F7C94"/>
    <w:rsid w:val="00604F24"/>
    <w:rsid w:val="0060625E"/>
    <w:rsid w:val="00625F77"/>
    <w:rsid w:val="00677CBE"/>
    <w:rsid w:val="006B56B2"/>
    <w:rsid w:val="007261F8"/>
    <w:rsid w:val="00775DBF"/>
    <w:rsid w:val="007861AA"/>
    <w:rsid w:val="007A08D4"/>
    <w:rsid w:val="00811A69"/>
    <w:rsid w:val="00815D6C"/>
    <w:rsid w:val="00817F05"/>
    <w:rsid w:val="00826A2A"/>
    <w:rsid w:val="008D4811"/>
    <w:rsid w:val="008E005F"/>
    <w:rsid w:val="008F789D"/>
    <w:rsid w:val="00904D1F"/>
    <w:rsid w:val="00923BA6"/>
    <w:rsid w:val="009342FC"/>
    <w:rsid w:val="00962737"/>
    <w:rsid w:val="0097292E"/>
    <w:rsid w:val="009735E4"/>
    <w:rsid w:val="00982D80"/>
    <w:rsid w:val="009E379E"/>
    <w:rsid w:val="009F64A5"/>
    <w:rsid w:val="00A110D6"/>
    <w:rsid w:val="00A21362"/>
    <w:rsid w:val="00A45F06"/>
    <w:rsid w:val="00A60D87"/>
    <w:rsid w:val="00A707DC"/>
    <w:rsid w:val="00A70D05"/>
    <w:rsid w:val="00A70D85"/>
    <w:rsid w:val="00AC5364"/>
    <w:rsid w:val="00AD484D"/>
    <w:rsid w:val="00AE04B8"/>
    <w:rsid w:val="00AE6206"/>
    <w:rsid w:val="00B05951"/>
    <w:rsid w:val="00B16E5F"/>
    <w:rsid w:val="00B2569C"/>
    <w:rsid w:val="00B51B37"/>
    <w:rsid w:val="00B561DA"/>
    <w:rsid w:val="00B871C8"/>
    <w:rsid w:val="00BA37D2"/>
    <w:rsid w:val="00BA383B"/>
    <w:rsid w:val="00BA65EF"/>
    <w:rsid w:val="00BB5B79"/>
    <w:rsid w:val="00BD0EA5"/>
    <w:rsid w:val="00C02563"/>
    <w:rsid w:val="00CC057B"/>
    <w:rsid w:val="00CC5A63"/>
    <w:rsid w:val="00D00151"/>
    <w:rsid w:val="00D01A2B"/>
    <w:rsid w:val="00D06915"/>
    <w:rsid w:val="00D1058C"/>
    <w:rsid w:val="00D53E30"/>
    <w:rsid w:val="00D9053D"/>
    <w:rsid w:val="00DC13F1"/>
    <w:rsid w:val="00DD06B1"/>
    <w:rsid w:val="00DE49E3"/>
    <w:rsid w:val="00E03A2C"/>
    <w:rsid w:val="00E61561"/>
    <w:rsid w:val="00E76CE1"/>
    <w:rsid w:val="00EA257F"/>
    <w:rsid w:val="00EF5CDC"/>
    <w:rsid w:val="00F112B7"/>
    <w:rsid w:val="00F21D43"/>
    <w:rsid w:val="00FA065A"/>
    <w:rsid w:val="00FC243C"/>
    <w:rsid w:val="00FE7F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CB8F3FDA-F960-4770-B160-26EE8B15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DC13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5D5B03"/>
    <w:pPr>
      <w:keepNext/>
      <w:keepLines/>
      <w:tabs>
        <w:tab w:val="clear" w:pos="6259"/>
      </w:tabs>
      <w:spacing w:before="240"/>
      <w:jc w:val="center"/>
    </w:pPr>
    <w:rPr>
      <w:szCs w:val="20"/>
    </w:rPr>
  </w:style>
  <w:style w:type="character" w:customStyle="1" w:styleId="P000">
    <w:name w:val="P00 תו"/>
    <w:link w:val="P00"/>
    <w:rsid w:val="0097292E"/>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699.pdf" TargetMode="External"/><Relationship Id="rId13" Type="http://schemas.openxmlformats.org/officeDocument/2006/relationships/hyperlink" Target="http://www.nevo.co.il/Law_word/law15/memshala-1186.pdf" TargetMode="External"/><Relationship Id="rId18" Type="http://schemas.openxmlformats.org/officeDocument/2006/relationships/hyperlink" Target="http://www.nevo.co.il/Law_word/law14/law-2699.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15/memshala-1186.pdf" TargetMode="External"/><Relationship Id="rId12" Type="http://schemas.openxmlformats.org/officeDocument/2006/relationships/hyperlink" Target="http://www.nevo.co.il/Law_word/law14/law-2699.pdf" TargetMode="External"/><Relationship Id="rId17" Type="http://schemas.openxmlformats.org/officeDocument/2006/relationships/hyperlink" Target="http://www.nevo.co.il/Law_word/law15/memshala-1186.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14/law-2699.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699.pdf" TargetMode="External"/><Relationship Id="rId11" Type="http://schemas.openxmlformats.org/officeDocument/2006/relationships/hyperlink" Target="http://www.nevo.co.il/Law_word/law15/memshala-1186.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15/memshala-1186.pdf" TargetMode="External"/><Relationship Id="rId23" Type="http://schemas.openxmlformats.org/officeDocument/2006/relationships/header" Target="header2.xml"/><Relationship Id="rId10" Type="http://schemas.openxmlformats.org/officeDocument/2006/relationships/hyperlink" Target="http://www.nevo.co.il/Law_word/law14/law-2699.pdf" TargetMode="External"/><Relationship Id="rId19" Type="http://schemas.openxmlformats.org/officeDocument/2006/relationships/hyperlink" Target="http://www.nevo.co.il/Law_word/law15/memshala-1186.pdf" TargetMode="External"/><Relationship Id="rId4" Type="http://schemas.openxmlformats.org/officeDocument/2006/relationships/footnotes" Target="footnotes.xml"/><Relationship Id="rId9" Type="http://schemas.openxmlformats.org/officeDocument/2006/relationships/hyperlink" Target="http://www.nevo.co.il/Law_word/law15/memshala-1186.pdf" TargetMode="External"/><Relationship Id="rId14" Type="http://schemas.openxmlformats.org/officeDocument/2006/relationships/hyperlink" Target="http://www.nevo.co.il/Law_word/law14/law-2699.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4/law-2699.pdf" TargetMode="External"/><Relationship Id="rId2" Type="http://schemas.openxmlformats.org/officeDocument/2006/relationships/hyperlink" Target="http://www.nevo.co.il/Law_word/law15/memshala-696.pdf" TargetMode="External"/><Relationship Id="rId1" Type="http://schemas.openxmlformats.org/officeDocument/2006/relationships/hyperlink" Target="http://www.nevo.co.il/Law_word/law14/LAW-2377.pdf" TargetMode="External"/><Relationship Id="rId4" Type="http://schemas.openxmlformats.org/officeDocument/2006/relationships/hyperlink" Target="http://www.nevo.co.il/Law_word/law15/memshala-11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6831</Words>
  <Characters>38938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45678</CharactersWithSpaces>
  <SharedDoc>false</SharedDoc>
  <HLinks>
    <vt:vector size="438" baseType="variant">
      <vt:variant>
        <vt:i4>393283</vt:i4>
      </vt:variant>
      <vt:variant>
        <vt:i4>363</vt:i4>
      </vt:variant>
      <vt:variant>
        <vt:i4>0</vt:i4>
      </vt:variant>
      <vt:variant>
        <vt:i4>5</vt:i4>
      </vt:variant>
      <vt:variant>
        <vt:lpwstr>http://www.nevo.co.il/advertisements/nevo-100.doc</vt:lpwstr>
      </vt:variant>
      <vt:variant>
        <vt:lpwstr/>
      </vt:variant>
      <vt:variant>
        <vt:i4>393283</vt:i4>
      </vt:variant>
      <vt:variant>
        <vt:i4>360</vt:i4>
      </vt:variant>
      <vt:variant>
        <vt:i4>0</vt:i4>
      </vt:variant>
      <vt:variant>
        <vt:i4>5</vt:i4>
      </vt:variant>
      <vt:variant>
        <vt:lpwstr>http://www.nevo.co.il/advertisements/nevo-100.doc</vt:lpwstr>
      </vt:variant>
      <vt:variant>
        <vt:lpwstr/>
      </vt:variant>
      <vt:variant>
        <vt:i4>1507424</vt:i4>
      </vt:variant>
      <vt:variant>
        <vt:i4>357</vt:i4>
      </vt:variant>
      <vt:variant>
        <vt:i4>0</vt:i4>
      </vt:variant>
      <vt:variant>
        <vt:i4>5</vt:i4>
      </vt:variant>
      <vt:variant>
        <vt:lpwstr>http://www.nevo.co.il/Law_word/law15/memshala-1186.pdf</vt:lpwstr>
      </vt:variant>
      <vt:variant>
        <vt:lpwstr/>
      </vt:variant>
      <vt:variant>
        <vt:i4>7602182</vt:i4>
      </vt:variant>
      <vt:variant>
        <vt:i4>354</vt:i4>
      </vt:variant>
      <vt:variant>
        <vt:i4>0</vt:i4>
      </vt:variant>
      <vt:variant>
        <vt:i4>5</vt:i4>
      </vt:variant>
      <vt:variant>
        <vt:lpwstr>http://www.nevo.co.il/Law_word/law14/law-2699.pdf</vt:lpwstr>
      </vt:variant>
      <vt:variant>
        <vt:lpwstr/>
      </vt:variant>
      <vt:variant>
        <vt:i4>1507424</vt:i4>
      </vt:variant>
      <vt:variant>
        <vt:i4>351</vt:i4>
      </vt:variant>
      <vt:variant>
        <vt:i4>0</vt:i4>
      </vt:variant>
      <vt:variant>
        <vt:i4>5</vt:i4>
      </vt:variant>
      <vt:variant>
        <vt:lpwstr>http://www.nevo.co.il/Law_word/law15/memshala-1186.pdf</vt:lpwstr>
      </vt:variant>
      <vt:variant>
        <vt:lpwstr/>
      </vt:variant>
      <vt:variant>
        <vt:i4>7602182</vt:i4>
      </vt:variant>
      <vt:variant>
        <vt:i4>348</vt:i4>
      </vt:variant>
      <vt:variant>
        <vt:i4>0</vt:i4>
      </vt:variant>
      <vt:variant>
        <vt:i4>5</vt:i4>
      </vt:variant>
      <vt:variant>
        <vt:lpwstr>http://www.nevo.co.il/Law_word/law14/law-2699.pdf</vt:lpwstr>
      </vt:variant>
      <vt:variant>
        <vt:lpwstr/>
      </vt:variant>
      <vt:variant>
        <vt:i4>1507424</vt:i4>
      </vt:variant>
      <vt:variant>
        <vt:i4>345</vt:i4>
      </vt:variant>
      <vt:variant>
        <vt:i4>0</vt:i4>
      </vt:variant>
      <vt:variant>
        <vt:i4>5</vt:i4>
      </vt:variant>
      <vt:variant>
        <vt:lpwstr>http://www.nevo.co.il/Law_word/law15/memshala-1186.pdf</vt:lpwstr>
      </vt:variant>
      <vt:variant>
        <vt:lpwstr/>
      </vt:variant>
      <vt:variant>
        <vt:i4>7602182</vt:i4>
      </vt:variant>
      <vt:variant>
        <vt:i4>342</vt:i4>
      </vt:variant>
      <vt:variant>
        <vt:i4>0</vt:i4>
      </vt:variant>
      <vt:variant>
        <vt:i4>5</vt:i4>
      </vt:variant>
      <vt:variant>
        <vt:lpwstr>http://www.nevo.co.il/Law_word/law14/law-2699.pdf</vt:lpwstr>
      </vt:variant>
      <vt:variant>
        <vt:lpwstr/>
      </vt:variant>
      <vt:variant>
        <vt:i4>1507424</vt:i4>
      </vt:variant>
      <vt:variant>
        <vt:i4>339</vt:i4>
      </vt:variant>
      <vt:variant>
        <vt:i4>0</vt:i4>
      </vt:variant>
      <vt:variant>
        <vt:i4>5</vt:i4>
      </vt:variant>
      <vt:variant>
        <vt:lpwstr>http://www.nevo.co.il/Law_word/law15/memshala-1186.pdf</vt:lpwstr>
      </vt:variant>
      <vt:variant>
        <vt:lpwstr/>
      </vt:variant>
      <vt:variant>
        <vt:i4>7602182</vt:i4>
      </vt:variant>
      <vt:variant>
        <vt:i4>336</vt:i4>
      </vt:variant>
      <vt:variant>
        <vt:i4>0</vt:i4>
      </vt:variant>
      <vt:variant>
        <vt:i4>5</vt:i4>
      </vt:variant>
      <vt:variant>
        <vt:lpwstr>http://www.nevo.co.il/Law_word/law14/law-2699.pdf</vt:lpwstr>
      </vt:variant>
      <vt:variant>
        <vt:lpwstr/>
      </vt:variant>
      <vt:variant>
        <vt:i4>1507424</vt:i4>
      </vt:variant>
      <vt:variant>
        <vt:i4>333</vt:i4>
      </vt:variant>
      <vt:variant>
        <vt:i4>0</vt:i4>
      </vt:variant>
      <vt:variant>
        <vt:i4>5</vt:i4>
      </vt:variant>
      <vt:variant>
        <vt:lpwstr>http://www.nevo.co.il/Law_word/law15/memshala-1186.pdf</vt:lpwstr>
      </vt:variant>
      <vt:variant>
        <vt:lpwstr/>
      </vt:variant>
      <vt:variant>
        <vt:i4>7602182</vt:i4>
      </vt:variant>
      <vt:variant>
        <vt:i4>330</vt:i4>
      </vt:variant>
      <vt:variant>
        <vt:i4>0</vt:i4>
      </vt:variant>
      <vt:variant>
        <vt:i4>5</vt:i4>
      </vt:variant>
      <vt:variant>
        <vt:lpwstr>http://www.nevo.co.il/Law_word/law14/law-2699.pdf</vt:lpwstr>
      </vt:variant>
      <vt:variant>
        <vt:lpwstr/>
      </vt:variant>
      <vt:variant>
        <vt:i4>1507424</vt:i4>
      </vt:variant>
      <vt:variant>
        <vt:i4>327</vt:i4>
      </vt:variant>
      <vt:variant>
        <vt:i4>0</vt:i4>
      </vt:variant>
      <vt:variant>
        <vt:i4>5</vt:i4>
      </vt:variant>
      <vt:variant>
        <vt:lpwstr>http://www.nevo.co.il/Law_word/law15/memshala-1186.pdf</vt:lpwstr>
      </vt:variant>
      <vt:variant>
        <vt:lpwstr/>
      </vt:variant>
      <vt:variant>
        <vt:i4>7602182</vt:i4>
      </vt:variant>
      <vt:variant>
        <vt:i4>324</vt:i4>
      </vt:variant>
      <vt:variant>
        <vt:i4>0</vt:i4>
      </vt:variant>
      <vt:variant>
        <vt:i4>5</vt:i4>
      </vt:variant>
      <vt:variant>
        <vt:lpwstr>http://www.nevo.co.il/Law_word/law14/law-2699.pdf</vt:lpwstr>
      </vt:variant>
      <vt:variant>
        <vt:lpwstr/>
      </vt:variant>
      <vt:variant>
        <vt:i4>1507424</vt:i4>
      </vt:variant>
      <vt:variant>
        <vt:i4>321</vt:i4>
      </vt:variant>
      <vt:variant>
        <vt:i4>0</vt:i4>
      </vt:variant>
      <vt:variant>
        <vt:i4>5</vt:i4>
      </vt:variant>
      <vt:variant>
        <vt:lpwstr>http://www.nevo.co.il/Law_word/law15/memshala-1186.pdf</vt:lpwstr>
      </vt:variant>
      <vt:variant>
        <vt:lpwstr/>
      </vt:variant>
      <vt:variant>
        <vt:i4>7602182</vt:i4>
      </vt:variant>
      <vt:variant>
        <vt:i4>318</vt:i4>
      </vt:variant>
      <vt:variant>
        <vt:i4>0</vt:i4>
      </vt:variant>
      <vt:variant>
        <vt:i4>5</vt:i4>
      </vt:variant>
      <vt:variant>
        <vt:lpwstr>http://www.nevo.co.il/Law_word/law14/law-2699.pdf</vt:lpwstr>
      </vt:variant>
      <vt:variant>
        <vt:lpwstr/>
      </vt:variant>
      <vt:variant>
        <vt:i4>5242889</vt:i4>
      </vt:variant>
      <vt:variant>
        <vt:i4>312</vt:i4>
      </vt:variant>
      <vt:variant>
        <vt:i4>0</vt:i4>
      </vt:variant>
      <vt:variant>
        <vt:i4>5</vt:i4>
      </vt:variant>
      <vt:variant>
        <vt:lpwstr/>
      </vt:variant>
      <vt:variant>
        <vt:lpwstr>med5</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5308425</vt:i4>
      </vt:variant>
      <vt:variant>
        <vt:i4>258</vt:i4>
      </vt:variant>
      <vt:variant>
        <vt:i4>0</vt:i4>
      </vt:variant>
      <vt:variant>
        <vt:i4>5</vt:i4>
      </vt:variant>
      <vt:variant>
        <vt:lpwstr/>
      </vt:variant>
      <vt:variant>
        <vt:lpwstr>med4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5636105</vt:i4>
      </vt:variant>
      <vt:variant>
        <vt:i4>222</vt:i4>
      </vt:variant>
      <vt:variant>
        <vt:i4>0</vt:i4>
      </vt:variant>
      <vt:variant>
        <vt:i4>5</vt:i4>
      </vt:variant>
      <vt:variant>
        <vt:lpwstr/>
      </vt:variant>
      <vt:variant>
        <vt:lpwstr>med3</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5701644</vt:i4>
      </vt:variant>
      <vt:variant>
        <vt:i4>198</vt:i4>
      </vt:variant>
      <vt:variant>
        <vt:i4>0</vt:i4>
      </vt:variant>
      <vt:variant>
        <vt:i4>5</vt:i4>
      </vt:variant>
      <vt:variant>
        <vt:lpwstr/>
      </vt:variant>
      <vt:variant>
        <vt:lpwstr>hed25</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5701644</vt:i4>
      </vt:variant>
      <vt:variant>
        <vt:i4>180</vt:i4>
      </vt:variant>
      <vt:variant>
        <vt:i4>0</vt:i4>
      </vt:variant>
      <vt:variant>
        <vt:i4>5</vt:i4>
      </vt:variant>
      <vt:variant>
        <vt:lpwstr/>
      </vt:variant>
      <vt:variant>
        <vt:lpwstr>hed24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5701644</vt:i4>
      </vt:variant>
      <vt:variant>
        <vt:i4>162</vt:i4>
      </vt:variant>
      <vt:variant>
        <vt:i4>0</vt:i4>
      </vt:variant>
      <vt:variant>
        <vt:i4>5</vt:i4>
      </vt:variant>
      <vt:variant>
        <vt:lpwstr/>
      </vt:variant>
      <vt:variant>
        <vt:lpwstr>hed23</vt:lpwstr>
      </vt:variant>
      <vt:variant>
        <vt:i4>5701641</vt:i4>
      </vt:variant>
      <vt:variant>
        <vt:i4>156</vt:i4>
      </vt:variant>
      <vt:variant>
        <vt:i4>0</vt:i4>
      </vt:variant>
      <vt:variant>
        <vt:i4>5</vt:i4>
      </vt:variant>
      <vt:variant>
        <vt:lpwstr/>
      </vt:variant>
      <vt:variant>
        <vt:lpwstr>med2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5701644</vt:i4>
      </vt:variant>
      <vt:variant>
        <vt:i4>90</vt:i4>
      </vt:variant>
      <vt:variant>
        <vt:i4>0</vt:i4>
      </vt:variant>
      <vt:variant>
        <vt:i4>5</vt:i4>
      </vt:variant>
      <vt:variant>
        <vt:lpwstr/>
      </vt:variant>
      <vt:variant>
        <vt:lpwstr>hed22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5701644</vt:i4>
      </vt:variant>
      <vt:variant>
        <vt:i4>66</vt:i4>
      </vt:variant>
      <vt:variant>
        <vt:i4>0</vt:i4>
      </vt:variant>
      <vt:variant>
        <vt:i4>5</vt:i4>
      </vt:variant>
      <vt:variant>
        <vt:lpwstr/>
      </vt:variant>
      <vt:variant>
        <vt:lpwstr>hed21</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1507424</vt:i4>
      </vt:variant>
      <vt:variant>
        <vt:i4>9</vt:i4>
      </vt:variant>
      <vt:variant>
        <vt:i4>0</vt:i4>
      </vt:variant>
      <vt:variant>
        <vt:i4>5</vt:i4>
      </vt:variant>
      <vt:variant>
        <vt:lpwstr>http://www.nevo.co.il/Law_word/law15/memshala-1186.pdf</vt:lpwstr>
      </vt:variant>
      <vt:variant>
        <vt:lpwstr/>
      </vt:variant>
      <vt:variant>
        <vt:i4>7864351</vt:i4>
      </vt:variant>
      <vt:variant>
        <vt:i4>6</vt:i4>
      </vt:variant>
      <vt:variant>
        <vt:i4>0</vt:i4>
      </vt:variant>
      <vt:variant>
        <vt:i4>5</vt:i4>
      </vt:variant>
      <vt:variant>
        <vt:lpwstr>https://www.nevo.co.il/law_word/law14/law-2699.pdf</vt:lpwstr>
      </vt:variant>
      <vt:variant>
        <vt:lpwstr/>
      </vt:variant>
      <vt:variant>
        <vt:i4>7667795</vt:i4>
      </vt:variant>
      <vt:variant>
        <vt:i4>3</vt:i4>
      </vt:variant>
      <vt:variant>
        <vt:i4>0</vt:i4>
      </vt:variant>
      <vt:variant>
        <vt:i4>5</vt:i4>
      </vt:variant>
      <vt:variant>
        <vt:lpwstr>http://www.nevo.co.il/Law_word/law15/memshala-696.pdf</vt:lpwstr>
      </vt:variant>
      <vt:variant>
        <vt:lpwstr/>
      </vt:variant>
      <vt:variant>
        <vt:i4>7995405</vt:i4>
      </vt:variant>
      <vt:variant>
        <vt:i4>0</vt:i4>
      </vt:variant>
      <vt:variant>
        <vt:i4>0</vt:i4>
      </vt:variant>
      <vt:variant>
        <vt:i4>5</vt:i4>
      </vt:variant>
      <vt:variant>
        <vt:lpwstr>http://www.nevo.co.il/Law_word/law14/LAW-2377.pdf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ביטחון</vt:lpwstr>
  </property>
  <property fmtid="{D5CDD505-2E9C-101B-9397-08002B2CF9AE}" pid="4" name="LAWNAME">
    <vt:lpwstr>חוק המאבק בתכנית הגרעין של איראן, תשע"ב-2012</vt:lpwstr>
  </property>
  <property fmtid="{D5CDD505-2E9C-101B-9397-08002B2CF9AE}" pid="5" name="LAWNUMBER">
    <vt:lpwstr>0744</vt:lpwstr>
  </property>
  <property fmtid="{D5CDD505-2E9C-101B-9397-08002B2CF9AE}" pid="6" name="TYPE">
    <vt:lpwstr>01</vt:lpwstr>
  </property>
  <property fmtid="{D5CDD505-2E9C-101B-9397-08002B2CF9AE}" pid="7" name="LINKK2">
    <vt:lpwstr>https://www.nevo.co.il/law_word/law14/law-2699.pdf;‎רשומות - ספר חוקים#תוקן ס"ח תשע"ח מס' 2699 ‏‏#מיום 11.3.2018 עמ' 239  – תיקון מס' 1 בסעיף 27 לחוק למניעת הפצה ומימון של נשק להשמדה המונית, ‏תשע"ח-2018‏</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בטחון</vt:lpwstr>
  </property>
  <property fmtid="{D5CDD505-2E9C-101B-9397-08002B2CF9AE}" pid="22" name="NOSE21">
    <vt:lpwstr>טרור</vt:lpwstr>
  </property>
  <property fmtid="{D5CDD505-2E9C-101B-9397-08002B2CF9AE}" pid="23" name="NOSE31">
    <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http://www.nevo.co.il/Law_word/law14/LAW-2377.pdf;רשומות - ספר חוקים#פורסם ס"ח תשע"ב מס' 2377# מיום 5.8.2012 עמ' 634</vt:lpwstr>
  </property>
</Properties>
</file>