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764085" w:rsidP="005C4382">
      <w:pPr>
        <w:pStyle w:val="big-header"/>
        <w:ind w:left="0" w:right="1134"/>
        <w:rPr>
          <w:rFonts w:cs="FrankRuehl"/>
          <w:sz w:val="32"/>
        </w:rPr>
      </w:pPr>
      <w:r>
        <w:rPr>
          <w:rFonts w:cs="FrankRuehl" w:hint="cs"/>
          <w:sz w:val="32"/>
          <w:rtl/>
        </w:rPr>
        <w:t>חוק המטה לביטחון לאומי</w:t>
      </w:r>
      <w:r w:rsidR="008C0AEB">
        <w:rPr>
          <w:rFonts w:cs="FrankRuehl" w:hint="cs"/>
          <w:sz w:val="32"/>
          <w:rtl/>
        </w:rPr>
        <w:t>, תשס"ח-2008</w:t>
      </w:r>
    </w:p>
    <w:p w:rsidR="00833EE7" w:rsidRPr="00833EE7" w:rsidRDefault="00833EE7" w:rsidP="00833EE7">
      <w:pPr>
        <w:spacing w:line="320" w:lineRule="auto"/>
        <w:rPr>
          <w:rFonts w:cs="FrankRuehl"/>
          <w:szCs w:val="26"/>
          <w:rtl/>
        </w:rPr>
      </w:pPr>
    </w:p>
    <w:p w:rsidR="00833EE7" w:rsidRDefault="00833EE7" w:rsidP="00833EE7">
      <w:pPr>
        <w:spacing w:line="320" w:lineRule="auto"/>
        <w:rPr>
          <w:rtl/>
        </w:rPr>
      </w:pPr>
    </w:p>
    <w:p w:rsidR="00833EE7" w:rsidRPr="00833EE7" w:rsidRDefault="00833EE7" w:rsidP="00833EE7">
      <w:pPr>
        <w:spacing w:line="320" w:lineRule="auto"/>
        <w:rPr>
          <w:rFonts w:cs="Miriam"/>
          <w:szCs w:val="22"/>
          <w:rtl/>
        </w:rPr>
      </w:pPr>
      <w:r w:rsidRPr="00833EE7">
        <w:rPr>
          <w:rFonts w:cs="Miriam"/>
          <w:szCs w:val="22"/>
          <w:rtl/>
        </w:rPr>
        <w:t>בטחון</w:t>
      </w:r>
      <w:r w:rsidRPr="00833EE7">
        <w:rPr>
          <w:rFonts w:cs="FrankRuehl"/>
          <w:szCs w:val="26"/>
          <w:rtl/>
        </w:rPr>
        <w:t xml:space="preserve"> – מערכת ומשרד הבטחון – המטה לביטחון לאומי</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1 </w:t>
            </w:r>
          </w:p>
        </w:tc>
        <w:tc>
          <w:tcPr>
            <w:tcW w:w="5669" w:type="dxa"/>
          </w:tcPr>
          <w:p w:rsidR="006F2A32" w:rsidRPr="006F2A32" w:rsidRDefault="006F2A32" w:rsidP="006F2A32">
            <w:pPr>
              <w:rPr>
                <w:rFonts w:cs="Frankruhel" w:hint="cs"/>
                <w:rtl/>
              </w:rPr>
            </w:pPr>
            <w:r>
              <w:rPr>
                <w:rtl/>
              </w:rPr>
              <w:t>המטה לביטחון לאומי</w:t>
            </w:r>
          </w:p>
        </w:tc>
        <w:tc>
          <w:tcPr>
            <w:tcW w:w="567" w:type="dxa"/>
          </w:tcPr>
          <w:p w:rsidR="006F2A32" w:rsidRPr="006F2A32" w:rsidRDefault="006F2A32" w:rsidP="006F2A32">
            <w:pPr>
              <w:rPr>
                <w:rStyle w:val="Hyperlink"/>
                <w:rFonts w:hint="cs"/>
                <w:rtl/>
              </w:rPr>
            </w:pPr>
            <w:hyperlink w:anchor="Seif1" w:tooltip="המטה לביטחון לאומי"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2 </w:t>
            </w:r>
          </w:p>
        </w:tc>
        <w:tc>
          <w:tcPr>
            <w:tcW w:w="5669" w:type="dxa"/>
          </w:tcPr>
          <w:p w:rsidR="006F2A32" w:rsidRPr="006F2A32" w:rsidRDefault="006F2A32" w:rsidP="006F2A32">
            <w:pPr>
              <w:rPr>
                <w:rFonts w:cs="Frankruhel" w:hint="cs"/>
                <w:rtl/>
              </w:rPr>
            </w:pPr>
            <w:r>
              <w:rPr>
                <w:rtl/>
              </w:rPr>
              <w:t>תפקידי המטה לביטחון לאומי</w:t>
            </w:r>
          </w:p>
        </w:tc>
        <w:tc>
          <w:tcPr>
            <w:tcW w:w="567" w:type="dxa"/>
          </w:tcPr>
          <w:p w:rsidR="006F2A32" w:rsidRPr="006F2A32" w:rsidRDefault="006F2A32" w:rsidP="006F2A32">
            <w:pPr>
              <w:rPr>
                <w:rStyle w:val="Hyperlink"/>
                <w:rFonts w:hint="cs"/>
                <w:rtl/>
              </w:rPr>
            </w:pPr>
            <w:hyperlink w:anchor="Seif2" w:tooltip="תפקידי המטה לביטחון לאומי"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3 </w:t>
            </w:r>
          </w:p>
        </w:tc>
        <w:tc>
          <w:tcPr>
            <w:tcW w:w="5669" w:type="dxa"/>
          </w:tcPr>
          <w:p w:rsidR="006F2A32" w:rsidRPr="006F2A32" w:rsidRDefault="006F2A32" w:rsidP="006F2A32">
            <w:pPr>
              <w:rPr>
                <w:rFonts w:cs="Frankruhel" w:hint="cs"/>
                <w:rtl/>
              </w:rPr>
            </w:pPr>
            <w:r>
              <w:rPr>
                <w:rtl/>
              </w:rPr>
              <w:t>מינוי ראש המטה לביטחון לאומי</w:t>
            </w:r>
          </w:p>
        </w:tc>
        <w:tc>
          <w:tcPr>
            <w:tcW w:w="567" w:type="dxa"/>
          </w:tcPr>
          <w:p w:rsidR="006F2A32" w:rsidRPr="006F2A32" w:rsidRDefault="006F2A32" w:rsidP="006F2A32">
            <w:pPr>
              <w:rPr>
                <w:rStyle w:val="Hyperlink"/>
                <w:rFonts w:hint="cs"/>
                <w:rtl/>
              </w:rPr>
            </w:pPr>
            <w:hyperlink w:anchor="Seif3" w:tooltip="מינוי ראש המטה לביטחון לאומי"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4 </w:t>
            </w:r>
          </w:p>
        </w:tc>
        <w:tc>
          <w:tcPr>
            <w:tcW w:w="5669" w:type="dxa"/>
          </w:tcPr>
          <w:p w:rsidR="006F2A32" w:rsidRPr="006F2A32" w:rsidRDefault="006F2A32" w:rsidP="006F2A32">
            <w:pPr>
              <w:rPr>
                <w:rFonts w:cs="Frankruhel" w:hint="cs"/>
                <w:rtl/>
              </w:rPr>
            </w:pPr>
            <w:r>
              <w:rPr>
                <w:rtl/>
              </w:rPr>
              <w:t>הפסקת כהונה של ראש המטה לביטחון לאומי</w:t>
            </w:r>
          </w:p>
        </w:tc>
        <w:tc>
          <w:tcPr>
            <w:tcW w:w="567" w:type="dxa"/>
          </w:tcPr>
          <w:p w:rsidR="006F2A32" w:rsidRPr="006F2A32" w:rsidRDefault="006F2A32" w:rsidP="006F2A32">
            <w:pPr>
              <w:rPr>
                <w:rStyle w:val="Hyperlink"/>
                <w:rFonts w:hint="cs"/>
                <w:rtl/>
              </w:rPr>
            </w:pPr>
            <w:hyperlink w:anchor="Seif4" w:tooltip="הפסקת כהונה של ראש המטה לביטחון לאומי"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5 </w:t>
            </w:r>
          </w:p>
        </w:tc>
        <w:tc>
          <w:tcPr>
            <w:tcW w:w="5669" w:type="dxa"/>
          </w:tcPr>
          <w:p w:rsidR="006F2A32" w:rsidRPr="006F2A32" w:rsidRDefault="006F2A32" w:rsidP="006F2A32">
            <w:pPr>
              <w:rPr>
                <w:rFonts w:cs="Frankruhel" w:hint="cs"/>
                <w:rtl/>
              </w:rPr>
            </w:pPr>
            <w:r>
              <w:rPr>
                <w:rtl/>
              </w:rPr>
              <w:t>המשנה לראש המטה לביטחון לאומי</w:t>
            </w:r>
          </w:p>
        </w:tc>
        <w:tc>
          <w:tcPr>
            <w:tcW w:w="567" w:type="dxa"/>
          </w:tcPr>
          <w:p w:rsidR="006F2A32" w:rsidRPr="006F2A32" w:rsidRDefault="006F2A32" w:rsidP="006F2A32">
            <w:pPr>
              <w:rPr>
                <w:rStyle w:val="Hyperlink"/>
                <w:rFonts w:hint="cs"/>
                <w:rtl/>
              </w:rPr>
            </w:pPr>
            <w:hyperlink w:anchor="Seif5" w:tooltip="המשנה לראש המטה לביטחון לאומי"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6 </w:t>
            </w:r>
          </w:p>
        </w:tc>
        <w:tc>
          <w:tcPr>
            <w:tcW w:w="5669" w:type="dxa"/>
          </w:tcPr>
          <w:p w:rsidR="006F2A32" w:rsidRPr="006F2A32" w:rsidRDefault="006F2A32" w:rsidP="006F2A32">
            <w:pPr>
              <w:rPr>
                <w:rFonts w:cs="Frankruhel" w:hint="cs"/>
                <w:rtl/>
              </w:rPr>
            </w:pPr>
            <w:r>
              <w:rPr>
                <w:rtl/>
              </w:rPr>
              <w:t>העברת מידע</w:t>
            </w:r>
          </w:p>
        </w:tc>
        <w:tc>
          <w:tcPr>
            <w:tcW w:w="567" w:type="dxa"/>
          </w:tcPr>
          <w:p w:rsidR="006F2A32" w:rsidRPr="006F2A32" w:rsidRDefault="006F2A32" w:rsidP="006F2A32">
            <w:pPr>
              <w:rPr>
                <w:rStyle w:val="Hyperlink"/>
                <w:rFonts w:hint="cs"/>
                <w:rtl/>
              </w:rPr>
            </w:pPr>
            <w:hyperlink w:anchor="Seif6" w:tooltip="העברת מידע"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7 </w:t>
            </w:r>
          </w:p>
        </w:tc>
        <w:tc>
          <w:tcPr>
            <w:tcW w:w="5669" w:type="dxa"/>
          </w:tcPr>
          <w:p w:rsidR="006F2A32" w:rsidRPr="006F2A32" w:rsidRDefault="006F2A32" w:rsidP="006F2A32">
            <w:pPr>
              <w:rPr>
                <w:rFonts w:cs="Frankruhel" w:hint="cs"/>
                <w:rtl/>
              </w:rPr>
            </w:pPr>
            <w:r>
              <w:rPr>
                <w:rtl/>
              </w:rPr>
              <w:t>זימון ראש המטה לביטחון לאומי לישיבות</w:t>
            </w:r>
          </w:p>
        </w:tc>
        <w:tc>
          <w:tcPr>
            <w:tcW w:w="567" w:type="dxa"/>
          </w:tcPr>
          <w:p w:rsidR="006F2A32" w:rsidRPr="006F2A32" w:rsidRDefault="006F2A32" w:rsidP="006F2A32">
            <w:pPr>
              <w:rPr>
                <w:rStyle w:val="Hyperlink"/>
                <w:rFonts w:hint="cs"/>
                <w:rtl/>
              </w:rPr>
            </w:pPr>
            <w:hyperlink w:anchor="Seif7" w:tooltip="זימון ראש המטה לביטחון לאומי לישיבות"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8 </w:t>
            </w:r>
          </w:p>
        </w:tc>
        <w:tc>
          <w:tcPr>
            <w:tcW w:w="5669" w:type="dxa"/>
          </w:tcPr>
          <w:p w:rsidR="006F2A32" w:rsidRPr="006F2A32" w:rsidRDefault="006F2A32" w:rsidP="006F2A32">
            <w:pPr>
              <w:rPr>
                <w:rFonts w:cs="Frankruhel" w:hint="cs"/>
                <w:rtl/>
              </w:rPr>
            </w:pPr>
            <w:r>
              <w:rPr>
                <w:rtl/>
              </w:rPr>
              <w:t>בעלי תפקידים אחרים במשרד ראש הממשלה   יחסי גומלין עם המטה לביטחון לאומי</w:t>
            </w:r>
          </w:p>
        </w:tc>
        <w:tc>
          <w:tcPr>
            <w:tcW w:w="567" w:type="dxa"/>
          </w:tcPr>
          <w:p w:rsidR="006F2A32" w:rsidRPr="006F2A32" w:rsidRDefault="006F2A32" w:rsidP="006F2A32">
            <w:pPr>
              <w:rPr>
                <w:rStyle w:val="Hyperlink"/>
                <w:rFonts w:hint="cs"/>
                <w:rtl/>
              </w:rPr>
            </w:pPr>
            <w:hyperlink w:anchor="Seif8" w:tooltip="בעלי תפקידים אחרים במשרד ראש הממשלה   יחסי גומלין עם המטה לביטחון לאומי"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9 </w:t>
            </w:r>
          </w:p>
        </w:tc>
        <w:tc>
          <w:tcPr>
            <w:tcW w:w="5669" w:type="dxa"/>
          </w:tcPr>
          <w:p w:rsidR="006F2A32" w:rsidRPr="006F2A32" w:rsidRDefault="006F2A32" w:rsidP="006F2A32">
            <w:pPr>
              <w:rPr>
                <w:rFonts w:cs="Frankruhel" w:hint="cs"/>
                <w:rtl/>
              </w:rPr>
            </w:pPr>
            <w:r>
              <w:rPr>
                <w:rtl/>
              </w:rPr>
              <w:t>יחידת סמך</w:t>
            </w:r>
          </w:p>
        </w:tc>
        <w:tc>
          <w:tcPr>
            <w:tcW w:w="567" w:type="dxa"/>
          </w:tcPr>
          <w:p w:rsidR="006F2A32" w:rsidRPr="006F2A32" w:rsidRDefault="006F2A32" w:rsidP="006F2A32">
            <w:pPr>
              <w:rPr>
                <w:rStyle w:val="Hyperlink"/>
                <w:rFonts w:hint="cs"/>
                <w:rtl/>
              </w:rPr>
            </w:pPr>
            <w:hyperlink w:anchor="Seif9" w:tooltip="יחידת סמך"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10 </w:t>
            </w:r>
          </w:p>
        </w:tc>
        <w:tc>
          <w:tcPr>
            <w:tcW w:w="5669" w:type="dxa"/>
          </w:tcPr>
          <w:p w:rsidR="006F2A32" w:rsidRPr="006F2A32" w:rsidRDefault="006F2A32" w:rsidP="006F2A32">
            <w:pPr>
              <w:rPr>
                <w:rFonts w:cs="Frankruhel" w:hint="cs"/>
                <w:rtl/>
              </w:rPr>
            </w:pPr>
            <w:r>
              <w:rPr>
                <w:rtl/>
              </w:rPr>
              <w:t>תקציב</w:t>
            </w:r>
          </w:p>
        </w:tc>
        <w:tc>
          <w:tcPr>
            <w:tcW w:w="567" w:type="dxa"/>
          </w:tcPr>
          <w:p w:rsidR="006F2A32" w:rsidRPr="006F2A32" w:rsidRDefault="006F2A32" w:rsidP="006F2A32">
            <w:pPr>
              <w:rPr>
                <w:rStyle w:val="Hyperlink"/>
                <w:rFonts w:hint="cs"/>
                <w:rtl/>
              </w:rPr>
            </w:pPr>
            <w:hyperlink w:anchor="Seif10" w:tooltip="תקציב"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11 </w:t>
            </w:r>
          </w:p>
        </w:tc>
        <w:tc>
          <w:tcPr>
            <w:tcW w:w="5669" w:type="dxa"/>
          </w:tcPr>
          <w:p w:rsidR="006F2A32" w:rsidRPr="006F2A32" w:rsidRDefault="006F2A32" w:rsidP="006F2A32">
            <w:pPr>
              <w:rPr>
                <w:rFonts w:cs="Frankruhel" w:hint="cs"/>
                <w:rtl/>
              </w:rPr>
            </w:pPr>
            <w:r>
              <w:rPr>
                <w:rtl/>
              </w:rPr>
              <w:t>שמירת דינים</w:t>
            </w:r>
          </w:p>
        </w:tc>
        <w:tc>
          <w:tcPr>
            <w:tcW w:w="567" w:type="dxa"/>
          </w:tcPr>
          <w:p w:rsidR="006F2A32" w:rsidRPr="006F2A32" w:rsidRDefault="006F2A32" w:rsidP="006F2A32">
            <w:pPr>
              <w:rPr>
                <w:rStyle w:val="Hyperlink"/>
                <w:rFonts w:hint="cs"/>
                <w:rtl/>
              </w:rPr>
            </w:pPr>
            <w:hyperlink w:anchor="Seif11" w:tooltip="שמירת דינים"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12 </w:t>
            </w:r>
          </w:p>
        </w:tc>
        <w:tc>
          <w:tcPr>
            <w:tcW w:w="5669" w:type="dxa"/>
          </w:tcPr>
          <w:p w:rsidR="006F2A32" w:rsidRPr="006F2A32" w:rsidRDefault="006F2A32" w:rsidP="006F2A32">
            <w:pPr>
              <w:rPr>
                <w:rFonts w:cs="Frankruhel" w:hint="cs"/>
                <w:rtl/>
              </w:rPr>
            </w:pPr>
            <w:r>
              <w:rPr>
                <w:rtl/>
              </w:rPr>
              <w:t>ביצוע ותקנות</w:t>
            </w:r>
          </w:p>
        </w:tc>
        <w:tc>
          <w:tcPr>
            <w:tcW w:w="567" w:type="dxa"/>
          </w:tcPr>
          <w:p w:rsidR="006F2A32" w:rsidRPr="006F2A32" w:rsidRDefault="006F2A32" w:rsidP="006F2A32">
            <w:pPr>
              <w:rPr>
                <w:rStyle w:val="Hyperlink"/>
                <w:rFonts w:hint="cs"/>
                <w:rtl/>
              </w:rPr>
            </w:pPr>
            <w:hyperlink w:anchor="Seif12" w:tooltip="ביצוע ותקנות"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13 </w:t>
            </w:r>
          </w:p>
        </w:tc>
        <w:tc>
          <w:tcPr>
            <w:tcW w:w="5669" w:type="dxa"/>
          </w:tcPr>
          <w:p w:rsidR="006F2A32" w:rsidRPr="006F2A32" w:rsidRDefault="006F2A32" w:rsidP="006F2A32">
            <w:pPr>
              <w:rPr>
                <w:rFonts w:cs="Frankruhel" w:hint="cs"/>
                <w:rtl/>
              </w:rPr>
            </w:pPr>
            <w:r>
              <w:rPr>
                <w:rtl/>
              </w:rPr>
              <w:t>תיקון חוק הממשלה   מס' 5</w:t>
            </w:r>
          </w:p>
        </w:tc>
        <w:tc>
          <w:tcPr>
            <w:tcW w:w="567" w:type="dxa"/>
          </w:tcPr>
          <w:p w:rsidR="006F2A32" w:rsidRPr="006F2A32" w:rsidRDefault="006F2A32" w:rsidP="006F2A32">
            <w:pPr>
              <w:rPr>
                <w:rStyle w:val="Hyperlink"/>
                <w:rFonts w:hint="cs"/>
                <w:rtl/>
              </w:rPr>
            </w:pPr>
            <w:hyperlink w:anchor="Seif13" w:tooltip="תיקון חוק הממשלה   מס 5"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6F2A32" w:rsidRPr="006F2A32">
        <w:tblPrEx>
          <w:tblCellMar>
            <w:top w:w="0" w:type="dxa"/>
            <w:bottom w:w="0" w:type="dxa"/>
          </w:tblCellMar>
        </w:tblPrEx>
        <w:tc>
          <w:tcPr>
            <w:tcW w:w="1247" w:type="dxa"/>
          </w:tcPr>
          <w:p w:rsidR="006F2A32" w:rsidRPr="006F2A32" w:rsidRDefault="006F2A32" w:rsidP="006F2A32">
            <w:pPr>
              <w:rPr>
                <w:rFonts w:cs="Frankruhel" w:hint="cs"/>
                <w:rtl/>
              </w:rPr>
            </w:pPr>
            <w:r>
              <w:rPr>
                <w:rtl/>
              </w:rPr>
              <w:t xml:space="preserve">סעיף 14 </w:t>
            </w:r>
          </w:p>
        </w:tc>
        <w:tc>
          <w:tcPr>
            <w:tcW w:w="5669" w:type="dxa"/>
          </w:tcPr>
          <w:p w:rsidR="006F2A32" w:rsidRPr="006F2A32" w:rsidRDefault="006F2A32" w:rsidP="006F2A32">
            <w:pPr>
              <w:rPr>
                <w:rFonts w:cs="Frankruhel" w:hint="cs"/>
                <w:rtl/>
              </w:rPr>
            </w:pPr>
            <w:r>
              <w:rPr>
                <w:rtl/>
              </w:rPr>
              <w:t>הוראות מעבר</w:t>
            </w:r>
          </w:p>
        </w:tc>
        <w:tc>
          <w:tcPr>
            <w:tcW w:w="567" w:type="dxa"/>
          </w:tcPr>
          <w:p w:rsidR="006F2A32" w:rsidRPr="006F2A32" w:rsidRDefault="006F2A32" w:rsidP="006F2A32">
            <w:pPr>
              <w:rPr>
                <w:rStyle w:val="Hyperlink"/>
                <w:rFonts w:hint="cs"/>
                <w:rtl/>
              </w:rPr>
            </w:pPr>
            <w:hyperlink w:anchor="Seif14" w:tooltip="הוראות מעבר" w:history="1">
              <w:r w:rsidRPr="006F2A32">
                <w:rPr>
                  <w:rStyle w:val="Hyperlink"/>
                </w:rPr>
                <w:t>Go</w:t>
              </w:r>
            </w:hyperlink>
          </w:p>
        </w:tc>
        <w:tc>
          <w:tcPr>
            <w:tcW w:w="850" w:type="dxa"/>
          </w:tcPr>
          <w:p w:rsidR="006F2A32" w:rsidRPr="006F2A32" w:rsidRDefault="006F2A32" w:rsidP="006F2A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833EE7">
      <w:pPr>
        <w:pStyle w:val="big-header"/>
        <w:ind w:left="0" w:right="1134"/>
        <w:rPr>
          <w:rStyle w:val="default"/>
          <w:rFonts w:hint="cs"/>
          <w:sz w:val="22"/>
          <w:szCs w:val="22"/>
          <w:rtl/>
        </w:rPr>
      </w:pPr>
      <w:r>
        <w:rPr>
          <w:rFonts w:cs="FrankRuehl"/>
          <w:sz w:val="32"/>
          <w:rtl/>
        </w:rPr>
        <w:br w:type="page"/>
      </w:r>
      <w:r w:rsidR="00764085">
        <w:rPr>
          <w:rFonts w:cs="FrankRuehl" w:hint="cs"/>
          <w:sz w:val="32"/>
          <w:rtl/>
        </w:rPr>
        <w:lastRenderedPageBreak/>
        <w:t>חוק המטה לביטחון לאומי, תשס"ח-2008</w:t>
      </w:r>
      <w:r>
        <w:rPr>
          <w:rStyle w:val="default"/>
          <w:sz w:val="22"/>
          <w:szCs w:val="22"/>
          <w:rtl/>
        </w:rPr>
        <w:footnoteReference w:customMarkFollows="1" w:id="1"/>
        <w:t>*</w:t>
      </w:r>
    </w:p>
    <w:p w:rsidR="002A24E2" w:rsidRDefault="002A24E2" w:rsidP="00DE728B">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0.95pt;z-index:251650560" o:allowincell="f" filled="f" stroked="f" strokecolor="lime" strokeweight=".25pt">
            <v:textbox style="mso-next-textbox:#_x0000_s1026" inset="0,0,0,0">
              <w:txbxContent>
                <w:p w:rsidR="004A1FAB" w:rsidRDefault="004A1FAB" w:rsidP="00E21924">
                  <w:pPr>
                    <w:spacing w:line="160" w:lineRule="exact"/>
                    <w:rPr>
                      <w:rFonts w:cs="Miriam" w:hint="cs"/>
                      <w:noProof/>
                      <w:sz w:val="18"/>
                      <w:szCs w:val="18"/>
                      <w:rtl/>
                    </w:rPr>
                  </w:pPr>
                  <w:r>
                    <w:rPr>
                      <w:rFonts w:cs="Miriam" w:hint="cs"/>
                      <w:sz w:val="18"/>
                      <w:szCs w:val="18"/>
                      <w:rtl/>
                    </w:rPr>
                    <w:t>המטה לביטחון לאומי</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A1FAB">
        <w:rPr>
          <w:rStyle w:val="default"/>
          <w:rFonts w:cs="FrankRuehl" w:hint="cs"/>
          <w:rtl/>
        </w:rPr>
        <w:t>(א)</w:t>
      </w:r>
      <w:r w:rsidR="004A1FAB">
        <w:rPr>
          <w:rStyle w:val="default"/>
          <w:rFonts w:cs="FrankRuehl" w:hint="cs"/>
          <w:rtl/>
        </w:rPr>
        <w:tab/>
        <w:t>לממשלה יהיה מטה לביטחון לאומי שיפעל במשרד ראש הממשלה בירושלים.</w:t>
      </w:r>
    </w:p>
    <w:p w:rsidR="004A1FAB" w:rsidRDefault="004A1FAB" w:rsidP="004A1F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המטה לביטחון לאומי ישמש גף המטה לראש הממשלה ולממשלה בענייני החוץ והביטחון של מדינת ישראל.</w:t>
      </w:r>
    </w:p>
    <w:p w:rsidR="004A1FAB" w:rsidRDefault="004A1FAB" w:rsidP="004A1F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הממשלה יפעיל את המטה לביטחון לאומי וינחה אותו.</w:t>
      </w:r>
    </w:p>
    <w:p w:rsidR="00E21924" w:rsidRDefault="00E21924" w:rsidP="00DE728B">
      <w:pPr>
        <w:pStyle w:val="P00"/>
        <w:spacing w:before="72"/>
        <w:ind w:left="0" w:right="1134"/>
        <w:rPr>
          <w:rStyle w:val="default"/>
          <w:rFonts w:cs="FrankRuehl" w:hint="cs"/>
          <w:rtl/>
        </w:rPr>
      </w:pPr>
      <w:bookmarkStart w:id="1" w:name="Seif2"/>
      <w:bookmarkEnd w:id="1"/>
      <w:r>
        <w:rPr>
          <w:rFonts w:cs="Miriam"/>
          <w:lang w:val="he-IL"/>
        </w:rPr>
        <w:pict>
          <v:rect id="_x0000_s1388" style="position:absolute;left:0;text-align:left;margin-left:464.35pt;margin-top:7.1pt;width:75.05pt;height:18.05pt;z-index:251651584" o:allowincell="f" filled="f" stroked="f" strokecolor="lime" strokeweight=".25pt">
            <v:textbox style="mso-next-textbox:#_x0000_s1388" inset="0,0,0,0">
              <w:txbxContent>
                <w:p w:rsidR="004A1FAB" w:rsidRDefault="004A1FAB" w:rsidP="00E21924">
                  <w:pPr>
                    <w:spacing w:line="160" w:lineRule="exact"/>
                    <w:rPr>
                      <w:rFonts w:cs="Miriam" w:hint="cs"/>
                      <w:noProof/>
                      <w:sz w:val="18"/>
                      <w:szCs w:val="18"/>
                      <w:rtl/>
                    </w:rPr>
                  </w:pPr>
                  <w:r>
                    <w:rPr>
                      <w:rFonts w:cs="Miriam" w:hint="cs"/>
                      <w:sz w:val="18"/>
                      <w:szCs w:val="18"/>
                      <w:rtl/>
                    </w:rPr>
                    <w:t>תפקידי המטה לביטחון לאומי</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4A1FAB">
        <w:rPr>
          <w:rStyle w:val="default"/>
          <w:rFonts w:cs="FrankRuehl" w:hint="cs"/>
          <w:rtl/>
        </w:rPr>
        <w:t>(א)</w:t>
      </w:r>
      <w:r w:rsidR="004A1FAB">
        <w:rPr>
          <w:rStyle w:val="default"/>
          <w:rFonts w:cs="FrankRuehl" w:hint="cs"/>
          <w:rtl/>
        </w:rPr>
        <w:tab/>
        <w:t>אלה תפקידי המטה לביטחון לאומי:</w:t>
      </w:r>
    </w:p>
    <w:p w:rsidR="004A1FAB" w:rsidRDefault="004A1FAB" w:rsidP="003262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לרכז את עבודת המטה של הממשלה, של ועדת השרים לענייני ביטחון לאומי ושל כל ועדת שרים אחרת, בענייני החוץ והביטחון;</w:t>
      </w:r>
    </w:p>
    <w:p w:rsidR="004A1FAB" w:rsidRDefault="004A1FAB" w:rsidP="003262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להכין את דיוני הממשלה וועדותיה כאמור בפסקה (1), להציג את החלופות לגבי נושאי הדיון, נוסף על הצגתן על ידי הגופים הנוגעים בדבר, את ההבדלים בין החלופות ואת משמעותם, כפי שנבחנו על ידיו, וכן את המלצתו המנומקת לחלופה הנבחרת;</w:t>
      </w:r>
    </w:p>
    <w:p w:rsidR="004A1FAB" w:rsidRDefault="004A1FAB" w:rsidP="003262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לעקו אחר ביצוע החלטות הממשלה וועדותיה כאמור בפסקה (1) ולדווח על יישומן לראש הממשלה;</w:t>
      </w:r>
    </w:p>
    <w:p w:rsidR="004A1FAB" w:rsidRDefault="004A1FAB" w:rsidP="0032620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להציע לראש הממשלה סדר יום ונושאים לדיון לוועדת השרים לענייני ביטחון לאומי, ולכל ועדת שרים אחרת או הרכב שרים אחר בענייני החוץ והביטחון, ולהמליץ על זימון המשתתפים ועל דרג המוזמנים, לדיוניהן;</w:t>
      </w:r>
    </w:p>
    <w:p w:rsidR="004A1FAB" w:rsidRDefault="004A1FAB" w:rsidP="0032620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להיות אחראי מטעם ראש הממשלה על עבודת המטה הבין-ארגונית והבין-משרדית בענייני החוץ והביטחון, להציג לפניו את החלופות בתחום, את ההבדלים ביניהן ואת משמעותם, כפי שנבחנו על ידיו, ואת המלצתו לראש הממשלה על מדיניות בעניינים אלה, וכן להציג לממשלה את האמור, לפי החלטת ראש הממשלה;</w:t>
      </w:r>
    </w:p>
    <w:p w:rsidR="004A1FAB" w:rsidRDefault="004A1FAB" w:rsidP="0032620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להכין ולהגיש לוועדת השרים לענייני ביטחון לאומי, אחת לשנה לפחות, הערכה שנתית ורב-שנתית של המצב המדיני-ביטחוני, וכן להכין הערכות מצב לגבי ע</w:t>
      </w:r>
      <w:r w:rsidR="00082632">
        <w:rPr>
          <w:rStyle w:val="default"/>
          <w:rFonts w:cs="FrankRuehl" w:hint="cs"/>
          <w:rtl/>
        </w:rPr>
        <w:t>ני</w:t>
      </w:r>
      <w:r>
        <w:rPr>
          <w:rStyle w:val="default"/>
          <w:rFonts w:cs="FrankRuehl" w:hint="cs"/>
          <w:rtl/>
        </w:rPr>
        <w:t>ינים המשיקים להן, לרבות חוות דעת וניתוח בתחומי המודיעין השונים, לפי הצורך ובאישור ראש הממשלה; הערכות מצב כאמור וכן הערכות מטעם הגופים הביטחוניים שראש הממשלה ממונה עליהם, צבא הגנה לישראל, משרד הביטחון, משרד החוץ והמשרד לביטחון הפנים, יוגשו לראש הממשלה ויידונו בוועדת השרים לענייני ביטחון לאומי, לפחות אחת לשנה, באופן האמור בפסקה (2);</w:t>
      </w:r>
    </w:p>
    <w:p w:rsidR="004A1FAB" w:rsidRDefault="004A1FAB" w:rsidP="0032620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082632">
        <w:rPr>
          <w:rStyle w:val="default"/>
          <w:rFonts w:cs="FrankRuehl" w:hint="cs"/>
          <w:rtl/>
        </w:rPr>
        <w:t xml:space="preserve">להכין את עבודת המטה בעבור ראש הממשלה לקראת הדיונים בתקציב הביטחון, וכן כל סעיף תקציב אחר ששר הביטחון, או מי שהוא מינהו לכך, ממונה עליו, בתקציב ששר החוץ ממונה עליו ובתקציב הגופים הביטחוניים שראש הממשלה ממונה עליהם, לרבות גיבוש חלופות, על פי סדרי עדיפות מנומקים בראיה כוללת; בחוק זה </w:t>
      </w:r>
      <w:r w:rsidR="00082632">
        <w:rPr>
          <w:rStyle w:val="default"/>
          <w:rFonts w:cs="FrankRuehl"/>
          <w:rtl/>
        </w:rPr>
        <w:t>–</w:t>
      </w:r>
    </w:p>
    <w:p w:rsidR="00082632" w:rsidRDefault="00082632" w:rsidP="00326208">
      <w:pPr>
        <w:pStyle w:val="P00"/>
        <w:spacing w:before="72"/>
        <w:ind w:left="1021" w:right="1134"/>
        <w:rPr>
          <w:rStyle w:val="default"/>
          <w:rFonts w:cs="FrankRuehl" w:hint="cs"/>
          <w:rtl/>
        </w:rPr>
      </w:pPr>
      <w:r>
        <w:rPr>
          <w:rStyle w:val="default"/>
          <w:rFonts w:cs="FrankRuehl" w:hint="cs"/>
          <w:rtl/>
        </w:rPr>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082632" w:rsidRDefault="00082632" w:rsidP="00326208">
      <w:pPr>
        <w:pStyle w:val="P00"/>
        <w:spacing w:before="72"/>
        <w:ind w:left="1021" w:right="1134"/>
        <w:rPr>
          <w:rStyle w:val="default"/>
          <w:rFonts w:cs="FrankRuehl" w:hint="cs"/>
          <w:rtl/>
        </w:rPr>
      </w:pPr>
      <w:r>
        <w:rPr>
          <w:rStyle w:val="default"/>
          <w:rFonts w:cs="FrankRuehl" w:hint="cs"/>
          <w:rtl/>
        </w:rPr>
        <w:t xml:space="preserve">"סעיף תקציב" </w:t>
      </w:r>
      <w:r>
        <w:rPr>
          <w:rStyle w:val="default"/>
          <w:rFonts w:cs="FrankRuehl"/>
          <w:rtl/>
        </w:rPr>
        <w:t>–</w:t>
      </w:r>
      <w:r>
        <w:rPr>
          <w:rStyle w:val="default"/>
          <w:rFonts w:cs="FrankRuehl" w:hint="cs"/>
          <w:rtl/>
        </w:rPr>
        <w:t xml:space="preserve"> כהגדרתו בחוק תקציב שנתי, כמשמעותו בחוק יסודות התקציב;</w:t>
      </w:r>
    </w:p>
    <w:p w:rsidR="00082632" w:rsidRDefault="00082632" w:rsidP="00326208">
      <w:pPr>
        <w:pStyle w:val="P00"/>
        <w:spacing w:before="72"/>
        <w:ind w:left="1021" w:right="1134"/>
        <w:rPr>
          <w:rStyle w:val="default"/>
          <w:rFonts w:cs="FrankRuehl" w:hint="cs"/>
          <w:rtl/>
        </w:rPr>
      </w:pPr>
      <w:r>
        <w:rPr>
          <w:rStyle w:val="default"/>
          <w:rFonts w:cs="FrankRuehl" w:hint="cs"/>
          <w:rtl/>
        </w:rPr>
        <w:t xml:space="preserve">"תקציב הביטחון" </w:t>
      </w:r>
      <w:r>
        <w:rPr>
          <w:rStyle w:val="default"/>
          <w:rFonts w:cs="FrankRuehl"/>
          <w:rtl/>
        </w:rPr>
        <w:t>–</w:t>
      </w:r>
      <w:r>
        <w:rPr>
          <w:rStyle w:val="default"/>
          <w:rFonts w:cs="FrankRuehl" w:hint="cs"/>
          <w:rtl/>
        </w:rPr>
        <w:t xml:space="preserve"> כמשמעותו בפרק ג' לחוק יסודות התקציב;</w:t>
      </w:r>
    </w:p>
    <w:p w:rsidR="00082632" w:rsidRDefault="00082632" w:rsidP="0032620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8F6265">
        <w:rPr>
          <w:rStyle w:val="default"/>
          <w:rFonts w:cs="FrankRuehl" w:hint="cs"/>
          <w:rtl/>
        </w:rPr>
        <w:t>להפעיל את המרכז לניהול משברים לאומיים במשרד ראש הממשלה;</w:t>
      </w:r>
    </w:p>
    <w:p w:rsidR="008F6265" w:rsidRDefault="008F6265" w:rsidP="0032620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לבחון את תפיסת הביטחון של מדינת ישראל ולהציע לה עדכונים;</w:t>
      </w:r>
    </w:p>
    <w:p w:rsidR="008F6265" w:rsidRDefault="008F6265" w:rsidP="00326208">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לבחון מיזמים ביטחוניים בעלי חשיבות בתחום המדיני-ביטחוני ולהציג את עמדתו לפני הממשלה, ועדת השרים לענייני ביטחון לאומי או כל גוף אחר שיחליט </w:t>
      </w:r>
      <w:r>
        <w:rPr>
          <w:rStyle w:val="default"/>
          <w:rFonts w:cs="FrankRuehl" w:hint="cs"/>
          <w:rtl/>
        </w:rPr>
        <w:lastRenderedPageBreak/>
        <w:t>עליו ראש הממשלה, לרבות גיבוש חלופות על פי סדרי עדיפות מנומקים בראיה כוללת, אלא אם כן הורה ראש הממשלה אחרת;</w:t>
      </w:r>
    </w:p>
    <w:p w:rsidR="008F6265" w:rsidRDefault="008F6265" w:rsidP="00326208">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לבצע כל תפקיד מטה אחר בענייני החוץ והביטחון ובתחום אחר שקבע ראש הממשלה.</w:t>
      </w:r>
    </w:p>
    <w:p w:rsidR="008F6265" w:rsidRDefault="008F6265" w:rsidP="008F6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26208">
        <w:rPr>
          <w:rStyle w:val="default"/>
          <w:rFonts w:cs="FrankRuehl" w:hint="cs"/>
          <w:rtl/>
        </w:rPr>
        <w:t>לשם מילוי תפקידיו כאמור בסעיף 2 רשאי ראש המטה לביטחון לאומי לקיים דיונים שאליהם יוזמנו נציגי הגופים הביטחוניים שראש הממשלה ממונה עליהם, צבא הגנה לישראל, משטרת ישראל ומשרדי הממשלה הנוגעים בדבר, בדרג שעליו יחליט ראש המטה לביטחון לאומי; מי שהוזמן כאמור, חייב להתייצב לדיון, אלא אם כן שוכנע ראש המטה כי הדבר אינו אפשרי בנסיבות העניין.</w:t>
      </w:r>
    </w:p>
    <w:p w:rsidR="0003781E" w:rsidRDefault="003041B8" w:rsidP="00DE728B">
      <w:pPr>
        <w:pStyle w:val="P00"/>
        <w:spacing w:before="72"/>
        <w:ind w:left="0" w:right="1134"/>
        <w:rPr>
          <w:rStyle w:val="default"/>
          <w:rFonts w:cs="FrankRuehl" w:hint="cs"/>
          <w:rtl/>
        </w:rPr>
      </w:pPr>
      <w:bookmarkStart w:id="2" w:name="Seif3"/>
      <w:bookmarkEnd w:id="2"/>
      <w:r>
        <w:rPr>
          <w:rFonts w:cs="Miriam"/>
          <w:lang w:val="he-IL"/>
        </w:rPr>
        <w:pict>
          <v:rect id="_x0000_s1518" style="position:absolute;left:0;text-align:left;margin-left:464.35pt;margin-top:7.1pt;width:75.05pt;height:18.05pt;z-index:251652608" o:allowincell="f" filled="f" stroked="f" strokecolor="lime" strokeweight=".25pt">
            <v:textbox style="mso-next-textbox:#_x0000_s1518" inset="0,0,0,0">
              <w:txbxContent>
                <w:p w:rsidR="004A1FAB" w:rsidRDefault="00326208" w:rsidP="003041B8">
                  <w:pPr>
                    <w:spacing w:line="160" w:lineRule="exact"/>
                    <w:rPr>
                      <w:rFonts w:cs="Miriam" w:hint="cs"/>
                      <w:noProof/>
                      <w:sz w:val="18"/>
                      <w:szCs w:val="18"/>
                      <w:rtl/>
                    </w:rPr>
                  </w:pPr>
                  <w:r>
                    <w:rPr>
                      <w:rFonts w:cs="Miriam" w:hint="cs"/>
                      <w:sz w:val="18"/>
                      <w:szCs w:val="18"/>
                      <w:rtl/>
                    </w:rPr>
                    <w:t>מינוי ראש המטה לביטחון לאומי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326208">
        <w:rPr>
          <w:rStyle w:val="default"/>
          <w:rFonts w:cs="FrankRuehl" w:hint="cs"/>
          <w:rtl/>
        </w:rPr>
        <w:t>(א)</w:t>
      </w:r>
      <w:r w:rsidR="00326208">
        <w:rPr>
          <w:rStyle w:val="default"/>
          <w:rFonts w:cs="FrankRuehl" w:hint="cs"/>
          <w:rtl/>
        </w:rPr>
        <w:tab/>
        <w:t xml:space="preserve">ראש המטה לביטחון לאומי ימונה בידי ראש הממשלה באישור הממשלה; על המינוי האמור לא תחול חובת המכרז לפי סעיף 19 לחוק שירות המדינה (מינויים), התשי"ט-1959 (להלן </w:t>
      </w:r>
      <w:r w:rsidR="00326208">
        <w:rPr>
          <w:rStyle w:val="default"/>
          <w:rFonts w:cs="FrankRuehl"/>
          <w:rtl/>
        </w:rPr>
        <w:t>–</w:t>
      </w:r>
      <w:r w:rsidR="00326208">
        <w:rPr>
          <w:rStyle w:val="default"/>
          <w:rFonts w:cs="FrankRuehl" w:hint="cs"/>
          <w:rtl/>
        </w:rPr>
        <w:t xml:space="preserve"> חוק המינויים).</w:t>
      </w:r>
    </w:p>
    <w:p w:rsidR="00326208" w:rsidRDefault="00326208" w:rsidP="003262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לכהן כראש המטה לביטחון לאומי מי שמתקיימים בו כל אלה:</w:t>
      </w:r>
    </w:p>
    <w:p w:rsidR="00326208" w:rsidRDefault="00326208" w:rsidP="00787C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87C76">
        <w:rPr>
          <w:rStyle w:val="default"/>
          <w:rFonts w:cs="FrankRuehl" w:hint="cs"/>
          <w:rtl/>
        </w:rPr>
        <w:t>הוא אזרחי ישראלי בשבע השנים שקדמו למינויו ותושב ישראל, ואינו בעל אזרחות נוספת שאינה ישראלית;</w:t>
      </w:r>
    </w:p>
    <w:p w:rsidR="00787C76" w:rsidRDefault="00787C76" w:rsidP="00787C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מומחיות, רקע וניסיון בתחומים הנוגעים לענייני החוץ והביטחון של מדינת ישראל;</w:t>
      </w:r>
    </w:p>
    <w:p w:rsidR="00787C76" w:rsidRDefault="00787C76" w:rsidP="00787C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הורשע בעבירה שמפאת מהותה, חומרתה או נסיבותיה אין הוא ראוי לשמש כראש המטה לביטחון לאומי;</w:t>
      </w:r>
    </w:p>
    <w:p w:rsidR="00787C76" w:rsidRDefault="00787C76" w:rsidP="00787C7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תלוי ועומד נגדו כתב אישום בעבירה שלדעת היועץ המשפטי לממשלה מפאת מהותה, חומרתה או נסיבותיה של העבירה אין הוא ראוי לשמש כראש המטה לביטחון לאומי.</w:t>
      </w:r>
    </w:p>
    <w:p w:rsidR="00787C76" w:rsidRDefault="00787C76" w:rsidP="00787C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המטה לביטחון לאומי יהיה כפוף לראש הממשלה, וישמש היועץ לביטחון לאומי.</w:t>
      </w:r>
    </w:p>
    <w:p w:rsidR="003041B8" w:rsidRDefault="003041B8" w:rsidP="00DE728B">
      <w:pPr>
        <w:pStyle w:val="P00"/>
        <w:spacing w:before="72"/>
        <w:ind w:left="0" w:right="1134"/>
        <w:rPr>
          <w:rStyle w:val="default"/>
          <w:rFonts w:cs="FrankRuehl" w:hint="cs"/>
          <w:rtl/>
        </w:rPr>
      </w:pPr>
      <w:bookmarkStart w:id="3" w:name="Seif4"/>
      <w:bookmarkEnd w:id="3"/>
      <w:r>
        <w:rPr>
          <w:rFonts w:cs="Miriam"/>
          <w:lang w:val="he-IL"/>
        </w:rPr>
        <w:pict>
          <v:rect id="_x0000_s1519" style="position:absolute;left:0;text-align:left;margin-left:464.35pt;margin-top:7.1pt;width:75.05pt;height:32.25pt;z-index:251653632" o:allowincell="f" filled="f" stroked="f" strokecolor="lime" strokeweight=".25pt">
            <v:textbox style="mso-next-textbox:#_x0000_s1519" inset="0,0,0,0">
              <w:txbxContent>
                <w:p w:rsidR="004A1FAB" w:rsidRDefault="00787C76" w:rsidP="00787C76">
                  <w:pPr>
                    <w:spacing w:line="160" w:lineRule="exact"/>
                    <w:rPr>
                      <w:rFonts w:cs="Miriam" w:hint="cs"/>
                      <w:noProof/>
                      <w:sz w:val="18"/>
                      <w:szCs w:val="18"/>
                      <w:rtl/>
                    </w:rPr>
                  </w:pPr>
                  <w:r>
                    <w:rPr>
                      <w:rFonts w:cs="Miriam" w:hint="cs"/>
                      <w:sz w:val="18"/>
                      <w:szCs w:val="18"/>
                      <w:rtl/>
                    </w:rPr>
                    <w:t>הפסקת כהונה של ראש המטה לביטחון לאומי</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787C76">
        <w:rPr>
          <w:rStyle w:val="default"/>
          <w:rFonts w:cs="FrankRuehl" w:hint="cs"/>
          <w:rtl/>
        </w:rPr>
        <w:t>כהונתו של ראש המטה לביטחון לאומי תפקע באחת מאלה:</w:t>
      </w:r>
    </w:p>
    <w:p w:rsidR="00787C76" w:rsidRDefault="00787C76" w:rsidP="00787C7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הודיע לממשלה בכתב על סיום כהונתו;</w:t>
      </w:r>
    </w:p>
    <w:p w:rsidR="00787C76" w:rsidRDefault="00787C76" w:rsidP="00787C7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הממשלה החליטה, על פי המלצת ראש הממשלה, כי נבצר ממנו, דרך קבע, למלא את תפקידו;</w:t>
      </w:r>
    </w:p>
    <w:p w:rsidR="00787C76" w:rsidRDefault="00787C76" w:rsidP="00787C7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ראש הממשלה הודיע לראש המטה לביטחון לאומי כי החליט לבטל את מינויו; הודעה כאמור תימסר לממשלה;</w:t>
      </w:r>
    </w:p>
    <w:p w:rsidR="00787C76" w:rsidRDefault="00787C76" w:rsidP="00787C7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הוגש נגדו כתב אישום בשל עבירה שלדעת היועץ המשפטי לממשלה מפאת מהותה, חומרתה או נסיבותיה של העבירה אין הוא ראוי לשמש כראש המטה לביטחון לאומי.</w:t>
      </w:r>
    </w:p>
    <w:p w:rsidR="0003781E" w:rsidRDefault="003041B8" w:rsidP="00DE728B">
      <w:pPr>
        <w:pStyle w:val="P00"/>
        <w:spacing w:before="72"/>
        <w:ind w:left="0" w:right="1134"/>
        <w:rPr>
          <w:rStyle w:val="default"/>
          <w:rFonts w:cs="FrankRuehl" w:hint="cs"/>
          <w:rtl/>
        </w:rPr>
      </w:pPr>
      <w:bookmarkStart w:id="4" w:name="Seif5"/>
      <w:bookmarkEnd w:id="4"/>
      <w:r>
        <w:rPr>
          <w:rFonts w:cs="Miriam"/>
          <w:lang w:val="he-IL"/>
        </w:rPr>
        <w:pict>
          <v:rect id="_x0000_s1520" style="position:absolute;left:0;text-align:left;margin-left:464.35pt;margin-top:7.1pt;width:75.05pt;height:18.05pt;z-index:251654656" o:allowincell="f" filled="f" stroked="f" strokecolor="lime" strokeweight=".25pt">
            <v:textbox style="mso-next-textbox:#_x0000_s1520" inset="0,0,0,0">
              <w:txbxContent>
                <w:p w:rsidR="004A1FAB" w:rsidRDefault="000C220C" w:rsidP="003041B8">
                  <w:pPr>
                    <w:spacing w:line="160" w:lineRule="exact"/>
                    <w:rPr>
                      <w:rFonts w:cs="Miriam" w:hint="cs"/>
                      <w:noProof/>
                      <w:sz w:val="18"/>
                      <w:szCs w:val="18"/>
                      <w:rtl/>
                    </w:rPr>
                  </w:pPr>
                  <w:r>
                    <w:rPr>
                      <w:rFonts w:cs="Miriam" w:hint="cs"/>
                      <w:sz w:val="18"/>
                      <w:szCs w:val="18"/>
                      <w:rtl/>
                    </w:rPr>
                    <w:t>המשנה לראש המטה לביטחון לאומי</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03781E">
        <w:rPr>
          <w:rStyle w:val="default"/>
          <w:rFonts w:cs="FrankRuehl" w:hint="cs"/>
          <w:rtl/>
        </w:rPr>
        <w:t>(א)</w:t>
      </w:r>
      <w:r w:rsidR="0003781E">
        <w:rPr>
          <w:rStyle w:val="default"/>
          <w:rFonts w:cs="FrankRuehl" w:hint="cs"/>
          <w:rtl/>
        </w:rPr>
        <w:tab/>
      </w:r>
      <w:r w:rsidR="000C220C">
        <w:rPr>
          <w:rStyle w:val="default"/>
          <w:rFonts w:cs="FrankRuehl" w:hint="cs"/>
          <w:rtl/>
        </w:rPr>
        <w:t>ראש הממשלה, בהמלצת ראש המטה לביטחון לאומי ובאישור הממשלה, ימנה משנה לראש המטה לביטחון לאומי; על המינוי האמור לא תחול חובת המכרז לפי חוק המינויים.</w:t>
      </w:r>
    </w:p>
    <w:p w:rsidR="000C220C" w:rsidRDefault="000C220C" w:rsidP="000C22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לכהן כמשנה לראש המטה לביטחון לאומי מי שהוא אזרח ישראלי ותושב ישראל; כן יחולו על תנאי כשירותו של המשנה לראש המטה לביטחון לאומי הוראות סעיף 3(ב)(2) עד (4), בשינויים המחויבים.</w:t>
      </w:r>
    </w:p>
    <w:p w:rsidR="000C220C" w:rsidRDefault="000C220C" w:rsidP="000C22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המשנה לראש המטה לביטחון לאומי יהיה כפוף לראש המטה לביטחון לאומי וישמש ממלא מקומו.</w:t>
      </w:r>
    </w:p>
    <w:p w:rsidR="000C220C" w:rsidRDefault="000C220C" w:rsidP="000C220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תקופת כהונתו של המשנה לראש המטה לביטחון לאומי תהיה חמש שנים ויהיה ניתן להאריכה בתקופות נוספות ובלבד שלא יכהן יותר מעשר שנים.</w:t>
      </w:r>
    </w:p>
    <w:p w:rsidR="000C220C" w:rsidRDefault="000C220C" w:rsidP="000C220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פקיעת כהונתו של המשנה לראש המטה לביטחון לאומי יחולו הוראות סעיף 4(1), (2) ו-(4), בשינויים המחויבים; כן תפקע כהונתו של המשנה לראש המטה לביטחון לאומי אם ראש הממשלה, בהמלצת ראש המטה לביטחון לאומי, הודיע לו כי החליט לבטל את מינויו.</w:t>
      </w:r>
    </w:p>
    <w:p w:rsidR="00E74BAB" w:rsidRDefault="00E74BAB" w:rsidP="00DE728B">
      <w:pPr>
        <w:pStyle w:val="P00"/>
        <w:spacing w:before="72"/>
        <w:ind w:left="0" w:right="1134"/>
        <w:rPr>
          <w:rStyle w:val="default"/>
          <w:rFonts w:cs="FrankRuehl" w:hint="cs"/>
          <w:rtl/>
        </w:rPr>
      </w:pPr>
      <w:bookmarkStart w:id="5" w:name="Seif6"/>
      <w:bookmarkEnd w:id="5"/>
      <w:r>
        <w:rPr>
          <w:rFonts w:cs="Miriam"/>
          <w:lang w:val="he-IL"/>
        </w:rPr>
        <w:pict>
          <v:rect id="_x0000_s1521" style="position:absolute;left:0;text-align:left;margin-left:464.35pt;margin-top:7.1pt;width:75.05pt;height:18.05pt;z-index:251655680" o:allowincell="f" filled="f" stroked="f" strokecolor="lime" strokeweight=".25pt">
            <v:textbox style="mso-next-textbox:#_x0000_s1521" inset="0,0,0,0">
              <w:txbxContent>
                <w:p w:rsidR="004A1FAB" w:rsidRDefault="000C220C" w:rsidP="00E74BAB">
                  <w:pPr>
                    <w:spacing w:line="160" w:lineRule="exact"/>
                    <w:rPr>
                      <w:rFonts w:cs="Miriam" w:hint="cs"/>
                      <w:noProof/>
                      <w:sz w:val="18"/>
                      <w:szCs w:val="18"/>
                      <w:rtl/>
                    </w:rPr>
                  </w:pPr>
                  <w:r>
                    <w:rPr>
                      <w:rFonts w:cs="Miriam" w:hint="cs"/>
                      <w:sz w:val="18"/>
                      <w:szCs w:val="18"/>
                      <w:rtl/>
                    </w:rPr>
                    <w:t>העברת מידע</w:t>
                  </w:r>
                </w:p>
              </w:txbxContent>
            </v:textbox>
            <w10:anchorlock/>
          </v:rect>
        </w:pict>
      </w:r>
      <w:r w:rsidR="0003781E">
        <w:rPr>
          <w:rStyle w:val="big-number"/>
          <w:rFonts w:cs="Miriam" w:hint="cs"/>
          <w:rtl/>
        </w:rPr>
        <w:t>6</w:t>
      </w:r>
      <w:r>
        <w:rPr>
          <w:rStyle w:val="big-number"/>
          <w:rFonts w:cs="FrankRuehl"/>
          <w:sz w:val="26"/>
          <w:szCs w:val="26"/>
          <w:rtl/>
        </w:rPr>
        <w:t>.</w:t>
      </w:r>
      <w:r>
        <w:rPr>
          <w:rStyle w:val="big-number"/>
          <w:rFonts w:cs="FrankRuehl"/>
          <w:sz w:val="26"/>
          <w:szCs w:val="26"/>
          <w:rtl/>
        </w:rPr>
        <w:tab/>
      </w:r>
      <w:r w:rsidR="00073902">
        <w:rPr>
          <w:rStyle w:val="default"/>
          <w:rFonts w:cs="FrankRuehl" w:hint="cs"/>
          <w:rtl/>
        </w:rPr>
        <w:t>(א)</w:t>
      </w:r>
      <w:r w:rsidR="00073902">
        <w:rPr>
          <w:rStyle w:val="default"/>
          <w:rFonts w:cs="FrankRuehl" w:hint="cs"/>
          <w:rtl/>
        </w:rPr>
        <w:tab/>
      </w:r>
      <w:r w:rsidR="000C220C">
        <w:rPr>
          <w:rStyle w:val="default"/>
          <w:rFonts w:cs="FrankRuehl" w:hint="cs"/>
          <w:rtl/>
        </w:rPr>
        <w:t>כל מידע בענייני החוץ והביטחון המועבר לעיונו של ראש הממשלה יועבר על ידי הגורם שהעביר את המידע גם לעיונו של ראש המטה לביטחון לאומי.</w:t>
      </w:r>
    </w:p>
    <w:p w:rsidR="000C220C" w:rsidRDefault="000C220C" w:rsidP="00A037B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ראש המטה לביטחון לאומי או מי שהוא הסמיך לכך מבין עובדי המטה לביטחון לאומי רשאי לדרוש ממשרדי הממשלה ומיחידות הסמך שלהם, מצבא הגנה לישראל, מהגופים הביטחוניים שראש הממשלה ממונה עליהם וממשטרת ישראל, מידע, מסמכים ודוחות (בסעיף קטן זה </w:t>
      </w:r>
      <w:r>
        <w:rPr>
          <w:rStyle w:val="default"/>
          <w:rFonts w:cs="FrankRuehl"/>
          <w:rtl/>
        </w:rPr>
        <w:t>–</w:t>
      </w:r>
      <w:r>
        <w:rPr>
          <w:rStyle w:val="default"/>
          <w:rFonts w:cs="FrankRuehl" w:hint="cs"/>
          <w:rtl/>
        </w:rPr>
        <w:t xml:space="preserve"> מידע), שבתחום סמכותו של </w:t>
      </w:r>
      <w:r w:rsidR="00A037BB">
        <w:rPr>
          <w:rStyle w:val="default"/>
          <w:rFonts w:cs="FrankRuehl" w:hint="cs"/>
          <w:rtl/>
        </w:rPr>
        <w:t>אותו משרד או גוף, הדרושים לו למילוי תפקידו במטה לביטחון לאומי;</w:t>
      </w:r>
    </w:p>
    <w:p w:rsidR="00A037BB" w:rsidRDefault="00A037BB" w:rsidP="00A037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שנדרש למסור ידע כאמור בפסקה (1), ימסור למטה לביטחון לאומי את המידע המלא בלא דיחוי; בהעדר הסכמה על מסירת המידע כאמור, תובא המחלוקת להכרעתו של ראש הממשלה; לא הסכימה משטרת ישראל למסור את המידע לפי דרישה כאמור בפסקה (1), בנימוק כי המידע נוגע לעניין המצוי בחקירה פלילית, יכריע במחלוקת ראש הממשלה לאחר שהיועץ המשפטי לממשלה הביא לפניו את חוות דעתו בעניין;</w:t>
      </w:r>
    </w:p>
    <w:p w:rsidR="00A037BB" w:rsidRDefault="00DE728B" w:rsidP="00860B91">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60" type="#_x0000_t202" style="position:absolute;left:0;text-align:left;margin-left:470.35pt;margin-top:7.1pt;width:1in;height:18.85pt;z-index:251664896" filled="f" stroked="f">
            <v:textbox inset="1mm,0,1mm,0">
              <w:txbxContent>
                <w:p w:rsidR="00DE728B" w:rsidRDefault="00DE728B" w:rsidP="00DE728B">
                  <w:pPr>
                    <w:spacing w:line="160" w:lineRule="exact"/>
                    <w:rPr>
                      <w:rFonts w:cs="Miriam" w:hint="cs"/>
                      <w:noProof/>
                      <w:sz w:val="18"/>
                      <w:szCs w:val="18"/>
                      <w:rtl/>
                    </w:rPr>
                  </w:pPr>
                  <w:r>
                    <w:rPr>
                      <w:rFonts w:cs="Miriam" w:hint="cs"/>
                      <w:sz w:val="18"/>
                      <w:szCs w:val="18"/>
                      <w:rtl/>
                    </w:rPr>
                    <w:t>(תיקון מס' 1) תשע"ו-2016</w:t>
                  </w:r>
                </w:p>
              </w:txbxContent>
            </v:textbox>
            <w10:anchorlock/>
          </v:shape>
        </w:pict>
      </w:r>
      <w:r w:rsidR="00A037BB">
        <w:rPr>
          <w:rStyle w:val="default"/>
          <w:rFonts w:cs="FrankRuehl" w:hint="cs"/>
          <w:rtl/>
        </w:rPr>
        <w:t>(3)</w:t>
      </w:r>
      <w:r w:rsidR="00A037BB">
        <w:rPr>
          <w:rStyle w:val="default"/>
          <w:rFonts w:cs="FrankRuehl" w:hint="cs"/>
          <w:rtl/>
        </w:rPr>
        <w:tab/>
        <w:t>מ</w:t>
      </w:r>
      <w:r w:rsidR="00860B91">
        <w:rPr>
          <w:rStyle w:val="default"/>
          <w:rFonts w:cs="FrankRuehl" w:hint="cs"/>
          <w:rtl/>
        </w:rPr>
        <w:t>י</w:t>
      </w:r>
      <w:r w:rsidR="00A037BB">
        <w:rPr>
          <w:rStyle w:val="default"/>
          <w:rFonts w:cs="FrankRuehl" w:hint="cs"/>
          <w:rtl/>
        </w:rPr>
        <w:t>דע כאמור בפסקה (2) יימסר למטה לביטחון לאומי ויישמר בו בהתאם לתנאים ולסידורי ביטחון שייקבעו בהסכמת הקצין המוסמך כהגדרתו בחוק להסדרת הביטחון בגופים ציבוריים, התשנ"ח-1998, או כמשמעותו בסעיפים 21</w:t>
      </w:r>
      <w:r>
        <w:rPr>
          <w:rStyle w:val="default"/>
          <w:rFonts w:cs="FrankRuehl" w:hint="cs"/>
          <w:rtl/>
        </w:rPr>
        <w:t>,</w:t>
      </w:r>
      <w:r w:rsidR="00A037BB">
        <w:rPr>
          <w:rStyle w:val="default"/>
          <w:rFonts w:cs="FrankRuehl" w:hint="cs"/>
          <w:rtl/>
        </w:rPr>
        <w:t xml:space="preserve"> 21א </w:t>
      </w:r>
      <w:r>
        <w:rPr>
          <w:rStyle w:val="default"/>
          <w:rFonts w:cs="FrankRuehl" w:hint="cs"/>
          <w:rtl/>
        </w:rPr>
        <w:t xml:space="preserve">או 21ב </w:t>
      </w:r>
      <w:r w:rsidR="00A037BB">
        <w:rPr>
          <w:rStyle w:val="default"/>
          <w:rFonts w:cs="FrankRuehl" w:hint="cs"/>
          <w:rtl/>
        </w:rPr>
        <w:t>לחוק האמור, לפי העניין, לגבי המשרד או הגוף שמסר את המ</w:t>
      </w:r>
      <w:r w:rsidR="00860B91">
        <w:rPr>
          <w:rStyle w:val="default"/>
          <w:rFonts w:cs="FrankRuehl" w:hint="cs"/>
          <w:rtl/>
        </w:rPr>
        <w:t>י</w:t>
      </w:r>
      <w:r w:rsidR="00A037BB">
        <w:rPr>
          <w:rStyle w:val="default"/>
          <w:rFonts w:cs="FrankRuehl" w:hint="cs"/>
          <w:rtl/>
        </w:rPr>
        <w:t>דע ולעניין צבא הגנה לישראל, בהתאם לתנאים ולסידורי הביטחון שייקבעו בהסכמה עם מי שהסמיך ראש המטה הכללי בצבא הגנה לישראל לעניין זה בפקודות הצבא כהדגרתן בחוק השיפוט הצבאי, התשט"ו-1955;</w:t>
      </w:r>
    </w:p>
    <w:p w:rsidR="00A037BB" w:rsidRDefault="00A037BB" w:rsidP="00A037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לעניין עיון במידע, יקבע ראש המטה לביטחון לאומי את מגבלות התפוצה בתוך המטה לביטחון לאומי, בהסכמת הגוף שמסר את המידע; בהעדר הסכמה לעניין העיון במידע, תובא המחלוקת להכרעתו של ראש הממשלה;</w:t>
      </w:r>
    </w:p>
    <w:p w:rsidR="00A037BB" w:rsidRDefault="00A037BB" w:rsidP="00A037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בלי לגרוע מהוראות כל דין, עובד המטה לביטחון לאומי, בעבר או בהווה, לא ימסור מידע שהגיע אליו בתוקף תפקידו למי שאינו מוסמך לקבלו, אלא אם כן נדרש לכך כדין.</w:t>
      </w:r>
    </w:p>
    <w:p w:rsidR="00A037BB" w:rsidRDefault="00A037BB" w:rsidP="000C22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ראש הממשלה יקבע בתקנות או בכללים הוראות הנוגעות להעברת מידע למטה לביטחון לאומי בדבר פגישות, בענייני החוץ והביטחון, של שרים או מי מטעמם עם גורמים זרים, </w:t>
      </w:r>
      <w:r w:rsidR="001F68E1">
        <w:rPr>
          <w:rStyle w:val="default"/>
          <w:rFonts w:cs="FrankRuehl" w:hint="cs"/>
          <w:rtl/>
        </w:rPr>
        <w:t xml:space="preserve">של ראש המטה הכללי של צבא הגנה לישראל וראשי הגופים הביטחוניים שראש הממשלה ממונה עליהם או מי מטעמם עם מקביליהם ושל גורמים ישראליים עם גורמים זרים; בחוק זה, "כללים" </w:t>
      </w:r>
      <w:r w:rsidR="001F68E1">
        <w:rPr>
          <w:rStyle w:val="default"/>
          <w:rFonts w:cs="FrankRuehl"/>
          <w:rtl/>
        </w:rPr>
        <w:t>–</w:t>
      </w:r>
      <w:r w:rsidR="001F68E1">
        <w:rPr>
          <w:rStyle w:val="default"/>
          <w:rFonts w:cs="FrankRuehl" w:hint="cs"/>
          <w:rtl/>
        </w:rPr>
        <w:t xml:space="preserve"> הוראות בכתב שקבע ראש הממשלה ואינן טעונות פרסום ברשומות או פרסום פומבי אחר.</w:t>
      </w:r>
    </w:p>
    <w:p w:rsidR="00DE728B" w:rsidRPr="0004105E" w:rsidRDefault="00DE728B" w:rsidP="00DE728B">
      <w:pPr>
        <w:pStyle w:val="P00"/>
        <w:spacing w:before="0"/>
        <w:ind w:left="1021" w:right="1134"/>
        <w:rPr>
          <w:rStyle w:val="default"/>
          <w:rFonts w:cs="FrankRuehl" w:hint="cs"/>
          <w:vanish/>
          <w:color w:val="FF0000"/>
          <w:sz w:val="20"/>
          <w:szCs w:val="20"/>
          <w:shd w:val="clear" w:color="auto" w:fill="FFFF99"/>
          <w:rtl/>
        </w:rPr>
      </w:pPr>
      <w:bookmarkStart w:id="6" w:name="Rov15"/>
      <w:r w:rsidRPr="0004105E">
        <w:rPr>
          <w:rStyle w:val="default"/>
          <w:rFonts w:cs="FrankRuehl" w:hint="cs"/>
          <w:vanish/>
          <w:color w:val="FF0000"/>
          <w:sz w:val="20"/>
          <w:szCs w:val="20"/>
          <w:shd w:val="clear" w:color="auto" w:fill="FFFF99"/>
          <w:rtl/>
        </w:rPr>
        <w:t xml:space="preserve">מיום 16.8.2016 </w:t>
      </w:r>
      <w:r w:rsidRPr="0004105E">
        <w:rPr>
          <w:rStyle w:val="default"/>
          <w:rFonts w:cs="FrankRuehl" w:hint="cs"/>
          <w:strike/>
          <w:vanish/>
          <w:color w:val="FF0000"/>
          <w:sz w:val="20"/>
          <w:szCs w:val="20"/>
          <w:shd w:val="clear" w:color="auto" w:fill="FFFF99"/>
          <w:rtl/>
        </w:rPr>
        <w:t>עד יום 31.12.2018</w:t>
      </w:r>
    </w:p>
    <w:p w:rsidR="00DE728B" w:rsidRPr="0004105E" w:rsidRDefault="00DE728B" w:rsidP="00DE728B">
      <w:pPr>
        <w:pStyle w:val="P00"/>
        <w:spacing w:before="0"/>
        <w:ind w:left="1021" w:right="1134"/>
        <w:rPr>
          <w:rStyle w:val="default"/>
          <w:rFonts w:cs="FrankRuehl" w:hint="cs"/>
          <w:vanish/>
          <w:sz w:val="20"/>
          <w:szCs w:val="20"/>
          <w:shd w:val="clear" w:color="auto" w:fill="FFFF99"/>
          <w:rtl/>
        </w:rPr>
      </w:pPr>
      <w:r w:rsidRPr="0004105E">
        <w:rPr>
          <w:rStyle w:val="default"/>
          <w:rFonts w:cs="FrankRuehl" w:hint="cs"/>
          <w:b/>
          <w:bCs/>
          <w:vanish/>
          <w:szCs w:val="20"/>
          <w:shd w:val="clear" w:color="auto" w:fill="FFFF99"/>
          <w:rtl/>
        </w:rPr>
        <w:t>תיקון מס' 1</w:t>
      </w:r>
      <w:r w:rsidRPr="0004105E">
        <w:rPr>
          <w:rStyle w:val="default"/>
          <w:rFonts w:cs="FrankRuehl" w:hint="cs"/>
          <w:b/>
          <w:bCs/>
          <w:vanish/>
          <w:sz w:val="20"/>
          <w:szCs w:val="20"/>
          <w:shd w:val="clear" w:color="auto" w:fill="FFFF99"/>
          <w:rtl/>
        </w:rPr>
        <w:t xml:space="preserve"> תשע"ו-2016</w:t>
      </w:r>
    </w:p>
    <w:p w:rsidR="00DE728B" w:rsidRPr="0004105E" w:rsidRDefault="00DE728B" w:rsidP="00DE728B">
      <w:pPr>
        <w:pStyle w:val="P00"/>
        <w:spacing w:before="0"/>
        <w:ind w:left="1021" w:right="1134"/>
        <w:rPr>
          <w:rStyle w:val="default"/>
          <w:rFonts w:cs="FrankRuehl" w:hint="cs"/>
          <w:vanish/>
          <w:szCs w:val="20"/>
          <w:shd w:val="clear" w:color="auto" w:fill="FFFF99"/>
          <w:rtl/>
        </w:rPr>
      </w:pPr>
      <w:hyperlink r:id="rId7" w:history="1">
        <w:r w:rsidRPr="0004105E">
          <w:rPr>
            <w:rStyle w:val="Hyperlink"/>
            <w:rFonts w:cs="FrankRuehl" w:hint="cs"/>
            <w:vanish/>
            <w:szCs w:val="20"/>
            <w:shd w:val="clear" w:color="auto" w:fill="FFFF99"/>
            <w:rtl/>
          </w:rPr>
          <w:t>ס"ח תשע"ו מס' 2579</w:t>
        </w:r>
      </w:hyperlink>
      <w:r w:rsidRPr="0004105E">
        <w:rPr>
          <w:rStyle w:val="default"/>
          <w:rFonts w:cs="FrankRuehl" w:hint="cs"/>
          <w:vanish/>
          <w:sz w:val="20"/>
          <w:szCs w:val="20"/>
          <w:shd w:val="clear" w:color="auto" w:fill="FFFF99"/>
          <w:rtl/>
        </w:rPr>
        <w:t xml:space="preserve"> מיום 16.8.2016 עמ' 1223 (</w:t>
      </w:r>
      <w:hyperlink r:id="rId8" w:history="1">
        <w:r w:rsidRPr="0004105E">
          <w:rPr>
            <w:rStyle w:val="Hyperlink"/>
            <w:rFonts w:cs="FrankRuehl" w:hint="cs"/>
            <w:vanish/>
            <w:szCs w:val="20"/>
            <w:shd w:val="clear" w:color="auto" w:fill="FFFF99"/>
            <w:rtl/>
          </w:rPr>
          <w:t>ה"ח 1049</w:t>
        </w:r>
      </w:hyperlink>
      <w:r w:rsidRPr="0004105E">
        <w:rPr>
          <w:rStyle w:val="default"/>
          <w:rFonts w:cs="FrankRuehl" w:hint="cs"/>
          <w:vanish/>
          <w:sz w:val="20"/>
          <w:szCs w:val="20"/>
          <w:shd w:val="clear" w:color="auto" w:fill="FFFF99"/>
          <w:rtl/>
        </w:rPr>
        <w:t>)</w:t>
      </w:r>
    </w:p>
    <w:p w:rsidR="0004105E" w:rsidRPr="0004105E" w:rsidRDefault="0004105E" w:rsidP="0004105E">
      <w:pPr>
        <w:pStyle w:val="P00"/>
        <w:spacing w:before="0"/>
        <w:ind w:left="1021" w:right="1134"/>
        <w:rPr>
          <w:rStyle w:val="default"/>
          <w:rFonts w:ascii="FrankRuehl" w:hAnsi="FrankRuehl" w:cs="FrankRuehl"/>
          <w:vanish/>
          <w:sz w:val="20"/>
          <w:szCs w:val="20"/>
          <w:shd w:val="clear" w:color="auto" w:fill="FFFF99"/>
          <w:rtl/>
        </w:rPr>
      </w:pPr>
      <w:r w:rsidRPr="0004105E">
        <w:rPr>
          <w:rStyle w:val="default"/>
          <w:rFonts w:ascii="FrankRuehl" w:hAnsi="FrankRuehl" w:cs="FrankRuehl"/>
          <w:b/>
          <w:bCs/>
          <w:vanish/>
          <w:sz w:val="20"/>
          <w:szCs w:val="20"/>
          <w:shd w:val="clear" w:color="auto" w:fill="FFFF99"/>
          <w:rtl/>
        </w:rPr>
        <w:t xml:space="preserve">תיקון מס' </w:t>
      </w:r>
      <w:r w:rsidRPr="0004105E">
        <w:rPr>
          <w:rStyle w:val="default"/>
          <w:rFonts w:ascii="FrankRuehl" w:hAnsi="FrankRuehl" w:cs="FrankRuehl" w:hint="cs"/>
          <w:b/>
          <w:bCs/>
          <w:vanish/>
          <w:szCs w:val="20"/>
          <w:shd w:val="clear" w:color="auto" w:fill="FFFF99"/>
          <w:rtl/>
        </w:rPr>
        <w:t>1</w:t>
      </w:r>
      <w:r w:rsidRPr="0004105E">
        <w:rPr>
          <w:rStyle w:val="default"/>
          <w:rFonts w:ascii="FrankRuehl" w:hAnsi="FrankRuehl" w:cs="FrankRuehl"/>
          <w:b/>
          <w:bCs/>
          <w:vanish/>
          <w:sz w:val="20"/>
          <w:szCs w:val="20"/>
          <w:shd w:val="clear" w:color="auto" w:fill="FFFF99"/>
          <w:rtl/>
        </w:rPr>
        <w:t xml:space="preserve"> (תיקון) תשע"ט-2018</w:t>
      </w:r>
    </w:p>
    <w:p w:rsidR="0004105E" w:rsidRPr="0004105E" w:rsidRDefault="0004105E" w:rsidP="0004105E">
      <w:pPr>
        <w:pStyle w:val="P00"/>
        <w:spacing w:before="0"/>
        <w:ind w:left="1021" w:right="1134"/>
        <w:rPr>
          <w:rStyle w:val="default"/>
          <w:rFonts w:ascii="FrankRuehl" w:hAnsi="FrankRuehl" w:cs="FrankRuehl"/>
          <w:vanish/>
          <w:sz w:val="20"/>
          <w:szCs w:val="20"/>
          <w:shd w:val="clear" w:color="auto" w:fill="FFFF99"/>
          <w:rtl/>
        </w:rPr>
      </w:pPr>
      <w:hyperlink r:id="rId9" w:history="1">
        <w:r w:rsidRPr="0004105E">
          <w:rPr>
            <w:rStyle w:val="Hyperlink"/>
            <w:rFonts w:ascii="FrankRuehl" w:hAnsi="FrankRuehl" w:cs="FrankRuehl"/>
            <w:vanish/>
            <w:szCs w:val="20"/>
            <w:shd w:val="clear" w:color="auto" w:fill="FFFF99"/>
            <w:rtl/>
          </w:rPr>
          <w:t>ס"ח תשע"ט מס' 2766</w:t>
        </w:r>
      </w:hyperlink>
      <w:r w:rsidRPr="0004105E">
        <w:rPr>
          <w:rStyle w:val="default"/>
          <w:rFonts w:ascii="FrankRuehl" w:hAnsi="FrankRuehl" w:cs="FrankRuehl"/>
          <w:vanish/>
          <w:sz w:val="20"/>
          <w:szCs w:val="20"/>
          <w:shd w:val="clear" w:color="auto" w:fill="FFFF99"/>
          <w:rtl/>
        </w:rPr>
        <w:t xml:space="preserve"> מיום 27.12.2018 עמ' 88 (</w:t>
      </w:r>
      <w:hyperlink r:id="rId10" w:history="1">
        <w:r w:rsidRPr="0004105E">
          <w:rPr>
            <w:rStyle w:val="Hyperlink"/>
            <w:rFonts w:ascii="FrankRuehl" w:hAnsi="FrankRuehl" w:cs="FrankRuehl"/>
            <w:vanish/>
            <w:szCs w:val="20"/>
            <w:shd w:val="clear" w:color="auto" w:fill="FFFF99"/>
            <w:rtl/>
          </w:rPr>
          <w:t>ה"ח 1276</w:t>
        </w:r>
      </w:hyperlink>
      <w:r w:rsidRPr="0004105E">
        <w:rPr>
          <w:rStyle w:val="default"/>
          <w:rFonts w:ascii="FrankRuehl" w:hAnsi="FrankRuehl" w:cs="FrankRuehl"/>
          <w:vanish/>
          <w:sz w:val="20"/>
          <w:szCs w:val="20"/>
          <w:shd w:val="clear" w:color="auto" w:fill="FFFF99"/>
          <w:rtl/>
        </w:rPr>
        <w:t>)</w:t>
      </w:r>
    </w:p>
    <w:p w:rsidR="00DE728B" w:rsidRPr="00DE728B" w:rsidRDefault="00DE728B" w:rsidP="0004105E">
      <w:pPr>
        <w:pStyle w:val="P00"/>
        <w:ind w:left="1021" w:right="1134"/>
        <w:rPr>
          <w:rStyle w:val="default"/>
          <w:rFonts w:cs="FrankRuehl" w:hint="cs"/>
          <w:sz w:val="2"/>
          <w:szCs w:val="2"/>
          <w:rtl/>
        </w:rPr>
      </w:pPr>
      <w:r w:rsidRPr="0004105E">
        <w:rPr>
          <w:rStyle w:val="default"/>
          <w:rFonts w:cs="FrankRuehl" w:hint="cs"/>
          <w:vanish/>
          <w:sz w:val="22"/>
          <w:szCs w:val="22"/>
          <w:shd w:val="clear" w:color="auto" w:fill="FFFF99"/>
          <w:rtl/>
        </w:rPr>
        <w:t>(3)</w:t>
      </w:r>
      <w:r w:rsidRPr="0004105E">
        <w:rPr>
          <w:rStyle w:val="default"/>
          <w:rFonts w:cs="FrankRuehl" w:hint="cs"/>
          <w:vanish/>
          <w:sz w:val="22"/>
          <w:szCs w:val="22"/>
          <w:shd w:val="clear" w:color="auto" w:fill="FFFF99"/>
          <w:rtl/>
        </w:rPr>
        <w:tab/>
        <w:t>מ</w:t>
      </w:r>
      <w:r w:rsidR="00860B91" w:rsidRPr="0004105E">
        <w:rPr>
          <w:rStyle w:val="default"/>
          <w:rFonts w:cs="FrankRuehl" w:hint="cs"/>
          <w:vanish/>
          <w:sz w:val="22"/>
          <w:szCs w:val="22"/>
          <w:shd w:val="clear" w:color="auto" w:fill="FFFF99"/>
          <w:rtl/>
        </w:rPr>
        <w:t>י</w:t>
      </w:r>
      <w:r w:rsidRPr="0004105E">
        <w:rPr>
          <w:rStyle w:val="default"/>
          <w:rFonts w:cs="FrankRuehl" w:hint="cs"/>
          <w:vanish/>
          <w:sz w:val="22"/>
          <w:szCs w:val="22"/>
          <w:shd w:val="clear" w:color="auto" w:fill="FFFF99"/>
          <w:rtl/>
        </w:rPr>
        <w:t xml:space="preserve">דע כאמור בפסקה (2) יימסר למטה לביטחון לאומי ויישמר בו בהתאם לתנאים ולסידורי ביטחון שייקבעו בהסכמת הקצין המוסמך כהגדרתו בחוק להסדרת הביטחון בגופים ציבוריים, התשנ"ח-1998, או כמשמעותו </w:t>
      </w:r>
      <w:r w:rsidRPr="0004105E">
        <w:rPr>
          <w:rStyle w:val="default"/>
          <w:rFonts w:cs="FrankRuehl" w:hint="cs"/>
          <w:strike/>
          <w:vanish/>
          <w:sz w:val="22"/>
          <w:szCs w:val="22"/>
          <w:shd w:val="clear" w:color="auto" w:fill="FFFF99"/>
          <w:rtl/>
        </w:rPr>
        <w:t>בסעיפים 21 ו-21א</w:t>
      </w:r>
      <w:r w:rsidRPr="0004105E">
        <w:rPr>
          <w:rStyle w:val="default"/>
          <w:rFonts w:cs="FrankRuehl" w:hint="cs"/>
          <w:vanish/>
          <w:sz w:val="22"/>
          <w:szCs w:val="22"/>
          <w:shd w:val="clear" w:color="auto" w:fill="FFFF99"/>
          <w:rtl/>
        </w:rPr>
        <w:t xml:space="preserve"> </w:t>
      </w:r>
      <w:r w:rsidRPr="0004105E">
        <w:rPr>
          <w:rStyle w:val="default"/>
          <w:rFonts w:cs="FrankRuehl" w:hint="cs"/>
          <w:vanish/>
          <w:sz w:val="22"/>
          <w:szCs w:val="22"/>
          <w:u w:val="single"/>
          <w:shd w:val="clear" w:color="auto" w:fill="FFFF99"/>
          <w:rtl/>
        </w:rPr>
        <w:t>בסעיפים 21, 21א או 21ב</w:t>
      </w:r>
      <w:r w:rsidRPr="0004105E">
        <w:rPr>
          <w:rStyle w:val="default"/>
          <w:rFonts w:cs="FrankRuehl" w:hint="cs"/>
          <w:vanish/>
          <w:sz w:val="22"/>
          <w:szCs w:val="22"/>
          <w:shd w:val="clear" w:color="auto" w:fill="FFFF99"/>
          <w:rtl/>
        </w:rPr>
        <w:t xml:space="preserve"> לחוק האמור, לפי העניין, לגבי המשרד או הגוף שמסר את המ</w:t>
      </w:r>
      <w:r w:rsidR="00860B91" w:rsidRPr="0004105E">
        <w:rPr>
          <w:rStyle w:val="default"/>
          <w:rFonts w:cs="FrankRuehl" w:hint="cs"/>
          <w:vanish/>
          <w:sz w:val="22"/>
          <w:szCs w:val="22"/>
          <w:shd w:val="clear" w:color="auto" w:fill="FFFF99"/>
          <w:rtl/>
        </w:rPr>
        <w:t>י</w:t>
      </w:r>
      <w:r w:rsidRPr="0004105E">
        <w:rPr>
          <w:rStyle w:val="default"/>
          <w:rFonts w:cs="FrankRuehl" w:hint="cs"/>
          <w:vanish/>
          <w:sz w:val="22"/>
          <w:szCs w:val="22"/>
          <w:shd w:val="clear" w:color="auto" w:fill="FFFF99"/>
          <w:rtl/>
        </w:rPr>
        <w:t>דע ולעניין צבא הגנה לישראל, בהתאם לתנאים ולסידורי הביטחון שייקבעו בהסכמה עם מי שהסמיך ראש המטה הכללי בצבא הגנה לישראל לעניין זה בפקודות הצבא כהדגרתן בחוק השיפוט הצבאי, התשט"ו-1955;</w:t>
      </w:r>
      <w:bookmarkEnd w:id="6"/>
    </w:p>
    <w:p w:rsidR="00E74BAB" w:rsidRDefault="00E74BAB" w:rsidP="00DE728B">
      <w:pPr>
        <w:pStyle w:val="P00"/>
        <w:spacing w:before="72"/>
        <w:ind w:left="0" w:right="1134"/>
        <w:rPr>
          <w:rStyle w:val="default"/>
          <w:rFonts w:cs="FrankRuehl" w:hint="cs"/>
          <w:rtl/>
        </w:rPr>
      </w:pPr>
      <w:bookmarkStart w:id="7" w:name="Seif7"/>
      <w:bookmarkEnd w:id="7"/>
      <w:r>
        <w:rPr>
          <w:rFonts w:cs="Miriam"/>
          <w:lang w:val="he-IL"/>
        </w:rPr>
        <w:pict>
          <v:rect id="_x0000_s1522" style="position:absolute;left:0;text-align:left;margin-left:464.35pt;margin-top:7.1pt;width:75.05pt;height:31.35pt;z-index:251656704" o:allowincell="f" filled="f" stroked="f" strokecolor="lime" strokeweight=".25pt">
            <v:textbox style="mso-next-textbox:#_x0000_s1522" inset="0,0,0,0">
              <w:txbxContent>
                <w:p w:rsidR="004A1FAB" w:rsidRDefault="001F68E1" w:rsidP="00E74BAB">
                  <w:pPr>
                    <w:spacing w:line="160" w:lineRule="exact"/>
                    <w:rPr>
                      <w:rFonts w:cs="Miriam" w:hint="cs"/>
                      <w:noProof/>
                      <w:sz w:val="18"/>
                      <w:szCs w:val="18"/>
                      <w:rtl/>
                    </w:rPr>
                  </w:pPr>
                  <w:r>
                    <w:rPr>
                      <w:rFonts w:cs="Miriam" w:hint="cs"/>
                      <w:sz w:val="18"/>
                      <w:szCs w:val="18"/>
                      <w:rtl/>
                    </w:rPr>
                    <w:t>זימון ראש המטה לביטחון לאומי לישיבות</w:t>
                  </w:r>
                </w:p>
              </w:txbxContent>
            </v:textbox>
            <w10:anchorlock/>
          </v:rect>
        </w:pict>
      </w:r>
      <w:r w:rsidR="009A4F05">
        <w:rPr>
          <w:rStyle w:val="big-number"/>
          <w:rFonts w:cs="Miriam" w:hint="cs"/>
          <w:rtl/>
        </w:rPr>
        <w:t>7</w:t>
      </w:r>
      <w:r>
        <w:rPr>
          <w:rStyle w:val="big-number"/>
          <w:rFonts w:cs="FrankRuehl"/>
          <w:sz w:val="26"/>
          <w:szCs w:val="26"/>
          <w:rtl/>
        </w:rPr>
        <w:t>.</w:t>
      </w:r>
      <w:r>
        <w:rPr>
          <w:rStyle w:val="big-number"/>
          <w:rFonts w:cs="FrankRuehl"/>
          <w:sz w:val="26"/>
          <w:szCs w:val="26"/>
          <w:rtl/>
        </w:rPr>
        <w:tab/>
      </w:r>
      <w:r w:rsidR="001F68E1">
        <w:rPr>
          <w:rStyle w:val="default"/>
          <w:rFonts w:cs="FrankRuehl" w:hint="cs"/>
          <w:rtl/>
        </w:rPr>
        <w:t>ראש המטה לביטחון לאומי יוזמן, דרך קבע, לכל ישיבה של הממשלה, של ועדת השרים לענייני ביטחון לאומי ושל ועדת שרים אחרת או הרכב שרים אחר בענייני החוץ והביטחון; כן יוזמן ראש המטה לביטחון לאומי, דרך קבע, לכל דיון של ועדת ראשי השירותים החשאיים.</w:t>
      </w:r>
    </w:p>
    <w:p w:rsidR="000D4D83" w:rsidRDefault="000D4D83" w:rsidP="00DE728B">
      <w:pPr>
        <w:pStyle w:val="P00"/>
        <w:spacing w:before="72"/>
        <w:ind w:left="0" w:right="1134"/>
        <w:rPr>
          <w:rStyle w:val="default"/>
          <w:rFonts w:cs="FrankRuehl" w:hint="cs"/>
          <w:rtl/>
        </w:rPr>
      </w:pPr>
      <w:bookmarkStart w:id="8" w:name="Seif8"/>
      <w:bookmarkEnd w:id="8"/>
      <w:r>
        <w:rPr>
          <w:rFonts w:cs="Miriam"/>
          <w:lang w:val="he-IL"/>
        </w:rPr>
        <w:pict>
          <v:rect id="_x0000_s1523" style="position:absolute;left:0;text-align:left;margin-left:464.35pt;margin-top:7.1pt;width:75.05pt;height:39.45pt;z-index:251657728" o:allowincell="f" filled="f" stroked="f" strokecolor="lime" strokeweight=".25pt">
            <v:textbox style="mso-next-textbox:#_x0000_s1523" inset="0,0,0,0">
              <w:txbxContent>
                <w:p w:rsidR="004A1FAB" w:rsidRDefault="001F68E1" w:rsidP="000D4D83">
                  <w:pPr>
                    <w:spacing w:line="160" w:lineRule="exact"/>
                    <w:rPr>
                      <w:rFonts w:cs="Miriam" w:hint="cs"/>
                      <w:noProof/>
                      <w:sz w:val="18"/>
                      <w:szCs w:val="18"/>
                      <w:rtl/>
                    </w:rPr>
                  </w:pPr>
                  <w:r>
                    <w:rPr>
                      <w:rFonts w:cs="Miriam" w:hint="cs"/>
                      <w:sz w:val="18"/>
                      <w:szCs w:val="18"/>
                      <w:rtl/>
                    </w:rPr>
                    <w:t xml:space="preserve">בעלי תפקידים אחרים במשרד ראש הממשלה </w:t>
                  </w:r>
                  <w:r>
                    <w:rPr>
                      <w:rFonts w:cs="Miriam"/>
                      <w:sz w:val="18"/>
                      <w:szCs w:val="18"/>
                      <w:rtl/>
                    </w:rPr>
                    <w:t>–</w:t>
                  </w:r>
                  <w:r>
                    <w:rPr>
                      <w:rFonts w:cs="Miriam" w:hint="cs"/>
                      <w:sz w:val="18"/>
                      <w:szCs w:val="18"/>
                      <w:rtl/>
                    </w:rPr>
                    <w:t xml:space="preserve"> יחסי גומלין עם המטה לביטחון לאומי</w:t>
                  </w:r>
                </w:p>
              </w:txbxContent>
            </v:textbox>
            <w10:anchorlock/>
          </v:rect>
        </w:pict>
      </w:r>
      <w:r w:rsidR="00E53D9F">
        <w:rPr>
          <w:rStyle w:val="big-number"/>
          <w:rFonts w:cs="Miriam" w:hint="cs"/>
          <w:rtl/>
        </w:rPr>
        <w:t>8</w:t>
      </w:r>
      <w:r>
        <w:rPr>
          <w:rStyle w:val="big-number"/>
          <w:rFonts w:cs="FrankRuehl"/>
          <w:sz w:val="26"/>
          <w:szCs w:val="26"/>
          <w:rtl/>
        </w:rPr>
        <w:t>.</w:t>
      </w:r>
      <w:r>
        <w:rPr>
          <w:rStyle w:val="big-number"/>
          <w:rFonts w:cs="FrankRuehl"/>
          <w:sz w:val="26"/>
          <w:szCs w:val="26"/>
          <w:rtl/>
        </w:rPr>
        <w:tab/>
      </w:r>
      <w:r w:rsidR="001F68E1">
        <w:rPr>
          <w:rStyle w:val="default"/>
          <w:rFonts w:cs="FrankRuehl" w:hint="cs"/>
          <w:rtl/>
        </w:rPr>
        <w:t>ראש הממשלה יקבע נהלים לעניין אופן הפעולה של המטה לביטחון לאומי בתוך משרד ראש הממשלה, לרבות לעניין יחסי הגומלין בין ראש המטה לביטחון לאומי לבין בעלי תפקידים אחרים במשרד ראש הממשלה; נהלים אלה אינם טעונים פרסום ברשומות או פרסום פומבי אחר.</w:t>
      </w:r>
    </w:p>
    <w:p w:rsidR="000D4D83" w:rsidRDefault="000D4D83" w:rsidP="00DE728B">
      <w:pPr>
        <w:pStyle w:val="P00"/>
        <w:spacing w:before="72"/>
        <w:ind w:left="0" w:right="1134"/>
        <w:rPr>
          <w:rStyle w:val="default"/>
          <w:rFonts w:cs="FrankRuehl" w:hint="cs"/>
          <w:rtl/>
        </w:rPr>
      </w:pPr>
      <w:bookmarkStart w:id="9" w:name="Seif9"/>
      <w:bookmarkEnd w:id="9"/>
      <w:r>
        <w:rPr>
          <w:rFonts w:cs="Miriam"/>
          <w:lang w:val="he-IL"/>
        </w:rPr>
        <w:pict>
          <v:rect id="_x0000_s1524" style="position:absolute;left:0;text-align:left;margin-left:464.35pt;margin-top:7.1pt;width:75.05pt;height:18.05pt;z-index:251658752" o:allowincell="f" filled="f" stroked="f" strokecolor="lime" strokeweight=".25pt">
            <v:textbox style="mso-next-textbox:#_x0000_s1524" inset="0,0,0,0">
              <w:txbxContent>
                <w:p w:rsidR="004A1FAB" w:rsidRDefault="00577A69" w:rsidP="000D4D83">
                  <w:pPr>
                    <w:spacing w:line="160" w:lineRule="exact"/>
                    <w:rPr>
                      <w:rFonts w:cs="Miriam" w:hint="cs"/>
                      <w:noProof/>
                      <w:sz w:val="18"/>
                      <w:szCs w:val="18"/>
                      <w:rtl/>
                    </w:rPr>
                  </w:pPr>
                  <w:r>
                    <w:rPr>
                      <w:rFonts w:cs="Miriam" w:hint="cs"/>
                      <w:sz w:val="18"/>
                      <w:szCs w:val="18"/>
                      <w:rtl/>
                    </w:rPr>
                    <w:t>יחידת סמך</w:t>
                  </w:r>
                </w:p>
              </w:txbxContent>
            </v:textbox>
            <w10:anchorlock/>
          </v:rect>
        </w:pict>
      </w:r>
      <w:r w:rsidR="008E2421">
        <w:rPr>
          <w:rStyle w:val="big-number"/>
          <w:rFonts w:cs="Miriam" w:hint="cs"/>
          <w:rtl/>
        </w:rPr>
        <w:t>9</w:t>
      </w:r>
      <w:r>
        <w:rPr>
          <w:rStyle w:val="big-number"/>
          <w:rFonts w:cs="FrankRuehl"/>
          <w:sz w:val="26"/>
          <w:szCs w:val="26"/>
          <w:rtl/>
        </w:rPr>
        <w:t>.</w:t>
      </w:r>
      <w:r>
        <w:rPr>
          <w:rStyle w:val="big-number"/>
          <w:rFonts w:cs="FrankRuehl"/>
          <w:sz w:val="26"/>
          <w:szCs w:val="26"/>
          <w:rtl/>
        </w:rPr>
        <w:tab/>
      </w:r>
      <w:r w:rsidR="008E2421">
        <w:rPr>
          <w:rStyle w:val="default"/>
          <w:rFonts w:cs="FrankRuehl" w:hint="cs"/>
          <w:rtl/>
        </w:rPr>
        <w:t>(א)</w:t>
      </w:r>
      <w:r w:rsidR="008E2421">
        <w:rPr>
          <w:rStyle w:val="default"/>
          <w:rFonts w:cs="FrankRuehl" w:hint="cs"/>
          <w:rtl/>
        </w:rPr>
        <w:tab/>
      </w:r>
      <w:r w:rsidR="00577A69">
        <w:rPr>
          <w:rStyle w:val="default"/>
          <w:rFonts w:cs="FrankRuehl" w:hint="cs"/>
          <w:rtl/>
        </w:rPr>
        <w:t>המטה לביטחון לאומי יהיה יחידת סמך במשרד ראש הממשלה.</w:t>
      </w:r>
    </w:p>
    <w:p w:rsidR="00577A69" w:rsidRDefault="00577A69" w:rsidP="00577A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בחוק המינויים, רשאי ראש הממשלה, לאחר התייעצות עם שר האוצר ועם נציב שירות המדינה, לקבוע בתקנות או בכללים הוראות אחרות מאלה החלות בשירות המדינה, לעניין ארגון וניהול כוח אדם במטה לביטחון לאומי, והכל בכפוף להוראות חוק יסודות התקציב, ולהוראות חוק התקציב השנתי; נקבעו הוראות כאמור בכללים, יובאו לאישור ועדת החוץ והביטחון של הכנסת.</w:t>
      </w:r>
    </w:p>
    <w:p w:rsidR="000D4D83" w:rsidRDefault="000D4D83" w:rsidP="00DE728B">
      <w:pPr>
        <w:pStyle w:val="P00"/>
        <w:spacing w:before="72"/>
        <w:ind w:left="0" w:right="1134"/>
        <w:rPr>
          <w:rStyle w:val="default"/>
          <w:rFonts w:cs="FrankRuehl" w:hint="cs"/>
          <w:rtl/>
        </w:rPr>
      </w:pPr>
      <w:bookmarkStart w:id="10" w:name="Seif10"/>
      <w:bookmarkEnd w:id="10"/>
      <w:r>
        <w:rPr>
          <w:rFonts w:cs="Miriam"/>
          <w:lang w:val="he-IL"/>
        </w:rPr>
        <w:pict>
          <v:rect id="_x0000_s1525" style="position:absolute;left:0;text-align:left;margin-left:464.35pt;margin-top:7.1pt;width:75.05pt;height:18.05pt;z-index:251659776" o:allowincell="f" filled="f" stroked="f" strokecolor="lime" strokeweight=".25pt">
            <v:textbox style="mso-next-textbox:#_x0000_s1525" inset="0,0,0,0">
              <w:txbxContent>
                <w:p w:rsidR="004A1FAB" w:rsidRDefault="00577A69" w:rsidP="000D4D83">
                  <w:pPr>
                    <w:spacing w:line="160" w:lineRule="exact"/>
                    <w:rPr>
                      <w:rFonts w:cs="Miriam" w:hint="cs"/>
                      <w:noProof/>
                      <w:sz w:val="18"/>
                      <w:szCs w:val="18"/>
                      <w:rtl/>
                    </w:rPr>
                  </w:pPr>
                  <w:r>
                    <w:rPr>
                      <w:rFonts w:cs="Miriam" w:hint="cs"/>
                      <w:sz w:val="18"/>
                      <w:szCs w:val="18"/>
                      <w:rtl/>
                    </w:rPr>
                    <w:t>תקציב</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77A69">
        <w:rPr>
          <w:rStyle w:val="default"/>
          <w:rFonts w:cs="FrankRuehl" w:hint="cs"/>
          <w:rtl/>
        </w:rPr>
        <w:t>תקציב שנתי של המטה לביטחון לאומי ייקבע בסעיף תקציב נפרד בחוק התקציב השנתי; הממונה על סעיף תקציב זה, לעניין החוק האמור, יהיה ראש המטה לביטחון לאומי.</w:t>
      </w:r>
    </w:p>
    <w:p w:rsidR="000D4D83" w:rsidRDefault="000D4D83" w:rsidP="00DE728B">
      <w:pPr>
        <w:pStyle w:val="P00"/>
        <w:spacing w:before="72"/>
        <w:ind w:left="0" w:right="1134"/>
        <w:rPr>
          <w:rStyle w:val="default"/>
          <w:rFonts w:cs="FrankRuehl" w:hint="cs"/>
          <w:rtl/>
        </w:rPr>
      </w:pPr>
      <w:bookmarkStart w:id="11" w:name="Seif11"/>
      <w:bookmarkEnd w:id="11"/>
      <w:r>
        <w:rPr>
          <w:rFonts w:cs="Miriam"/>
          <w:lang w:val="he-IL"/>
        </w:rPr>
        <w:pict>
          <v:rect id="_x0000_s1526" style="position:absolute;left:0;text-align:left;margin-left:464.35pt;margin-top:7.1pt;width:75.05pt;height:18.05pt;z-index:251660800" o:allowincell="f" filled="f" stroked="f" strokecolor="lime" strokeweight=".25pt">
            <v:textbox style="mso-next-textbox:#_x0000_s1526" inset="0,0,0,0">
              <w:txbxContent>
                <w:p w:rsidR="004A1FAB" w:rsidRDefault="00577A69" w:rsidP="000D4D83">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8E2421">
        <w:rPr>
          <w:rStyle w:val="big-number"/>
          <w:rFonts w:cs="Miriam" w:hint="cs"/>
          <w:rtl/>
        </w:rPr>
        <w:t>1</w:t>
      </w:r>
      <w:r>
        <w:rPr>
          <w:rStyle w:val="big-number"/>
          <w:rFonts w:cs="FrankRuehl"/>
          <w:sz w:val="26"/>
          <w:szCs w:val="26"/>
          <w:rtl/>
        </w:rPr>
        <w:t>.</w:t>
      </w:r>
      <w:r>
        <w:rPr>
          <w:rStyle w:val="big-number"/>
          <w:rFonts w:cs="FrankRuehl"/>
          <w:sz w:val="26"/>
          <w:szCs w:val="26"/>
          <w:rtl/>
        </w:rPr>
        <w:tab/>
      </w:r>
      <w:r w:rsidR="00577A69">
        <w:rPr>
          <w:rStyle w:val="default"/>
          <w:rFonts w:cs="FrankRuehl" w:hint="cs"/>
          <w:rtl/>
        </w:rPr>
        <w:t>אין בהוראות סעיפים 1 עד 10 כדי לגרוע מסמכות הנתונה לאחר לפי דין או מסמכות המוסד למודיעין ולתפקידים מיוחדים ומסמכות הוועדה לאנרגיה אטומית לפי דין או הוראת מינהל.</w:t>
      </w:r>
    </w:p>
    <w:p w:rsidR="000D4D83" w:rsidRDefault="000D4D83" w:rsidP="00DE728B">
      <w:pPr>
        <w:pStyle w:val="P00"/>
        <w:spacing w:before="72"/>
        <w:ind w:left="0" w:right="1134"/>
        <w:rPr>
          <w:rStyle w:val="default"/>
          <w:rFonts w:cs="FrankRuehl" w:hint="cs"/>
          <w:rtl/>
        </w:rPr>
      </w:pPr>
      <w:bookmarkStart w:id="12" w:name="Seif12"/>
      <w:bookmarkEnd w:id="12"/>
      <w:r>
        <w:rPr>
          <w:rFonts w:cs="Miriam"/>
          <w:lang w:val="he-IL"/>
        </w:rPr>
        <w:pict>
          <v:rect id="_x0000_s1527" style="position:absolute;left:0;text-align:left;margin-left:464.35pt;margin-top:7.1pt;width:75.05pt;height:18.05pt;z-index:251661824" o:allowincell="f" filled="f" stroked="f" strokecolor="lime" strokeweight=".25pt">
            <v:textbox style="mso-next-textbox:#_x0000_s1527" inset="0,0,0,0">
              <w:txbxContent>
                <w:p w:rsidR="004A1FAB" w:rsidRDefault="00577A69" w:rsidP="000D4D83">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w:t>
      </w:r>
      <w:r w:rsidR="0093515A">
        <w:rPr>
          <w:rStyle w:val="big-number"/>
          <w:rFonts w:cs="Miriam" w:hint="cs"/>
          <w:rtl/>
        </w:rPr>
        <w:t>2</w:t>
      </w:r>
      <w:r>
        <w:rPr>
          <w:rStyle w:val="big-number"/>
          <w:rFonts w:cs="FrankRuehl"/>
          <w:sz w:val="26"/>
          <w:szCs w:val="26"/>
          <w:rtl/>
        </w:rPr>
        <w:t>.</w:t>
      </w:r>
      <w:r>
        <w:rPr>
          <w:rStyle w:val="big-number"/>
          <w:rFonts w:cs="FrankRuehl"/>
          <w:sz w:val="26"/>
          <w:szCs w:val="26"/>
          <w:rtl/>
        </w:rPr>
        <w:tab/>
      </w:r>
      <w:r w:rsidR="00577A69">
        <w:rPr>
          <w:rStyle w:val="default"/>
          <w:rFonts w:cs="FrankRuehl" w:hint="cs"/>
          <w:rtl/>
        </w:rPr>
        <w:t>ראש הממשלה ממונה על ביצועו של חוק זה, והוא רשאי, באישור ועדת החוץ והביטחון של הכנסת, להתקין תקנות וכללים, לפי העניין, בכל הנוגע לביצועו.</w:t>
      </w:r>
    </w:p>
    <w:p w:rsidR="00577A69" w:rsidRDefault="000D4D83" w:rsidP="00DE728B">
      <w:pPr>
        <w:pStyle w:val="P00"/>
        <w:spacing w:before="72"/>
        <w:ind w:left="0" w:right="1134"/>
        <w:rPr>
          <w:rStyle w:val="default"/>
          <w:rFonts w:cs="FrankRuehl" w:hint="cs"/>
          <w:rtl/>
        </w:rPr>
      </w:pPr>
      <w:bookmarkStart w:id="13" w:name="Seif13"/>
      <w:bookmarkEnd w:id="13"/>
      <w:r>
        <w:rPr>
          <w:rFonts w:cs="Miriam"/>
          <w:lang w:val="he-IL"/>
        </w:rPr>
        <w:pict>
          <v:rect id="_x0000_s1528" style="position:absolute;left:0;text-align:left;margin-left:464.35pt;margin-top:7.1pt;width:75.05pt;height:18.05pt;z-index:251662848" o:allowincell="f" filled="f" stroked="f" strokecolor="lime" strokeweight=".25pt">
            <v:textbox style="mso-next-textbox:#_x0000_s1528" inset="0,0,0,0">
              <w:txbxContent>
                <w:p w:rsidR="004A1FAB" w:rsidRDefault="00577A69" w:rsidP="000D4D83">
                  <w:pPr>
                    <w:spacing w:line="160" w:lineRule="exact"/>
                    <w:rPr>
                      <w:rFonts w:cs="Miriam" w:hint="cs"/>
                      <w:noProof/>
                      <w:sz w:val="18"/>
                      <w:szCs w:val="18"/>
                      <w:rtl/>
                    </w:rPr>
                  </w:pPr>
                  <w:r>
                    <w:rPr>
                      <w:rFonts w:cs="Miriam" w:hint="cs"/>
                      <w:sz w:val="18"/>
                      <w:szCs w:val="18"/>
                      <w:rtl/>
                    </w:rPr>
                    <w:t xml:space="preserve">תיקון חוק הממשלה </w:t>
                  </w:r>
                  <w:r>
                    <w:rPr>
                      <w:rFonts w:cs="Miriam"/>
                      <w:sz w:val="18"/>
                      <w:szCs w:val="18"/>
                      <w:rtl/>
                    </w:rPr>
                    <w:t>–</w:t>
                  </w:r>
                  <w:r>
                    <w:rPr>
                      <w:rFonts w:cs="Miriam" w:hint="cs"/>
                      <w:sz w:val="18"/>
                      <w:szCs w:val="18"/>
                      <w:rtl/>
                    </w:rPr>
                    <w:t xml:space="preserve"> מס' 5</w:t>
                  </w:r>
                </w:p>
              </w:txbxContent>
            </v:textbox>
            <w10:anchorlock/>
          </v:rect>
        </w:pict>
      </w:r>
      <w:r>
        <w:rPr>
          <w:rStyle w:val="big-number"/>
          <w:rFonts w:cs="Miriam" w:hint="cs"/>
          <w:rtl/>
        </w:rPr>
        <w:t>1</w:t>
      </w:r>
      <w:r w:rsidR="00260315">
        <w:rPr>
          <w:rStyle w:val="big-number"/>
          <w:rFonts w:cs="Miriam" w:hint="cs"/>
          <w:rtl/>
        </w:rPr>
        <w:t>3</w:t>
      </w:r>
      <w:r>
        <w:rPr>
          <w:rStyle w:val="big-number"/>
          <w:rFonts w:cs="FrankRuehl"/>
          <w:sz w:val="26"/>
          <w:szCs w:val="26"/>
          <w:rtl/>
        </w:rPr>
        <w:t>.</w:t>
      </w:r>
      <w:r>
        <w:rPr>
          <w:rStyle w:val="big-number"/>
          <w:rFonts w:cs="FrankRuehl"/>
          <w:sz w:val="26"/>
          <w:szCs w:val="26"/>
          <w:rtl/>
        </w:rPr>
        <w:tab/>
      </w:r>
      <w:r w:rsidR="00577A69">
        <w:rPr>
          <w:rStyle w:val="default"/>
          <w:rFonts w:cs="FrankRuehl" w:hint="cs"/>
          <w:rtl/>
        </w:rPr>
        <w:t xml:space="preserve">בחוק הממשלה, התשס"א-2001, סעיף 7 </w:t>
      </w:r>
      <w:r w:rsidR="00577A69">
        <w:rPr>
          <w:rStyle w:val="default"/>
          <w:rFonts w:cs="FrankRuehl"/>
          <w:rtl/>
        </w:rPr>
        <w:t>–</w:t>
      </w:r>
      <w:r w:rsidR="00577A69">
        <w:rPr>
          <w:rStyle w:val="default"/>
          <w:rFonts w:cs="FrankRuehl" w:hint="cs"/>
          <w:rtl/>
        </w:rPr>
        <w:t xml:space="preserve"> בטל. </w:t>
      </w:r>
    </w:p>
    <w:p w:rsidR="00577A69" w:rsidRDefault="000D4D83" w:rsidP="00DE728B">
      <w:pPr>
        <w:pStyle w:val="P00"/>
        <w:spacing w:before="72"/>
        <w:ind w:left="0" w:right="1134"/>
        <w:rPr>
          <w:rStyle w:val="default"/>
          <w:rFonts w:cs="FrankRuehl" w:hint="cs"/>
          <w:rtl/>
        </w:rPr>
      </w:pPr>
      <w:bookmarkStart w:id="14" w:name="Seif14"/>
      <w:bookmarkEnd w:id="14"/>
      <w:r>
        <w:rPr>
          <w:rFonts w:cs="Miriam"/>
          <w:lang w:val="he-IL"/>
        </w:rPr>
        <w:pict>
          <v:rect id="_x0000_s1529" style="position:absolute;left:0;text-align:left;margin-left:464.35pt;margin-top:7.1pt;width:75.05pt;height:18.05pt;z-index:251663872" o:allowincell="f" filled="f" stroked="f" strokecolor="lime" strokeweight=".25pt">
            <v:textbox style="mso-next-textbox:#_x0000_s1529" inset="0,0,0,0">
              <w:txbxContent>
                <w:p w:rsidR="004A1FAB" w:rsidRDefault="00577A69" w:rsidP="000D4D83">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w:t>
      </w:r>
      <w:r w:rsidR="002D35D3">
        <w:rPr>
          <w:rStyle w:val="big-number"/>
          <w:rFonts w:cs="Miriam" w:hint="cs"/>
          <w:rtl/>
        </w:rPr>
        <w:t>4</w:t>
      </w:r>
      <w:r>
        <w:rPr>
          <w:rStyle w:val="big-number"/>
          <w:rFonts w:cs="FrankRuehl"/>
          <w:sz w:val="26"/>
          <w:szCs w:val="26"/>
          <w:rtl/>
        </w:rPr>
        <w:t>.</w:t>
      </w:r>
      <w:r>
        <w:rPr>
          <w:rStyle w:val="big-number"/>
          <w:rFonts w:cs="FrankRuehl"/>
          <w:sz w:val="26"/>
          <w:szCs w:val="26"/>
          <w:rtl/>
        </w:rPr>
        <w:tab/>
      </w:r>
      <w:r w:rsidR="002D35D3">
        <w:rPr>
          <w:rStyle w:val="default"/>
          <w:rFonts w:cs="FrankRuehl" w:hint="cs"/>
          <w:rtl/>
        </w:rPr>
        <w:t>(א)</w:t>
      </w:r>
      <w:r w:rsidR="002D35D3">
        <w:rPr>
          <w:rStyle w:val="default"/>
          <w:rFonts w:cs="FrankRuehl" w:hint="cs"/>
          <w:rtl/>
        </w:rPr>
        <w:tab/>
      </w:r>
      <w:r w:rsidR="00577A69">
        <w:rPr>
          <w:rStyle w:val="default"/>
          <w:rFonts w:cs="FrankRuehl" w:hint="cs"/>
          <w:rtl/>
        </w:rPr>
        <w:t>צוות הייעוץ לביטחון לאומי שהוקם ופעל כמועצה לביטחון לאומי לפי הוראות סעיף 7 לחוק הממשלה, התשס"א-2001, כנוסחו ערב תחילתו של חוק זה, יראו אותו מיום תחילתו של חוק זה ואילך כמטה לביטחון לאומי לפי סעיף 1, ויהיו מסורים לו כל התפקידים והסמכויות לפי חוק זה.</w:t>
      </w:r>
    </w:p>
    <w:p w:rsidR="00577A69" w:rsidRDefault="00577A69" w:rsidP="00577A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שכיהן כראש המועצה לביטחון לאומי בפועל ערב תחילתו של חוק זה, יראו אותו כראש המטה לביטחון לאומי עד למינוי ראש המטה לביטחון לאומי לפי הוראות סעיף 3.</w:t>
      </w:r>
    </w:p>
    <w:p w:rsidR="007636B5" w:rsidRDefault="007636B5">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577A69" w:rsidP="00DE728B">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p>
    <w:p w:rsidR="00577A69" w:rsidRDefault="00577A69" w:rsidP="00DE728B">
      <w:pPr>
        <w:pStyle w:val="sig-0"/>
        <w:tabs>
          <w:tab w:val="clear" w:pos="4820"/>
          <w:tab w:val="center" w:pos="1701"/>
          <w:tab w:val="center" w:pos="3969"/>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p>
    <w:p w:rsidR="00D228E0" w:rsidRDefault="00577A69" w:rsidP="00DE728B">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דליה איציק</w:t>
      </w:r>
    </w:p>
    <w:p w:rsidR="00D228E0" w:rsidRDefault="00D228E0" w:rsidP="00DE728B">
      <w:pPr>
        <w:pStyle w:val="sig-0"/>
        <w:tabs>
          <w:tab w:val="clear" w:pos="4820"/>
          <w:tab w:val="center" w:pos="1701"/>
          <w:tab w:val="center" w:pos="3969"/>
          <w:tab w:val="center" w:pos="6237"/>
        </w:tabs>
        <w:spacing w:before="0"/>
        <w:ind w:left="0" w:right="1134"/>
        <w:rPr>
          <w:rFonts w:cs="FrankRuehl" w:hint="cs"/>
          <w:sz w:val="22"/>
          <w:szCs w:val="22"/>
          <w:rtl/>
        </w:rPr>
      </w:pPr>
      <w:r>
        <w:rPr>
          <w:rFonts w:cs="FrankRuehl" w:hint="cs"/>
          <w:sz w:val="22"/>
          <w:szCs w:val="22"/>
          <w:rtl/>
        </w:rPr>
        <w:tab/>
      </w:r>
      <w:r w:rsidR="00577A69">
        <w:rPr>
          <w:rFonts w:cs="FrankRuehl" w:hint="cs"/>
          <w:sz w:val="22"/>
          <w:szCs w:val="22"/>
          <w:rtl/>
        </w:rPr>
        <w:t>נשיא המדינה</w:t>
      </w:r>
      <w:r w:rsidR="00577A69">
        <w:rPr>
          <w:rFonts w:cs="FrankRuehl" w:hint="cs"/>
          <w:sz w:val="22"/>
          <w:szCs w:val="22"/>
          <w:rtl/>
        </w:rPr>
        <w:tab/>
      </w:r>
      <w:r w:rsidR="00577A69">
        <w:rPr>
          <w:rFonts w:cs="FrankRuehl" w:hint="cs"/>
          <w:sz w:val="22"/>
          <w:szCs w:val="22"/>
          <w:rtl/>
        </w:rPr>
        <w:tab/>
        <w:t>יושבת ראש הכנסת</w:t>
      </w:r>
    </w:p>
    <w:p w:rsidR="004A1FAB" w:rsidRDefault="004A1FAB">
      <w:pPr>
        <w:pStyle w:val="P00"/>
        <w:spacing w:before="72"/>
        <w:ind w:left="0" w:right="1134"/>
        <w:rPr>
          <w:rStyle w:val="default"/>
          <w:rFonts w:cs="FrankRuehl" w:hint="cs"/>
          <w:rtl/>
        </w:rPr>
      </w:pPr>
    </w:p>
    <w:p w:rsidR="00B808FF" w:rsidRDefault="00B808FF">
      <w:pPr>
        <w:pStyle w:val="P00"/>
        <w:spacing w:before="72"/>
        <w:ind w:left="0" w:right="1134"/>
        <w:rPr>
          <w:rStyle w:val="default"/>
          <w:rFonts w:cs="FrankRuehl" w:hint="cs"/>
          <w:rtl/>
        </w:rPr>
      </w:pPr>
    </w:p>
    <w:p w:rsidR="00FC4233" w:rsidRDefault="00FC4233">
      <w:pPr>
        <w:pStyle w:val="P00"/>
        <w:spacing w:before="72"/>
        <w:ind w:left="0" w:right="1134"/>
        <w:rPr>
          <w:rStyle w:val="default"/>
          <w:rFonts w:cs="FrankRuehl" w:hint="cs"/>
          <w:rtl/>
        </w:rPr>
      </w:pPr>
    </w:p>
    <w:sectPr w:rsidR="00FC423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0AE1" w:rsidRDefault="00390AE1">
      <w:r>
        <w:separator/>
      </w:r>
    </w:p>
  </w:endnote>
  <w:endnote w:type="continuationSeparator" w:id="0">
    <w:p w:rsidR="00390AE1" w:rsidRDefault="0039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FAB" w:rsidRDefault="004A1F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A1FAB" w:rsidRDefault="004A1F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A1FAB" w:rsidRDefault="004A1F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2A32">
      <w:rPr>
        <w:rFonts w:cs="TopType Jerushalmi"/>
        <w:noProof/>
        <w:color w:val="000000"/>
        <w:sz w:val="14"/>
        <w:szCs w:val="14"/>
      </w:rPr>
      <w:t>Z:\000000000000-law\yael\08-08-12a\tav\999_987.doc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FAB" w:rsidRDefault="004A1F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5B05">
      <w:rPr>
        <w:rFonts w:hAnsi="FrankRuehl" w:cs="FrankRuehl"/>
        <w:noProof/>
        <w:sz w:val="24"/>
        <w:szCs w:val="24"/>
        <w:rtl/>
      </w:rPr>
      <w:t>4</w:t>
    </w:r>
    <w:r>
      <w:rPr>
        <w:rFonts w:hAnsi="FrankRuehl" w:cs="FrankRuehl"/>
        <w:sz w:val="24"/>
        <w:szCs w:val="24"/>
        <w:rtl/>
      </w:rPr>
      <w:fldChar w:fldCharType="end"/>
    </w:r>
  </w:p>
  <w:p w:rsidR="004A1FAB" w:rsidRDefault="004A1F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A1FAB" w:rsidRDefault="004A1F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2A32">
      <w:rPr>
        <w:rFonts w:cs="TopType Jerushalmi"/>
        <w:noProof/>
        <w:color w:val="000000"/>
        <w:sz w:val="14"/>
        <w:szCs w:val="14"/>
      </w:rPr>
      <w:t>Z:\000000000000-law\yael\08-08-12a\tav\999_987.doc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0AE1" w:rsidRDefault="00390AE1">
      <w:pPr>
        <w:spacing w:before="60"/>
        <w:ind w:right="1134"/>
      </w:pPr>
      <w:r>
        <w:separator/>
      </w:r>
    </w:p>
  </w:footnote>
  <w:footnote w:type="continuationSeparator" w:id="0">
    <w:p w:rsidR="00390AE1" w:rsidRDefault="00390AE1">
      <w:r>
        <w:continuationSeparator/>
      </w:r>
    </w:p>
  </w:footnote>
  <w:footnote w:id="1">
    <w:p w:rsidR="002845C0" w:rsidRDefault="004A1FAB" w:rsidP="002845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2845C0">
          <w:rPr>
            <w:rStyle w:val="Hyperlink"/>
            <w:rFonts w:cs="FrankRuehl" w:hint="cs"/>
            <w:rtl/>
          </w:rPr>
          <w:t>ס"ח תשס"ח מס' 2178</w:t>
        </w:r>
      </w:hyperlink>
      <w:r>
        <w:rPr>
          <w:rFonts w:cs="FrankRuehl" w:hint="cs"/>
          <w:rtl/>
        </w:rPr>
        <w:t xml:space="preserve"> מיום 7.8.2008 עמ' 833 (</w:t>
      </w:r>
      <w:hyperlink r:id="rId2" w:history="1">
        <w:r w:rsidRPr="00764085">
          <w:rPr>
            <w:rStyle w:val="Hyperlink"/>
            <w:rFonts w:cs="FrankRuehl" w:hint="cs"/>
            <w:rtl/>
          </w:rPr>
          <w:t>ה"ח הממשלה תשס"ח מס' 343</w:t>
        </w:r>
      </w:hyperlink>
      <w:r>
        <w:rPr>
          <w:rFonts w:cs="FrankRuehl" w:hint="cs"/>
          <w:rtl/>
        </w:rPr>
        <w:t xml:space="preserve"> עמ' 230).</w:t>
      </w:r>
    </w:p>
    <w:p w:rsidR="00375B05" w:rsidRPr="00375B05" w:rsidRDefault="00DE728B" w:rsidP="00375B0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sidRPr="00DE728B">
        <w:rPr>
          <w:rFonts w:cs="FrankRuehl" w:hint="cs"/>
          <w:rtl/>
        </w:rPr>
        <w:t xml:space="preserve">תוקן </w:t>
      </w:r>
      <w:hyperlink r:id="rId3" w:history="1">
        <w:r w:rsidRPr="00BC6F97">
          <w:rPr>
            <w:rStyle w:val="Hyperlink"/>
            <w:rFonts w:cs="FrankRuehl" w:hint="cs"/>
            <w:rtl/>
          </w:rPr>
          <w:t>ס"ח תשע"ו מס' 2579</w:t>
        </w:r>
      </w:hyperlink>
      <w:r w:rsidRPr="00DE728B">
        <w:rPr>
          <w:rFonts w:cs="FrankRuehl" w:hint="cs"/>
          <w:rtl/>
        </w:rPr>
        <w:t xml:space="preserve"> מיום 16.8.2016 עמ' 1223 (</w:t>
      </w:r>
      <w:hyperlink r:id="rId4" w:history="1">
        <w:r w:rsidRPr="00DE728B">
          <w:rPr>
            <w:rStyle w:val="Hyperlink"/>
            <w:rFonts w:cs="FrankRuehl" w:hint="cs"/>
            <w:rtl/>
          </w:rPr>
          <w:t>ה"ח הממשלה תשע"ו מס' 1049</w:t>
        </w:r>
      </w:hyperlink>
      <w:r w:rsidRPr="00DE728B">
        <w:rPr>
          <w:rFonts w:cs="FrankRuehl" w:hint="cs"/>
          <w:rtl/>
        </w:rPr>
        <w:t xml:space="preserve"> עמ' 1070) </w:t>
      </w:r>
      <w:r w:rsidRPr="00DE728B">
        <w:rPr>
          <w:rFonts w:cs="FrankRuehl"/>
          <w:rtl/>
        </w:rPr>
        <w:t>–</w:t>
      </w:r>
      <w:r w:rsidRPr="00DE728B">
        <w:rPr>
          <w:rFonts w:cs="FrankRuehl" w:hint="cs"/>
          <w:rtl/>
        </w:rPr>
        <w:t xml:space="preserve"> תיקון מס' 1 בסעיף </w:t>
      </w:r>
      <w:r>
        <w:rPr>
          <w:rFonts w:cs="FrankRuehl" w:hint="cs"/>
          <w:rtl/>
        </w:rPr>
        <w:t>5</w:t>
      </w:r>
      <w:r w:rsidRPr="00DE728B">
        <w:rPr>
          <w:rFonts w:cs="FrankRuehl" w:hint="cs"/>
          <w:rtl/>
        </w:rPr>
        <w:t xml:space="preserve"> לחוק להסדרת הביטחון בגופים ציבוריים (הוראת שעה), תשע"ו-2016 31.12.2018.</w:t>
      </w:r>
      <w:r w:rsidR="0004105E">
        <w:rPr>
          <w:rFonts w:cs="FrankRuehl" w:hint="cs"/>
          <w:rtl/>
        </w:rPr>
        <w:t xml:space="preserve"> </w:t>
      </w:r>
      <w:r w:rsidR="0004105E" w:rsidRPr="007C4EE6">
        <w:rPr>
          <w:rFonts w:ascii="FrankRuehl" w:hAnsi="FrankRuehl" w:cs="FrankRuehl"/>
          <w:rtl/>
        </w:rPr>
        <w:t xml:space="preserve">תוקן </w:t>
      </w:r>
      <w:hyperlink r:id="rId5" w:history="1">
        <w:r w:rsidR="0004105E" w:rsidRPr="00375B05">
          <w:rPr>
            <w:rStyle w:val="Hyperlink"/>
            <w:rFonts w:ascii="FrankRuehl" w:hAnsi="FrankRuehl" w:cs="FrankRuehl"/>
            <w:rtl/>
          </w:rPr>
          <w:t>ס"ח תשע"ט מס' 2766</w:t>
        </w:r>
      </w:hyperlink>
      <w:r w:rsidR="0004105E" w:rsidRPr="007C4EE6">
        <w:rPr>
          <w:rFonts w:ascii="FrankRuehl" w:hAnsi="FrankRuehl" w:cs="FrankRuehl"/>
          <w:rtl/>
        </w:rPr>
        <w:t xml:space="preserve"> מיום 27.12.2018 עמ' 8</w:t>
      </w:r>
      <w:r w:rsidR="0004105E">
        <w:rPr>
          <w:rFonts w:ascii="FrankRuehl" w:hAnsi="FrankRuehl" w:cs="FrankRuehl" w:hint="cs"/>
          <w:rtl/>
        </w:rPr>
        <w:t>8</w:t>
      </w:r>
      <w:r w:rsidR="0004105E" w:rsidRPr="007C4EE6">
        <w:rPr>
          <w:rFonts w:ascii="FrankRuehl" w:hAnsi="FrankRuehl" w:cs="FrankRuehl"/>
          <w:rtl/>
        </w:rPr>
        <w:t xml:space="preserve"> (</w:t>
      </w:r>
      <w:hyperlink r:id="rId6" w:history="1">
        <w:r w:rsidR="0004105E" w:rsidRPr="007C4EE6">
          <w:rPr>
            <w:rStyle w:val="Hyperlink"/>
            <w:rFonts w:ascii="FrankRuehl" w:hAnsi="FrankRuehl" w:cs="FrankRuehl"/>
            <w:rtl/>
          </w:rPr>
          <w:t>ה"ח הממשלה תשע"ט מס' 1276</w:t>
        </w:r>
      </w:hyperlink>
      <w:r w:rsidR="0004105E" w:rsidRPr="007C4EE6">
        <w:rPr>
          <w:rFonts w:ascii="FrankRuehl" w:hAnsi="FrankRuehl" w:cs="FrankRuehl"/>
          <w:rtl/>
        </w:rPr>
        <w:t xml:space="preserve"> עמ' 180) – תיקון מס' </w:t>
      </w:r>
      <w:r w:rsidR="0004105E">
        <w:rPr>
          <w:rFonts w:ascii="FrankRuehl" w:hAnsi="FrankRuehl" w:cs="FrankRuehl" w:hint="cs"/>
          <w:rtl/>
        </w:rPr>
        <w:t>1</w:t>
      </w:r>
      <w:r w:rsidR="0004105E" w:rsidRPr="007C4EE6">
        <w:rPr>
          <w:rFonts w:ascii="FrankRuehl" w:hAnsi="FrankRuehl" w:cs="FrankRuehl"/>
          <w:rtl/>
        </w:rPr>
        <w:t xml:space="preserve"> (תיקון)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FAB" w:rsidRDefault="004A1F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FAB" w:rsidRDefault="004A1FAB" w:rsidP="005C438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המטה לביטחון לאומי, תשס"ח-2008</w:t>
    </w:r>
  </w:p>
  <w:p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3848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24FDC"/>
    <w:rsid w:val="00031B81"/>
    <w:rsid w:val="00032136"/>
    <w:rsid w:val="0003781E"/>
    <w:rsid w:val="0004105E"/>
    <w:rsid w:val="00057985"/>
    <w:rsid w:val="00057ED8"/>
    <w:rsid w:val="00063E7C"/>
    <w:rsid w:val="00065DCA"/>
    <w:rsid w:val="00066EA6"/>
    <w:rsid w:val="00071FF5"/>
    <w:rsid w:val="00073902"/>
    <w:rsid w:val="00082632"/>
    <w:rsid w:val="00092533"/>
    <w:rsid w:val="0009382D"/>
    <w:rsid w:val="00097C86"/>
    <w:rsid w:val="000A53DB"/>
    <w:rsid w:val="000B6E25"/>
    <w:rsid w:val="000B700B"/>
    <w:rsid w:val="000C220C"/>
    <w:rsid w:val="000C389E"/>
    <w:rsid w:val="000C6CA6"/>
    <w:rsid w:val="000D4D83"/>
    <w:rsid w:val="000E32ED"/>
    <w:rsid w:val="000E6BA5"/>
    <w:rsid w:val="00102D7B"/>
    <w:rsid w:val="00117775"/>
    <w:rsid w:val="00124B0E"/>
    <w:rsid w:val="00125926"/>
    <w:rsid w:val="00167D7D"/>
    <w:rsid w:val="00171228"/>
    <w:rsid w:val="00175BD4"/>
    <w:rsid w:val="00175E8A"/>
    <w:rsid w:val="00181E88"/>
    <w:rsid w:val="001832FD"/>
    <w:rsid w:val="00194CB6"/>
    <w:rsid w:val="001A4BA5"/>
    <w:rsid w:val="001B3E15"/>
    <w:rsid w:val="001C0AA3"/>
    <w:rsid w:val="001C1203"/>
    <w:rsid w:val="001C1DC4"/>
    <w:rsid w:val="001D0C46"/>
    <w:rsid w:val="001D49FF"/>
    <w:rsid w:val="001E12AA"/>
    <w:rsid w:val="001E3C39"/>
    <w:rsid w:val="001F68E1"/>
    <w:rsid w:val="00231BC3"/>
    <w:rsid w:val="002473B3"/>
    <w:rsid w:val="00260315"/>
    <w:rsid w:val="00274CD2"/>
    <w:rsid w:val="00275516"/>
    <w:rsid w:val="00283BD9"/>
    <w:rsid w:val="002845C0"/>
    <w:rsid w:val="00291FC3"/>
    <w:rsid w:val="00293112"/>
    <w:rsid w:val="002A24E2"/>
    <w:rsid w:val="002C7D10"/>
    <w:rsid w:val="002D35D3"/>
    <w:rsid w:val="002E1294"/>
    <w:rsid w:val="002E5A89"/>
    <w:rsid w:val="002F2014"/>
    <w:rsid w:val="002F368A"/>
    <w:rsid w:val="002F3E3B"/>
    <w:rsid w:val="00301E9A"/>
    <w:rsid w:val="003041B8"/>
    <w:rsid w:val="00306813"/>
    <w:rsid w:val="00311C2C"/>
    <w:rsid w:val="0031551C"/>
    <w:rsid w:val="00326208"/>
    <w:rsid w:val="00326C6D"/>
    <w:rsid w:val="00330CDD"/>
    <w:rsid w:val="003349C1"/>
    <w:rsid w:val="00337F23"/>
    <w:rsid w:val="003418C6"/>
    <w:rsid w:val="00347E25"/>
    <w:rsid w:val="0035395F"/>
    <w:rsid w:val="0035408C"/>
    <w:rsid w:val="00375A9C"/>
    <w:rsid w:val="00375B05"/>
    <w:rsid w:val="0037728C"/>
    <w:rsid w:val="003831FA"/>
    <w:rsid w:val="00385BFA"/>
    <w:rsid w:val="00390AE1"/>
    <w:rsid w:val="00390DB4"/>
    <w:rsid w:val="0039269B"/>
    <w:rsid w:val="00393C15"/>
    <w:rsid w:val="003A2EEE"/>
    <w:rsid w:val="003B008D"/>
    <w:rsid w:val="003B775D"/>
    <w:rsid w:val="003D002D"/>
    <w:rsid w:val="003D2D48"/>
    <w:rsid w:val="003D6ED9"/>
    <w:rsid w:val="003E6F5E"/>
    <w:rsid w:val="003F05BB"/>
    <w:rsid w:val="003F5BF4"/>
    <w:rsid w:val="0047257D"/>
    <w:rsid w:val="00475AAF"/>
    <w:rsid w:val="004803D1"/>
    <w:rsid w:val="00495303"/>
    <w:rsid w:val="004A0287"/>
    <w:rsid w:val="004A1E7C"/>
    <w:rsid w:val="004A1FAB"/>
    <w:rsid w:val="004A36C5"/>
    <w:rsid w:val="004A79BF"/>
    <w:rsid w:val="004C0BD0"/>
    <w:rsid w:val="004D30EF"/>
    <w:rsid w:val="004D679A"/>
    <w:rsid w:val="004E25D7"/>
    <w:rsid w:val="004F2FD5"/>
    <w:rsid w:val="004F444E"/>
    <w:rsid w:val="004F5E9D"/>
    <w:rsid w:val="00501C0C"/>
    <w:rsid w:val="00502DC8"/>
    <w:rsid w:val="005033F7"/>
    <w:rsid w:val="00515A33"/>
    <w:rsid w:val="00516BC8"/>
    <w:rsid w:val="005204AE"/>
    <w:rsid w:val="0052105C"/>
    <w:rsid w:val="00521F54"/>
    <w:rsid w:val="005403F4"/>
    <w:rsid w:val="00541B66"/>
    <w:rsid w:val="00545316"/>
    <w:rsid w:val="005459F6"/>
    <w:rsid w:val="00547015"/>
    <w:rsid w:val="00551063"/>
    <w:rsid w:val="0055108C"/>
    <w:rsid w:val="00554D12"/>
    <w:rsid w:val="005563B9"/>
    <w:rsid w:val="00561784"/>
    <w:rsid w:val="00571C5E"/>
    <w:rsid w:val="00573BEA"/>
    <w:rsid w:val="005741D0"/>
    <w:rsid w:val="00577A69"/>
    <w:rsid w:val="005861C3"/>
    <w:rsid w:val="00597B00"/>
    <w:rsid w:val="005A0053"/>
    <w:rsid w:val="005A2B96"/>
    <w:rsid w:val="005A3556"/>
    <w:rsid w:val="005B0420"/>
    <w:rsid w:val="005B11AD"/>
    <w:rsid w:val="005B3C33"/>
    <w:rsid w:val="005B635C"/>
    <w:rsid w:val="005C4382"/>
    <w:rsid w:val="005C6F9B"/>
    <w:rsid w:val="005C769A"/>
    <w:rsid w:val="005D5F22"/>
    <w:rsid w:val="005D757E"/>
    <w:rsid w:val="005F5D28"/>
    <w:rsid w:val="0060416C"/>
    <w:rsid w:val="0060704F"/>
    <w:rsid w:val="006119FA"/>
    <w:rsid w:val="00625D6C"/>
    <w:rsid w:val="00631C45"/>
    <w:rsid w:val="00635F52"/>
    <w:rsid w:val="00644CC7"/>
    <w:rsid w:val="0064715C"/>
    <w:rsid w:val="00654783"/>
    <w:rsid w:val="00666250"/>
    <w:rsid w:val="006727FD"/>
    <w:rsid w:val="006753D3"/>
    <w:rsid w:val="006755DE"/>
    <w:rsid w:val="00683744"/>
    <w:rsid w:val="00686267"/>
    <w:rsid w:val="0069018C"/>
    <w:rsid w:val="00690AD3"/>
    <w:rsid w:val="00696014"/>
    <w:rsid w:val="006A0B7F"/>
    <w:rsid w:val="006B63AC"/>
    <w:rsid w:val="006C1008"/>
    <w:rsid w:val="006C23ED"/>
    <w:rsid w:val="006D71A5"/>
    <w:rsid w:val="006F2A32"/>
    <w:rsid w:val="006F3807"/>
    <w:rsid w:val="0070464D"/>
    <w:rsid w:val="00704C70"/>
    <w:rsid w:val="00732D64"/>
    <w:rsid w:val="0073388B"/>
    <w:rsid w:val="00745882"/>
    <w:rsid w:val="007607F7"/>
    <w:rsid w:val="0076285C"/>
    <w:rsid w:val="007636B5"/>
    <w:rsid w:val="00763C55"/>
    <w:rsid w:val="00764085"/>
    <w:rsid w:val="00765FEE"/>
    <w:rsid w:val="007741C4"/>
    <w:rsid w:val="007757F5"/>
    <w:rsid w:val="007828A6"/>
    <w:rsid w:val="00787C76"/>
    <w:rsid w:val="00796D78"/>
    <w:rsid w:val="007A74AC"/>
    <w:rsid w:val="007B56E6"/>
    <w:rsid w:val="007C4A42"/>
    <w:rsid w:val="007C706E"/>
    <w:rsid w:val="007E10B4"/>
    <w:rsid w:val="007E3338"/>
    <w:rsid w:val="007F0547"/>
    <w:rsid w:val="00807E3F"/>
    <w:rsid w:val="008108B9"/>
    <w:rsid w:val="00824074"/>
    <w:rsid w:val="0083137E"/>
    <w:rsid w:val="00833EE7"/>
    <w:rsid w:val="00846224"/>
    <w:rsid w:val="00846430"/>
    <w:rsid w:val="00847E6F"/>
    <w:rsid w:val="00852A6A"/>
    <w:rsid w:val="008562EC"/>
    <w:rsid w:val="00860B91"/>
    <w:rsid w:val="00861960"/>
    <w:rsid w:val="00865054"/>
    <w:rsid w:val="0087434F"/>
    <w:rsid w:val="0088411C"/>
    <w:rsid w:val="008925C2"/>
    <w:rsid w:val="008932BA"/>
    <w:rsid w:val="0089395C"/>
    <w:rsid w:val="00897123"/>
    <w:rsid w:val="008972BA"/>
    <w:rsid w:val="008A3D64"/>
    <w:rsid w:val="008A49FD"/>
    <w:rsid w:val="008A5EAA"/>
    <w:rsid w:val="008B55F6"/>
    <w:rsid w:val="008C0AEB"/>
    <w:rsid w:val="008C2847"/>
    <w:rsid w:val="008C573E"/>
    <w:rsid w:val="008C70D8"/>
    <w:rsid w:val="008D2231"/>
    <w:rsid w:val="008E06F2"/>
    <w:rsid w:val="008E2421"/>
    <w:rsid w:val="008E2528"/>
    <w:rsid w:val="008E29E3"/>
    <w:rsid w:val="008E7BC6"/>
    <w:rsid w:val="008F235D"/>
    <w:rsid w:val="008F2E1F"/>
    <w:rsid w:val="008F6265"/>
    <w:rsid w:val="00901415"/>
    <w:rsid w:val="00902348"/>
    <w:rsid w:val="00905DD6"/>
    <w:rsid w:val="009101B9"/>
    <w:rsid w:val="00913D60"/>
    <w:rsid w:val="009176DD"/>
    <w:rsid w:val="00931EBF"/>
    <w:rsid w:val="0093515A"/>
    <w:rsid w:val="009370B0"/>
    <w:rsid w:val="00950144"/>
    <w:rsid w:val="00966902"/>
    <w:rsid w:val="00974CD5"/>
    <w:rsid w:val="00977F9D"/>
    <w:rsid w:val="00991882"/>
    <w:rsid w:val="009939F8"/>
    <w:rsid w:val="00994D1E"/>
    <w:rsid w:val="009A2010"/>
    <w:rsid w:val="009A4F05"/>
    <w:rsid w:val="009A6897"/>
    <w:rsid w:val="009A7A9D"/>
    <w:rsid w:val="009B4DC0"/>
    <w:rsid w:val="009C62EB"/>
    <w:rsid w:val="009D0D20"/>
    <w:rsid w:val="009D4881"/>
    <w:rsid w:val="009E2827"/>
    <w:rsid w:val="009E2C07"/>
    <w:rsid w:val="009E6A40"/>
    <w:rsid w:val="009F1739"/>
    <w:rsid w:val="009F3008"/>
    <w:rsid w:val="009F7991"/>
    <w:rsid w:val="00A022B1"/>
    <w:rsid w:val="00A037BB"/>
    <w:rsid w:val="00A0385D"/>
    <w:rsid w:val="00A03A4B"/>
    <w:rsid w:val="00A04150"/>
    <w:rsid w:val="00A04B99"/>
    <w:rsid w:val="00A12354"/>
    <w:rsid w:val="00A127EF"/>
    <w:rsid w:val="00A148C2"/>
    <w:rsid w:val="00A16499"/>
    <w:rsid w:val="00A25779"/>
    <w:rsid w:val="00A278B4"/>
    <w:rsid w:val="00A31B26"/>
    <w:rsid w:val="00A33F3A"/>
    <w:rsid w:val="00A37867"/>
    <w:rsid w:val="00A40CC8"/>
    <w:rsid w:val="00A44743"/>
    <w:rsid w:val="00A50EFF"/>
    <w:rsid w:val="00A539E2"/>
    <w:rsid w:val="00A5463E"/>
    <w:rsid w:val="00A562FC"/>
    <w:rsid w:val="00A60C88"/>
    <w:rsid w:val="00A652F6"/>
    <w:rsid w:val="00A67279"/>
    <w:rsid w:val="00A678C8"/>
    <w:rsid w:val="00A741EC"/>
    <w:rsid w:val="00A77CD2"/>
    <w:rsid w:val="00A805B8"/>
    <w:rsid w:val="00AA1CFE"/>
    <w:rsid w:val="00AA6D70"/>
    <w:rsid w:val="00AB43F6"/>
    <w:rsid w:val="00AC1095"/>
    <w:rsid w:val="00AC4A27"/>
    <w:rsid w:val="00AC714B"/>
    <w:rsid w:val="00AC736A"/>
    <w:rsid w:val="00AC7F9F"/>
    <w:rsid w:val="00AD255A"/>
    <w:rsid w:val="00AD7BEB"/>
    <w:rsid w:val="00AE144F"/>
    <w:rsid w:val="00AF02B2"/>
    <w:rsid w:val="00AF1EED"/>
    <w:rsid w:val="00AF4914"/>
    <w:rsid w:val="00B00193"/>
    <w:rsid w:val="00B02C11"/>
    <w:rsid w:val="00B232C0"/>
    <w:rsid w:val="00B3108D"/>
    <w:rsid w:val="00B3456D"/>
    <w:rsid w:val="00B40FB9"/>
    <w:rsid w:val="00B4243F"/>
    <w:rsid w:val="00B447BE"/>
    <w:rsid w:val="00B44AD0"/>
    <w:rsid w:val="00B45044"/>
    <w:rsid w:val="00B4671C"/>
    <w:rsid w:val="00B529BA"/>
    <w:rsid w:val="00B57005"/>
    <w:rsid w:val="00B625DE"/>
    <w:rsid w:val="00B65EE2"/>
    <w:rsid w:val="00B67AD1"/>
    <w:rsid w:val="00B7628C"/>
    <w:rsid w:val="00B808FF"/>
    <w:rsid w:val="00B850C0"/>
    <w:rsid w:val="00B875EF"/>
    <w:rsid w:val="00B92330"/>
    <w:rsid w:val="00B93850"/>
    <w:rsid w:val="00B93F71"/>
    <w:rsid w:val="00B96D4B"/>
    <w:rsid w:val="00BC46B4"/>
    <w:rsid w:val="00BC6F97"/>
    <w:rsid w:val="00BD0EFE"/>
    <w:rsid w:val="00BD6587"/>
    <w:rsid w:val="00BE6DA2"/>
    <w:rsid w:val="00BF6AEE"/>
    <w:rsid w:val="00C02396"/>
    <w:rsid w:val="00C14019"/>
    <w:rsid w:val="00C17862"/>
    <w:rsid w:val="00C3529E"/>
    <w:rsid w:val="00C352E0"/>
    <w:rsid w:val="00C50035"/>
    <w:rsid w:val="00C57C42"/>
    <w:rsid w:val="00C67589"/>
    <w:rsid w:val="00C71924"/>
    <w:rsid w:val="00C74517"/>
    <w:rsid w:val="00C74905"/>
    <w:rsid w:val="00C81D3E"/>
    <w:rsid w:val="00C82990"/>
    <w:rsid w:val="00C86F61"/>
    <w:rsid w:val="00C93F03"/>
    <w:rsid w:val="00C9481D"/>
    <w:rsid w:val="00C95212"/>
    <w:rsid w:val="00CA0B1C"/>
    <w:rsid w:val="00CA0EA1"/>
    <w:rsid w:val="00CA6DA2"/>
    <w:rsid w:val="00CB5DAE"/>
    <w:rsid w:val="00CC29E6"/>
    <w:rsid w:val="00CC403D"/>
    <w:rsid w:val="00CD157D"/>
    <w:rsid w:val="00CD41ED"/>
    <w:rsid w:val="00CD43D9"/>
    <w:rsid w:val="00CE4B6B"/>
    <w:rsid w:val="00D228E0"/>
    <w:rsid w:val="00D308E1"/>
    <w:rsid w:val="00D33934"/>
    <w:rsid w:val="00D54186"/>
    <w:rsid w:val="00D5647F"/>
    <w:rsid w:val="00D6235D"/>
    <w:rsid w:val="00D729D1"/>
    <w:rsid w:val="00D8237B"/>
    <w:rsid w:val="00D8315B"/>
    <w:rsid w:val="00D832E7"/>
    <w:rsid w:val="00D865BD"/>
    <w:rsid w:val="00D91C80"/>
    <w:rsid w:val="00D94065"/>
    <w:rsid w:val="00D96DD0"/>
    <w:rsid w:val="00DA50D6"/>
    <w:rsid w:val="00DA6586"/>
    <w:rsid w:val="00DB4E3C"/>
    <w:rsid w:val="00DD4498"/>
    <w:rsid w:val="00DD6095"/>
    <w:rsid w:val="00DE3FB2"/>
    <w:rsid w:val="00DE728B"/>
    <w:rsid w:val="00DF43B8"/>
    <w:rsid w:val="00DF65ED"/>
    <w:rsid w:val="00DF72FC"/>
    <w:rsid w:val="00E07279"/>
    <w:rsid w:val="00E21924"/>
    <w:rsid w:val="00E23886"/>
    <w:rsid w:val="00E25FF6"/>
    <w:rsid w:val="00E37032"/>
    <w:rsid w:val="00E45C6A"/>
    <w:rsid w:val="00E503F8"/>
    <w:rsid w:val="00E53900"/>
    <w:rsid w:val="00E53D9F"/>
    <w:rsid w:val="00E66F44"/>
    <w:rsid w:val="00E71BB0"/>
    <w:rsid w:val="00E731C8"/>
    <w:rsid w:val="00E74BAB"/>
    <w:rsid w:val="00E80CA1"/>
    <w:rsid w:val="00E847D7"/>
    <w:rsid w:val="00E91F3F"/>
    <w:rsid w:val="00E93982"/>
    <w:rsid w:val="00E96A6C"/>
    <w:rsid w:val="00EA73BA"/>
    <w:rsid w:val="00EB5437"/>
    <w:rsid w:val="00EC357F"/>
    <w:rsid w:val="00ED5765"/>
    <w:rsid w:val="00ED7468"/>
    <w:rsid w:val="00EE011A"/>
    <w:rsid w:val="00EE3A0C"/>
    <w:rsid w:val="00EF2A1B"/>
    <w:rsid w:val="00EF5AAC"/>
    <w:rsid w:val="00F01B28"/>
    <w:rsid w:val="00F13835"/>
    <w:rsid w:val="00F23090"/>
    <w:rsid w:val="00F23B0A"/>
    <w:rsid w:val="00F305FF"/>
    <w:rsid w:val="00F3647C"/>
    <w:rsid w:val="00F46CC5"/>
    <w:rsid w:val="00F51DD8"/>
    <w:rsid w:val="00F57B43"/>
    <w:rsid w:val="00F6096E"/>
    <w:rsid w:val="00F74ED8"/>
    <w:rsid w:val="00F75C7E"/>
    <w:rsid w:val="00F779CE"/>
    <w:rsid w:val="00F86FF2"/>
    <w:rsid w:val="00F971BA"/>
    <w:rsid w:val="00FA71C3"/>
    <w:rsid w:val="00FB2F08"/>
    <w:rsid w:val="00FB7945"/>
    <w:rsid w:val="00FC26B0"/>
    <w:rsid w:val="00FC37EA"/>
    <w:rsid w:val="00FC3A5A"/>
    <w:rsid w:val="00FC4233"/>
    <w:rsid w:val="00FC572C"/>
    <w:rsid w:val="00FC71F6"/>
    <w:rsid w:val="00FD153D"/>
    <w:rsid w:val="00FD3D86"/>
    <w:rsid w:val="00FD45A9"/>
    <w:rsid w:val="00FD4FD3"/>
    <w:rsid w:val="00FD5D46"/>
    <w:rsid w:val="00FE1F56"/>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57F0001-B36B-49E6-8331-A912606E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character" w:customStyle="1" w:styleId="P000">
    <w:name w:val="P00 תו"/>
    <w:link w:val="P00"/>
    <w:rsid w:val="00DE728B"/>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049.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14/law-2579.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_word/law15/memshala-1276.pdf" TargetMode="External"/><Relationship Id="rId4" Type="http://schemas.openxmlformats.org/officeDocument/2006/relationships/webSettings" Target="webSettings.xml"/><Relationship Id="rId9" Type="http://schemas.openxmlformats.org/officeDocument/2006/relationships/hyperlink" Target="http://www.nevo.co.il/Law_word/law14/law-2766.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579.pdf" TargetMode="External"/><Relationship Id="rId2" Type="http://schemas.openxmlformats.org/officeDocument/2006/relationships/hyperlink" Target="http://www.nevo.co.il/Law_word/law15/memshala-343.pdf" TargetMode="External"/><Relationship Id="rId1" Type="http://schemas.openxmlformats.org/officeDocument/2006/relationships/hyperlink" Target="http://www.nevo.co.il/Law_word/law14/law-2178.pdf" TargetMode="External"/><Relationship Id="rId6" Type="http://schemas.openxmlformats.org/officeDocument/2006/relationships/hyperlink" Target="http://www.nevo.co.il/Law_word/law15/memshala-1276.pdf" TargetMode="External"/><Relationship Id="rId5" Type="http://schemas.openxmlformats.org/officeDocument/2006/relationships/hyperlink" Target="http://www.nevo.co.il/law_word/law14/law-2766.pdf" TargetMode="External"/><Relationship Id="rId4" Type="http://schemas.openxmlformats.org/officeDocument/2006/relationships/hyperlink" Target="http://www.nevo.co.il/Law_word/law15/memshala-10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11367</CharactersWithSpaces>
  <SharedDoc>false</SharedDoc>
  <HLinks>
    <vt:vector size="144" baseType="variant">
      <vt:variant>
        <vt:i4>1310831</vt:i4>
      </vt:variant>
      <vt:variant>
        <vt:i4>93</vt:i4>
      </vt:variant>
      <vt:variant>
        <vt:i4>0</vt:i4>
      </vt:variant>
      <vt:variant>
        <vt:i4>5</vt:i4>
      </vt:variant>
      <vt:variant>
        <vt:lpwstr>http://www.nevo.co.il/Law_word/law15/memshala-1276.pdf</vt:lpwstr>
      </vt:variant>
      <vt:variant>
        <vt:lpwstr/>
      </vt:variant>
      <vt:variant>
        <vt:i4>8060936</vt:i4>
      </vt:variant>
      <vt:variant>
        <vt:i4>90</vt:i4>
      </vt:variant>
      <vt:variant>
        <vt:i4>0</vt:i4>
      </vt:variant>
      <vt:variant>
        <vt:i4>5</vt:i4>
      </vt:variant>
      <vt:variant>
        <vt:lpwstr>http://www.nevo.co.il/Law_word/law14/law-2766.pdf</vt:lpwstr>
      </vt:variant>
      <vt:variant>
        <vt:lpwstr/>
      </vt:variant>
      <vt:variant>
        <vt:i4>1638508</vt:i4>
      </vt:variant>
      <vt:variant>
        <vt:i4>87</vt:i4>
      </vt:variant>
      <vt:variant>
        <vt:i4>0</vt:i4>
      </vt:variant>
      <vt:variant>
        <vt:i4>5</vt:i4>
      </vt:variant>
      <vt:variant>
        <vt:lpwstr>http://www.nevo.co.il/Law_word/law15/memshala-1049.pdf</vt:lpwstr>
      </vt:variant>
      <vt:variant>
        <vt:lpwstr/>
      </vt:variant>
      <vt:variant>
        <vt:i4>7995397</vt:i4>
      </vt:variant>
      <vt:variant>
        <vt:i4>84</vt:i4>
      </vt:variant>
      <vt:variant>
        <vt:i4>0</vt:i4>
      </vt:variant>
      <vt:variant>
        <vt:i4>5</vt:i4>
      </vt:variant>
      <vt:variant>
        <vt:lpwstr>http://www.nevo.co.il/law_word/law14/law-2579.pdf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1310831</vt:i4>
      </vt:variant>
      <vt:variant>
        <vt:i4>15</vt:i4>
      </vt:variant>
      <vt:variant>
        <vt:i4>0</vt:i4>
      </vt:variant>
      <vt:variant>
        <vt:i4>5</vt:i4>
      </vt:variant>
      <vt:variant>
        <vt:lpwstr>http://www.nevo.co.il/Law_word/law15/memshala-1276.pdf</vt:lpwstr>
      </vt:variant>
      <vt:variant>
        <vt:lpwstr/>
      </vt:variant>
      <vt:variant>
        <vt:i4>8060936</vt:i4>
      </vt:variant>
      <vt:variant>
        <vt:i4>12</vt:i4>
      </vt:variant>
      <vt:variant>
        <vt:i4>0</vt:i4>
      </vt:variant>
      <vt:variant>
        <vt:i4>5</vt:i4>
      </vt:variant>
      <vt:variant>
        <vt:lpwstr>http://www.nevo.co.il/law_word/law14/law-2766.pdf</vt:lpwstr>
      </vt:variant>
      <vt:variant>
        <vt:lpwstr/>
      </vt:variant>
      <vt:variant>
        <vt:i4>1638508</vt:i4>
      </vt:variant>
      <vt:variant>
        <vt:i4>9</vt:i4>
      </vt:variant>
      <vt:variant>
        <vt:i4>0</vt:i4>
      </vt:variant>
      <vt:variant>
        <vt:i4>5</vt:i4>
      </vt:variant>
      <vt:variant>
        <vt:lpwstr>http://www.nevo.co.il/Law_word/law15/memshala-1049.pdf</vt:lpwstr>
      </vt:variant>
      <vt:variant>
        <vt:lpwstr/>
      </vt:variant>
      <vt:variant>
        <vt:i4>7995397</vt:i4>
      </vt:variant>
      <vt:variant>
        <vt:i4>6</vt:i4>
      </vt:variant>
      <vt:variant>
        <vt:i4>0</vt:i4>
      </vt:variant>
      <vt:variant>
        <vt:i4>5</vt:i4>
      </vt:variant>
      <vt:variant>
        <vt:lpwstr>http://www.nevo.co.il/law_word/law14/law-2579.pdf</vt:lpwstr>
      </vt:variant>
      <vt:variant>
        <vt:lpwstr/>
      </vt:variant>
      <vt:variant>
        <vt:i4>7864403</vt:i4>
      </vt:variant>
      <vt:variant>
        <vt:i4>3</vt:i4>
      </vt:variant>
      <vt:variant>
        <vt:i4>0</vt:i4>
      </vt:variant>
      <vt:variant>
        <vt:i4>5</vt:i4>
      </vt:variant>
      <vt:variant>
        <vt:lpwstr>http://www.nevo.co.il/Law_word/law15/memshala-343.pdf</vt:lpwstr>
      </vt:variant>
      <vt:variant>
        <vt:lpwstr/>
      </vt:variant>
      <vt:variant>
        <vt:i4>7995392</vt:i4>
      </vt:variant>
      <vt:variant>
        <vt:i4>0</vt:i4>
      </vt:variant>
      <vt:variant>
        <vt:i4>0</vt:i4>
      </vt:variant>
      <vt:variant>
        <vt:i4>5</vt:i4>
      </vt:variant>
      <vt:variant>
        <vt:lpwstr>http://www.nevo.co.il/Law_word/law14/law-2178.pdf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Yael Ilan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המטה לביטחון לאומי, תשס"ח-2008</vt:lpwstr>
  </property>
  <property fmtid="{D5CDD505-2E9C-101B-9397-08002B2CF9AE}" pid="4" name="LAWNUMBER">
    <vt:lpwstr>0987</vt:lpwstr>
  </property>
  <property fmtid="{D5CDD505-2E9C-101B-9397-08002B2CF9AE}" pid="5" name="TYPE">
    <vt:lpwstr>01</vt:lpwstr>
  </property>
  <property fmtid="{D5CDD505-2E9C-101B-9397-08002B2CF9AE}" pid="6" name="CHNAME">
    <vt:lpwstr>ביטחון</vt:lpwstr>
  </property>
  <property fmtid="{D5CDD505-2E9C-101B-9397-08002B2CF9AE}" pid="7" name="LINKK2">
    <vt:lpwstr>http://www.nevo.co.il/law_word/law14/law-2579.pdf;‎רשומות - ספר חוקים#תוקן ס"ח תשע"ו מס' ‏‏2579# מיום 16.8.2016 עמ' 1223  – תיקון מס' 1 הוראת שעה בסעיף 5 לחוק להסדרת הביטחון בגופים ציבוריים ‏‏(הוראת שעה), תשע"ו-2016; תוקפה עד יום 31.12.2018‏</vt:lpwstr>
  </property>
  <property fmtid="{D5CDD505-2E9C-101B-9397-08002B2CF9AE}" pid="8" name="LINKK3">
    <vt:lpwstr>http://www.nevo.co.il/law_word/law14/law-2766.pdf;‎רשומות - ספר חוקים#תוקן ס"ח תשע"ט מס' ‏‏2766 #מיום 27.12.2018 עמ' 88  – תיקון מס' 1 (תיקון) תשע"ט-2018‏</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http://www.nevo.co.il/Law_word/law14/law-2178.pdf;‎רשומות - ספר חוקים#פורסם ס"ח תשס"ח ‏מס' 2178 #מיום 7.8.2008 #עמ' 833‏</vt:lpwstr>
  </property>
  <property fmtid="{D5CDD505-2E9C-101B-9397-08002B2CF9AE}" pid="23" name="NOSE11">
    <vt:lpwstr>בטחון</vt:lpwstr>
  </property>
  <property fmtid="{D5CDD505-2E9C-101B-9397-08002B2CF9AE}" pid="24" name="NOSE21">
    <vt:lpwstr>מערכת ומשרד הבטחון</vt:lpwstr>
  </property>
  <property fmtid="{D5CDD505-2E9C-101B-9397-08002B2CF9AE}" pid="25" name="NOSE31">
    <vt:lpwstr>המטה לביטחון לאומי</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