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075E" w14:textId="77777777" w:rsidR="00726D7C" w:rsidRDefault="00726D7C" w:rsidP="00D071F2">
      <w:pPr>
        <w:pStyle w:val="big-header"/>
        <w:ind w:left="0" w:right="1134"/>
        <w:rPr>
          <w:rFonts w:cs="FrankRuehl" w:hint="cs"/>
          <w:sz w:val="32"/>
          <w:rtl/>
        </w:rPr>
      </w:pPr>
      <w:r>
        <w:rPr>
          <w:rFonts w:cs="FrankRuehl"/>
          <w:sz w:val="32"/>
          <w:rtl/>
        </w:rPr>
        <w:t>חוק המשטרה (נכים ונספים), תשמ"א</w:t>
      </w:r>
      <w:r w:rsidR="00D071F2">
        <w:rPr>
          <w:rFonts w:cs="FrankRuehl" w:hint="cs"/>
          <w:sz w:val="32"/>
          <w:rtl/>
        </w:rPr>
        <w:t>-</w:t>
      </w:r>
      <w:r>
        <w:rPr>
          <w:rFonts w:cs="FrankRuehl"/>
          <w:sz w:val="32"/>
          <w:rtl/>
        </w:rPr>
        <w:t>1981</w:t>
      </w:r>
    </w:p>
    <w:p w14:paraId="38C35261" w14:textId="77777777" w:rsidR="000F227E" w:rsidRPr="000F227E" w:rsidRDefault="000F227E" w:rsidP="000F227E">
      <w:pPr>
        <w:spacing w:line="320" w:lineRule="auto"/>
        <w:jc w:val="left"/>
        <w:rPr>
          <w:rFonts w:cs="FrankRuehl"/>
          <w:szCs w:val="26"/>
          <w:rtl/>
        </w:rPr>
      </w:pPr>
    </w:p>
    <w:p w14:paraId="383C13AD" w14:textId="77777777" w:rsidR="000F227E" w:rsidRDefault="000F227E" w:rsidP="000F227E">
      <w:pPr>
        <w:spacing w:line="320" w:lineRule="auto"/>
        <w:jc w:val="left"/>
        <w:rPr>
          <w:rtl/>
        </w:rPr>
      </w:pPr>
    </w:p>
    <w:p w14:paraId="73CBB5C7" w14:textId="77777777" w:rsidR="000F227E" w:rsidRDefault="000F227E" w:rsidP="000F227E">
      <w:pPr>
        <w:spacing w:line="320" w:lineRule="auto"/>
        <w:jc w:val="left"/>
        <w:rPr>
          <w:rFonts w:cs="FrankRuehl"/>
          <w:szCs w:val="26"/>
          <w:rtl/>
        </w:rPr>
      </w:pPr>
      <w:r w:rsidRPr="000F227E">
        <w:rPr>
          <w:rFonts w:cs="Miriam"/>
          <w:szCs w:val="22"/>
          <w:rtl/>
        </w:rPr>
        <w:t>בטחון</w:t>
      </w:r>
      <w:r w:rsidRPr="000F227E">
        <w:rPr>
          <w:rFonts w:cs="FrankRuehl"/>
          <w:szCs w:val="26"/>
          <w:rtl/>
        </w:rPr>
        <w:t xml:space="preserve"> – משטרה – נכים</w:t>
      </w:r>
    </w:p>
    <w:p w14:paraId="69097CA4" w14:textId="77777777" w:rsidR="000F227E" w:rsidRDefault="000F227E" w:rsidP="000F227E">
      <w:pPr>
        <w:spacing w:line="320" w:lineRule="auto"/>
        <w:jc w:val="left"/>
        <w:rPr>
          <w:rFonts w:cs="FrankRuehl"/>
          <w:szCs w:val="26"/>
          <w:rtl/>
        </w:rPr>
      </w:pPr>
      <w:r w:rsidRPr="000F227E">
        <w:rPr>
          <w:rFonts w:cs="Miriam"/>
          <w:szCs w:val="22"/>
          <w:rtl/>
        </w:rPr>
        <w:t>בריאות</w:t>
      </w:r>
      <w:r w:rsidRPr="000F227E">
        <w:rPr>
          <w:rFonts w:cs="FrankRuehl"/>
          <w:szCs w:val="26"/>
          <w:rtl/>
        </w:rPr>
        <w:t xml:space="preserve"> – נכים – נכי המשטרה והשב"ס</w:t>
      </w:r>
    </w:p>
    <w:p w14:paraId="2BFF8868" w14:textId="77777777" w:rsidR="000B0F96" w:rsidRPr="000F227E" w:rsidRDefault="000F227E" w:rsidP="000F227E">
      <w:pPr>
        <w:spacing w:line="320" w:lineRule="auto"/>
        <w:jc w:val="left"/>
        <w:rPr>
          <w:rFonts w:cs="Miriam"/>
          <w:szCs w:val="22"/>
          <w:rtl/>
        </w:rPr>
      </w:pPr>
      <w:r w:rsidRPr="000F227E">
        <w:rPr>
          <w:rFonts w:cs="Miriam"/>
          <w:szCs w:val="22"/>
          <w:rtl/>
        </w:rPr>
        <w:t>רשויות ומשפט מנהלי</w:t>
      </w:r>
      <w:r w:rsidRPr="000F227E">
        <w:rPr>
          <w:rFonts w:cs="FrankRuehl"/>
          <w:szCs w:val="26"/>
          <w:rtl/>
        </w:rPr>
        <w:t xml:space="preserve"> – שרותי רווחה – נכים</w:t>
      </w:r>
    </w:p>
    <w:p w14:paraId="0520B5AF" w14:textId="77777777" w:rsidR="00726D7C" w:rsidRDefault="00726D7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6D7C" w14:paraId="0B3CD289" w14:textId="77777777">
        <w:tblPrEx>
          <w:tblCellMar>
            <w:top w:w="0" w:type="dxa"/>
            <w:bottom w:w="0" w:type="dxa"/>
          </w:tblCellMar>
        </w:tblPrEx>
        <w:tc>
          <w:tcPr>
            <w:tcW w:w="850" w:type="dxa"/>
          </w:tcPr>
          <w:p w14:paraId="52E69B04"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071F2">
              <w:rPr>
                <w:noProof/>
                <w:sz w:val="24"/>
                <w:rtl/>
              </w:rPr>
              <w:t>2</w:t>
            </w:r>
            <w:r>
              <w:rPr>
                <w:sz w:val="24"/>
                <w:rtl/>
              </w:rPr>
              <w:fldChar w:fldCharType="end"/>
            </w:r>
          </w:p>
        </w:tc>
        <w:tc>
          <w:tcPr>
            <w:tcW w:w="567" w:type="dxa"/>
          </w:tcPr>
          <w:p w14:paraId="73D5DB3E" w14:textId="77777777" w:rsidR="00726D7C" w:rsidRDefault="00726D7C">
            <w:pPr>
              <w:spacing w:line="240" w:lineRule="auto"/>
              <w:rPr>
                <w:sz w:val="24"/>
              </w:rPr>
            </w:pPr>
            <w:hyperlink w:anchor="Seif0" w:tooltip="הגדרות" w:history="1">
              <w:r>
                <w:rPr>
                  <w:rStyle w:val="Hyperlink"/>
                </w:rPr>
                <w:t>Go</w:t>
              </w:r>
            </w:hyperlink>
          </w:p>
        </w:tc>
        <w:tc>
          <w:tcPr>
            <w:tcW w:w="5669" w:type="dxa"/>
          </w:tcPr>
          <w:p w14:paraId="6E48BDDA" w14:textId="77777777" w:rsidR="00726D7C" w:rsidRDefault="00726D7C">
            <w:pPr>
              <w:spacing w:line="240" w:lineRule="auto"/>
              <w:rPr>
                <w:sz w:val="24"/>
                <w:rtl/>
              </w:rPr>
            </w:pPr>
            <w:r>
              <w:rPr>
                <w:sz w:val="24"/>
                <w:rtl/>
              </w:rPr>
              <w:t>הגדרות</w:t>
            </w:r>
          </w:p>
        </w:tc>
        <w:tc>
          <w:tcPr>
            <w:tcW w:w="1247" w:type="dxa"/>
          </w:tcPr>
          <w:p w14:paraId="77A8366C" w14:textId="77777777" w:rsidR="00726D7C" w:rsidRDefault="00726D7C">
            <w:pPr>
              <w:spacing w:line="240" w:lineRule="auto"/>
              <w:rPr>
                <w:sz w:val="24"/>
              </w:rPr>
            </w:pPr>
            <w:r>
              <w:rPr>
                <w:sz w:val="24"/>
                <w:rtl/>
              </w:rPr>
              <w:t xml:space="preserve">סעיף 1 </w:t>
            </w:r>
          </w:p>
        </w:tc>
      </w:tr>
      <w:tr w:rsidR="00726D7C" w14:paraId="3F6F02B3" w14:textId="77777777">
        <w:tblPrEx>
          <w:tblCellMar>
            <w:top w:w="0" w:type="dxa"/>
            <w:bottom w:w="0" w:type="dxa"/>
          </w:tblCellMar>
        </w:tblPrEx>
        <w:tc>
          <w:tcPr>
            <w:tcW w:w="850" w:type="dxa"/>
          </w:tcPr>
          <w:p w14:paraId="37658AA4"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071F2">
              <w:rPr>
                <w:noProof/>
                <w:sz w:val="24"/>
                <w:rtl/>
              </w:rPr>
              <w:t>2</w:t>
            </w:r>
            <w:r>
              <w:rPr>
                <w:sz w:val="24"/>
                <w:rtl/>
              </w:rPr>
              <w:fldChar w:fldCharType="end"/>
            </w:r>
          </w:p>
        </w:tc>
        <w:tc>
          <w:tcPr>
            <w:tcW w:w="567" w:type="dxa"/>
          </w:tcPr>
          <w:p w14:paraId="4D848A3F" w14:textId="77777777" w:rsidR="00726D7C" w:rsidRDefault="00726D7C">
            <w:pPr>
              <w:spacing w:line="240" w:lineRule="auto"/>
              <w:rPr>
                <w:sz w:val="24"/>
              </w:rPr>
            </w:pPr>
            <w:hyperlink w:anchor="Seif1" w:tooltip="דין שוטר נכה" w:history="1">
              <w:r>
                <w:rPr>
                  <w:rStyle w:val="Hyperlink"/>
                </w:rPr>
                <w:t>Go</w:t>
              </w:r>
            </w:hyperlink>
          </w:p>
        </w:tc>
        <w:tc>
          <w:tcPr>
            <w:tcW w:w="5669" w:type="dxa"/>
          </w:tcPr>
          <w:p w14:paraId="70B87677" w14:textId="77777777" w:rsidR="00726D7C" w:rsidRDefault="00726D7C">
            <w:pPr>
              <w:spacing w:line="240" w:lineRule="auto"/>
              <w:rPr>
                <w:sz w:val="24"/>
                <w:rtl/>
              </w:rPr>
            </w:pPr>
            <w:r>
              <w:rPr>
                <w:sz w:val="24"/>
                <w:rtl/>
              </w:rPr>
              <w:t>דין שוטר נכה</w:t>
            </w:r>
          </w:p>
        </w:tc>
        <w:tc>
          <w:tcPr>
            <w:tcW w:w="1247" w:type="dxa"/>
          </w:tcPr>
          <w:p w14:paraId="6FA59C6D" w14:textId="77777777" w:rsidR="00726D7C" w:rsidRDefault="00726D7C">
            <w:pPr>
              <w:spacing w:line="240" w:lineRule="auto"/>
              <w:rPr>
                <w:sz w:val="24"/>
              </w:rPr>
            </w:pPr>
            <w:r>
              <w:rPr>
                <w:sz w:val="24"/>
                <w:rtl/>
              </w:rPr>
              <w:t xml:space="preserve">סעיף 2 </w:t>
            </w:r>
          </w:p>
        </w:tc>
      </w:tr>
      <w:tr w:rsidR="00726D7C" w14:paraId="4E352609" w14:textId="77777777">
        <w:tblPrEx>
          <w:tblCellMar>
            <w:top w:w="0" w:type="dxa"/>
            <w:bottom w:w="0" w:type="dxa"/>
          </w:tblCellMar>
        </w:tblPrEx>
        <w:tc>
          <w:tcPr>
            <w:tcW w:w="850" w:type="dxa"/>
          </w:tcPr>
          <w:p w14:paraId="20C765AB"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071F2">
              <w:rPr>
                <w:noProof/>
                <w:sz w:val="24"/>
                <w:rtl/>
              </w:rPr>
              <w:t>2</w:t>
            </w:r>
            <w:r>
              <w:rPr>
                <w:sz w:val="24"/>
                <w:rtl/>
              </w:rPr>
              <w:fldChar w:fldCharType="end"/>
            </w:r>
          </w:p>
        </w:tc>
        <w:tc>
          <w:tcPr>
            <w:tcW w:w="567" w:type="dxa"/>
          </w:tcPr>
          <w:p w14:paraId="1C942664" w14:textId="77777777" w:rsidR="00726D7C" w:rsidRDefault="00726D7C">
            <w:pPr>
              <w:spacing w:line="240" w:lineRule="auto"/>
              <w:rPr>
                <w:sz w:val="24"/>
              </w:rPr>
            </w:pPr>
            <w:hyperlink w:anchor="Seif2" w:tooltip="דין משפחת שוטר שנספה" w:history="1">
              <w:r>
                <w:rPr>
                  <w:rStyle w:val="Hyperlink"/>
                </w:rPr>
                <w:t>Go</w:t>
              </w:r>
            </w:hyperlink>
          </w:p>
        </w:tc>
        <w:tc>
          <w:tcPr>
            <w:tcW w:w="5669" w:type="dxa"/>
          </w:tcPr>
          <w:p w14:paraId="7A9198ED" w14:textId="77777777" w:rsidR="00726D7C" w:rsidRDefault="00726D7C">
            <w:pPr>
              <w:spacing w:line="240" w:lineRule="auto"/>
              <w:rPr>
                <w:sz w:val="24"/>
                <w:rtl/>
              </w:rPr>
            </w:pPr>
            <w:r>
              <w:rPr>
                <w:sz w:val="24"/>
                <w:rtl/>
              </w:rPr>
              <w:t>דין משפחת שוטר שנספה</w:t>
            </w:r>
          </w:p>
        </w:tc>
        <w:tc>
          <w:tcPr>
            <w:tcW w:w="1247" w:type="dxa"/>
          </w:tcPr>
          <w:p w14:paraId="3EA4AAB1" w14:textId="77777777" w:rsidR="00726D7C" w:rsidRDefault="00726D7C">
            <w:pPr>
              <w:spacing w:line="240" w:lineRule="auto"/>
              <w:rPr>
                <w:sz w:val="24"/>
              </w:rPr>
            </w:pPr>
            <w:r>
              <w:rPr>
                <w:sz w:val="24"/>
                <w:rtl/>
              </w:rPr>
              <w:t xml:space="preserve">סעיף 3 </w:t>
            </w:r>
          </w:p>
        </w:tc>
      </w:tr>
      <w:tr w:rsidR="00726D7C" w14:paraId="56DC9777" w14:textId="77777777">
        <w:tblPrEx>
          <w:tblCellMar>
            <w:top w:w="0" w:type="dxa"/>
            <w:bottom w:w="0" w:type="dxa"/>
          </w:tblCellMar>
        </w:tblPrEx>
        <w:tc>
          <w:tcPr>
            <w:tcW w:w="850" w:type="dxa"/>
          </w:tcPr>
          <w:p w14:paraId="68010A06"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071F2">
              <w:rPr>
                <w:noProof/>
                <w:sz w:val="24"/>
                <w:rtl/>
              </w:rPr>
              <w:t>2</w:t>
            </w:r>
            <w:r>
              <w:rPr>
                <w:sz w:val="24"/>
                <w:rtl/>
              </w:rPr>
              <w:fldChar w:fldCharType="end"/>
            </w:r>
          </w:p>
        </w:tc>
        <w:tc>
          <w:tcPr>
            <w:tcW w:w="567" w:type="dxa"/>
          </w:tcPr>
          <w:p w14:paraId="0AEA7175" w14:textId="77777777" w:rsidR="00726D7C" w:rsidRDefault="00726D7C">
            <w:pPr>
              <w:spacing w:line="240" w:lineRule="auto"/>
              <w:rPr>
                <w:sz w:val="24"/>
              </w:rPr>
            </w:pPr>
            <w:hyperlink w:anchor="Seif3" w:tooltip="ברירה" w:history="1">
              <w:r>
                <w:rPr>
                  <w:rStyle w:val="Hyperlink"/>
                </w:rPr>
                <w:t>Go</w:t>
              </w:r>
            </w:hyperlink>
          </w:p>
        </w:tc>
        <w:tc>
          <w:tcPr>
            <w:tcW w:w="5669" w:type="dxa"/>
          </w:tcPr>
          <w:p w14:paraId="5F0F50D8" w14:textId="77777777" w:rsidR="00726D7C" w:rsidRDefault="00726D7C">
            <w:pPr>
              <w:spacing w:line="240" w:lineRule="auto"/>
              <w:rPr>
                <w:sz w:val="24"/>
                <w:rtl/>
              </w:rPr>
            </w:pPr>
            <w:r>
              <w:rPr>
                <w:sz w:val="24"/>
                <w:rtl/>
              </w:rPr>
              <w:t>ברירה</w:t>
            </w:r>
          </w:p>
        </w:tc>
        <w:tc>
          <w:tcPr>
            <w:tcW w:w="1247" w:type="dxa"/>
          </w:tcPr>
          <w:p w14:paraId="699D6946" w14:textId="77777777" w:rsidR="00726D7C" w:rsidRDefault="00726D7C">
            <w:pPr>
              <w:spacing w:line="240" w:lineRule="auto"/>
              <w:rPr>
                <w:sz w:val="24"/>
              </w:rPr>
            </w:pPr>
            <w:r>
              <w:rPr>
                <w:sz w:val="24"/>
                <w:rtl/>
              </w:rPr>
              <w:t xml:space="preserve">סעיף 4 </w:t>
            </w:r>
          </w:p>
        </w:tc>
      </w:tr>
      <w:tr w:rsidR="00726D7C" w14:paraId="57A48BEC" w14:textId="77777777">
        <w:tblPrEx>
          <w:tblCellMar>
            <w:top w:w="0" w:type="dxa"/>
            <w:bottom w:w="0" w:type="dxa"/>
          </w:tblCellMar>
        </w:tblPrEx>
        <w:tc>
          <w:tcPr>
            <w:tcW w:w="850" w:type="dxa"/>
          </w:tcPr>
          <w:p w14:paraId="67ABA5CA"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071F2">
              <w:rPr>
                <w:noProof/>
                <w:sz w:val="24"/>
                <w:rtl/>
              </w:rPr>
              <w:t>2</w:t>
            </w:r>
            <w:r>
              <w:rPr>
                <w:sz w:val="24"/>
                <w:rtl/>
              </w:rPr>
              <w:fldChar w:fldCharType="end"/>
            </w:r>
          </w:p>
        </w:tc>
        <w:tc>
          <w:tcPr>
            <w:tcW w:w="567" w:type="dxa"/>
          </w:tcPr>
          <w:p w14:paraId="3F04365C" w14:textId="77777777" w:rsidR="00726D7C" w:rsidRDefault="00726D7C">
            <w:pPr>
              <w:spacing w:line="240" w:lineRule="auto"/>
              <w:rPr>
                <w:sz w:val="24"/>
              </w:rPr>
            </w:pPr>
            <w:hyperlink w:anchor="Seif4" w:tooltip="אזכורים" w:history="1">
              <w:r>
                <w:rPr>
                  <w:rStyle w:val="Hyperlink"/>
                </w:rPr>
                <w:t>Go</w:t>
              </w:r>
            </w:hyperlink>
          </w:p>
        </w:tc>
        <w:tc>
          <w:tcPr>
            <w:tcW w:w="5669" w:type="dxa"/>
          </w:tcPr>
          <w:p w14:paraId="1FA64A8E" w14:textId="77777777" w:rsidR="00726D7C" w:rsidRDefault="00726D7C">
            <w:pPr>
              <w:spacing w:line="240" w:lineRule="auto"/>
              <w:rPr>
                <w:sz w:val="24"/>
                <w:rtl/>
              </w:rPr>
            </w:pPr>
            <w:r>
              <w:rPr>
                <w:sz w:val="24"/>
                <w:rtl/>
              </w:rPr>
              <w:t>אזכורים</w:t>
            </w:r>
          </w:p>
        </w:tc>
        <w:tc>
          <w:tcPr>
            <w:tcW w:w="1247" w:type="dxa"/>
          </w:tcPr>
          <w:p w14:paraId="4986E8FA" w14:textId="77777777" w:rsidR="00726D7C" w:rsidRDefault="00726D7C">
            <w:pPr>
              <w:spacing w:line="240" w:lineRule="auto"/>
              <w:rPr>
                <w:sz w:val="24"/>
              </w:rPr>
            </w:pPr>
            <w:r>
              <w:rPr>
                <w:sz w:val="24"/>
                <w:rtl/>
              </w:rPr>
              <w:t xml:space="preserve">סעיף 5 </w:t>
            </w:r>
          </w:p>
        </w:tc>
      </w:tr>
      <w:tr w:rsidR="00726D7C" w14:paraId="78CEF75D" w14:textId="77777777">
        <w:tblPrEx>
          <w:tblCellMar>
            <w:top w:w="0" w:type="dxa"/>
            <w:bottom w:w="0" w:type="dxa"/>
          </w:tblCellMar>
        </w:tblPrEx>
        <w:tc>
          <w:tcPr>
            <w:tcW w:w="850" w:type="dxa"/>
          </w:tcPr>
          <w:p w14:paraId="5E98B30D"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071F2">
              <w:rPr>
                <w:noProof/>
                <w:sz w:val="24"/>
                <w:rtl/>
              </w:rPr>
              <w:t>3</w:t>
            </w:r>
            <w:r>
              <w:rPr>
                <w:sz w:val="24"/>
                <w:rtl/>
              </w:rPr>
              <w:fldChar w:fldCharType="end"/>
            </w:r>
          </w:p>
        </w:tc>
        <w:tc>
          <w:tcPr>
            <w:tcW w:w="567" w:type="dxa"/>
          </w:tcPr>
          <w:p w14:paraId="2319DD28" w14:textId="77777777" w:rsidR="00726D7C" w:rsidRDefault="00726D7C">
            <w:pPr>
              <w:spacing w:line="240" w:lineRule="auto"/>
              <w:rPr>
                <w:sz w:val="24"/>
              </w:rPr>
            </w:pPr>
            <w:hyperlink w:anchor="Seif5" w:tooltip="זכויות יתר" w:history="1">
              <w:r>
                <w:rPr>
                  <w:rStyle w:val="Hyperlink"/>
                </w:rPr>
                <w:t>Go</w:t>
              </w:r>
            </w:hyperlink>
          </w:p>
        </w:tc>
        <w:tc>
          <w:tcPr>
            <w:tcW w:w="5669" w:type="dxa"/>
          </w:tcPr>
          <w:p w14:paraId="3245FC6F" w14:textId="77777777" w:rsidR="00726D7C" w:rsidRDefault="00726D7C">
            <w:pPr>
              <w:spacing w:line="240" w:lineRule="auto"/>
              <w:rPr>
                <w:sz w:val="24"/>
                <w:rtl/>
              </w:rPr>
            </w:pPr>
            <w:r>
              <w:rPr>
                <w:sz w:val="24"/>
                <w:rtl/>
              </w:rPr>
              <w:t>זכויות יתר</w:t>
            </w:r>
          </w:p>
        </w:tc>
        <w:tc>
          <w:tcPr>
            <w:tcW w:w="1247" w:type="dxa"/>
          </w:tcPr>
          <w:p w14:paraId="41F1EAF1" w14:textId="77777777" w:rsidR="00726D7C" w:rsidRDefault="00726D7C">
            <w:pPr>
              <w:spacing w:line="240" w:lineRule="auto"/>
              <w:rPr>
                <w:sz w:val="24"/>
              </w:rPr>
            </w:pPr>
            <w:r>
              <w:rPr>
                <w:sz w:val="24"/>
                <w:rtl/>
              </w:rPr>
              <w:t xml:space="preserve">סעיף 6 </w:t>
            </w:r>
          </w:p>
        </w:tc>
      </w:tr>
      <w:tr w:rsidR="00726D7C" w14:paraId="7A99884F" w14:textId="77777777">
        <w:tblPrEx>
          <w:tblCellMar>
            <w:top w:w="0" w:type="dxa"/>
            <w:bottom w:w="0" w:type="dxa"/>
          </w:tblCellMar>
        </w:tblPrEx>
        <w:tc>
          <w:tcPr>
            <w:tcW w:w="850" w:type="dxa"/>
          </w:tcPr>
          <w:p w14:paraId="36F4A67E"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071F2">
              <w:rPr>
                <w:noProof/>
                <w:sz w:val="24"/>
                <w:rtl/>
              </w:rPr>
              <w:t>3</w:t>
            </w:r>
            <w:r>
              <w:rPr>
                <w:sz w:val="24"/>
                <w:rtl/>
              </w:rPr>
              <w:fldChar w:fldCharType="end"/>
            </w:r>
          </w:p>
        </w:tc>
        <w:tc>
          <w:tcPr>
            <w:tcW w:w="567" w:type="dxa"/>
          </w:tcPr>
          <w:p w14:paraId="62A4056A" w14:textId="77777777" w:rsidR="00726D7C" w:rsidRDefault="00726D7C">
            <w:pPr>
              <w:spacing w:line="240" w:lineRule="auto"/>
              <w:rPr>
                <w:sz w:val="24"/>
              </w:rPr>
            </w:pPr>
            <w:hyperlink w:anchor="Seif6" w:tooltip="שוטר שנעדר" w:history="1">
              <w:r>
                <w:rPr>
                  <w:rStyle w:val="Hyperlink"/>
                </w:rPr>
                <w:t>Go</w:t>
              </w:r>
            </w:hyperlink>
          </w:p>
        </w:tc>
        <w:tc>
          <w:tcPr>
            <w:tcW w:w="5669" w:type="dxa"/>
          </w:tcPr>
          <w:p w14:paraId="4970A4F3" w14:textId="77777777" w:rsidR="00726D7C" w:rsidRDefault="00726D7C">
            <w:pPr>
              <w:spacing w:line="240" w:lineRule="auto"/>
              <w:rPr>
                <w:sz w:val="24"/>
                <w:rtl/>
              </w:rPr>
            </w:pPr>
            <w:r>
              <w:rPr>
                <w:sz w:val="24"/>
                <w:rtl/>
              </w:rPr>
              <w:t>שוטר שנעדר</w:t>
            </w:r>
          </w:p>
        </w:tc>
        <w:tc>
          <w:tcPr>
            <w:tcW w:w="1247" w:type="dxa"/>
          </w:tcPr>
          <w:p w14:paraId="0174D845" w14:textId="77777777" w:rsidR="00726D7C" w:rsidRDefault="00726D7C">
            <w:pPr>
              <w:spacing w:line="240" w:lineRule="auto"/>
              <w:rPr>
                <w:sz w:val="24"/>
              </w:rPr>
            </w:pPr>
            <w:r>
              <w:rPr>
                <w:sz w:val="24"/>
                <w:rtl/>
              </w:rPr>
              <w:t xml:space="preserve">סעיף 7 </w:t>
            </w:r>
          </w:p>
        </w:tc>
      </w:tr>
      <w:tr w:rsidR="00726D7C" w14:paraId="530EFCCE" w14:textId="77777777">
        <w:tblPrEx>
          <w:tblCellMar>
            <w:top w:w="0" w:type="dxa"/>
            <w:bottom w:w="0" w:type="dxa"/>
          </w:tblCellMar>
        </w:tblPrEx>
        <w:tc>
          <w:tcPr>
            <w:tcW w:w="850" w:type="dxa"/>
          </w:tcPr>
          <w:p w14:paraId="6F0F3635"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071F2">
              <w:rPr>
                <w:noProof/>
                <w:sz w:val="24"/>
                <w:rtl/>
              </w:rPr>
              <w:t>3</w:t>
            </w:r>
            <w:r>
              <w:rPr>
                <w:sz w:val="24"/>
                <w:rtl/>
              </w:rPr>
              <w:fldChar w:fldCharType="end"/>
            </w:r>
          </w:p>
        </w:tc>
        <w:tc>
          <w:tcPr>
            <w:tcW w:w="567" w:type="dxa"/>
          </w:tcPr>
          <w:p w14:paraId="359F9035" w14:textId="77777777" w:rsidR="00726D7C" w:rsidRDefault="00726D7C">
            <w:pPr>
              <w:spacing w:line="240" w:lineRule="auto"/>
              <w:rPr>
                <w:sz w:val="24"/>
              </w:rPr>
            </w:pPr>
            <w:hyperlink w:anchor="Seif7" w:tooltip="ביטול" w:history="1">
              <w:r>
                <w:rPr>
                  <w:rStyle w:val="Hyperlink"/>
                </w:rPr>
                <w:t>Go</w:t>
              </w:r>
            </w:hyperlink>
          </w:p>
        </w:tc>
        <w:tc>
          <w:tcPr>
            <w:tcW w:w="5669" w:type="dxa"/>
          </w:tcPr>
          <w:p w14:paraId="456C0BF5" w14:textId="77777777" w:rsidR="00726D7C" w:rsidRDefault="00726D7C">
            <w:pPr>
              <w:spacing w:line="240" w:lineRule="auto"/>
              <w:rPr>
                <w:sz w:val="24"/>
                <w:rtl/>
              </w:rPr>
            </w:pPr>
            <w:r>
              <w:rPr>
                <w:sz w:val="24"/>
                <w:rtl/>
              </w:rPr>
              <w:t>ביטול</w:t>
            </w:r>
          </w:p>
        </w:tc>
        <w:tc>
          <w:tcPr>
            <w:tcW w:w="1247" w:type="dxa"/>
          </w:tcPr>
          <w:p w14:paraId="5D139383" w14:textId="77777777" w:rsidR="00726D7C" w:rsidRDefault="00726D7C">
            <w:pPr>
              <w:spacing w:line="240" w:lineRule="auto"/>
              <w:rPr>
                <w:sz w:val="24"/>
              </w:rPr>
            </w:pPr>
            <w:r>
              <w:rPr>
                <w:sz w:val="24"/>
                <w:rtl/>
              </w:rPr>
              <w:t xml:space="preserve">סעיף 8 </w:t>
            </w:r>
          </w:p>
        </w:tc>
      </w:tr>
      <w:tr w:rsidR="00726D7C" w14:paraId="13842820" w14:textId="77777777">
        <w:tblPrEx>
          <w:tblCellMar>
            <w:top w:w="0" w:type="dxa"/>
            <w:bottom w:w="0" w:type="dxa"/>
          </w:tblCellMar>
        </w:tblPrEx>
        <w:tc>
          <w:tcPr>
            <w:tcW w:w="850" w:type="dxa"/>
          </w:tcPr>
          <w:p w14:paraId="01053A1D"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071F2">
              <w:rPr>
                <w:noProof/>
                <w:sz w:val="24"/>
                <w:rtl/>
              </w:rPr>
              <w:t>3</w:t>
            </w:r>
            <w:r>
              <w:rPr>
                <w:sz w:val="24"/>
                <w:rtl/>
              </w:rPr>
              <w:fldChar w:fldCharType="end"/>
            </w:r>
          </w:p>
        </w:tc>
        <w:tc>
          <w:tcPr>
            <w:tcW w:w="567" w:type="dxa"/>
          </w:tcPr>
          <w:p w14:paraId="409324C1" w14:textId="77777777" w:rsidR="00726D7C" w:rsidRDefault="00726D7C">
            <w:pPr>
              <w:spacing w:line="240" w:lineRule="auto"/>
              <w:rPr>
                <w:sz w:val="24"/>
              </w:rPr>
            </w:pPr>
            <w:hyperlink w:anchor="Seif8" w:tooltip="תיקון חוק משכן הכנסת ורחבתו" w:history="1">
              <w:r>
                <w:rPr>
                  <w:rStyle w:val="Hyperlink"/>
                </w:rPr>
                <w:t>Go</w:t>
              </w:r>
            </w:hyperlink>
          </w:p>
        </w:tc>
        <w:tc>
          <w:tcPr>
            <w:tcW w:w="5669" w:type="dxa"/>
          </w:tcPr>
          <w:p w14:paraId="67F5DF1F" w14:textId="77777777" w:rsidR="00726D7C" w:rsidRDefault="00726D7C">
            <w:pPr>
              <w:spacing w:line="240" w:lineRule="auto"/>
              <w:rPr>
                <w:sz w:val="24"/>
                <w:rtl/>
              </w:rPr>
            </w:pPr>
            <w:r>
              <w:rPr>
                <w:sz w:val="24"/>
                <w:rtl/>
              </w:rPr>
              <w:t>תיקון חוק משכן הכנסת ורחבתו</w:t>
            </w:r>
          </w:p>
        </w:tc>
        <w:tc>
          <w:tcPr>
            <w:tcW w:w="1247" w:type="dxa"/>
          </w:tcPr>
          <w:p w14:paraId="5E7D99DA" w14:textId="77777777" w:rsidR="00726D7C" w:rsidRDefault="00726D7C">
            <w:pPr>
              <w:spacing w:line="240" w:lineRule="auto"/>
              <w:rPr>
                <w:sz w:val="24"/>
              </w:rPr>
            </w:pPr>
            <w:r>
              <w:rPr>
                <w:sz w:val="24"/>
                <w:rtl/>
              </w:rPr>
              <w:t xml:space="preserve">סעיף 9 </w:t>
            </w:r>
          </w:p>
        </w:tc>
      </w:tr>
      <w:tr w:rsidR="00726D7C" w14:paraId="17FDCDC0" w14:textId="77777777">
        <w:tblPrEx>
          <w:tblCellMar>
            <w:top w:w="0" w:type="dxa"/>
            <w:bottom w:w="0" w:type="dxa"/>
          </w:tblCellMar>
        </w:tblPrEx>
        <w:tc>
          <w:tcPr>
            <w:tcW w:w="850" w:type="dxa"/>
          </w:tcPr>
          <w:p w14:paraId="500404A1" w14:textId="77777777" w:rsidR="00726D7C" w:rsidRDefault="00726D7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071F2">
              <w:rPr>
                <w:noProof/>
                <w:sz w:val="24"/>
                <w:rtl/>
              </w:rPr>
              <w:t>3</w:t>
            </w:r>
            <w:r>
              <w:rPr>
                <w:sz w:val="24"/>
                <w:rtl/>
              </w:rPr>
              <w:fldChar w:fldCharType="end"/>
            </w:r>
          </w:p>
        </w:tc>
        <w:tc>
          <w:tcPr>
            <w:tcW w:w="567" w:type="dxa"/>
          </w:tcPr>
          <w:p w14:paraId="45326663" w14:textId="77777777" w:rsidR="00726D7C" w:rsidRDefault="00726D7C">
            <w:pPr>
              <w:spacing w:line="240" w:lineRule="auto"/>
              <w:rPr>
                <w:sz w:val="24"/>
              </w:rPr>
            </w:pPr>
            <w:hyperlink w:anchor="Seif9" w:tooltip="הוראת מעבר" w:history="1">
              <w:r>
                <w:rPr>
                  <w:rStyle w:val="Hyperlink"/>
                </w:rPr>
                <w:t>Go</w:t>
              </w:r>
            </w:hyperlink>
          </w:p>
        </w:tc>
        <w:tc>
          <w:tcPr>
            <w:tcW w:w="5669" w:type="dxa"/>
          </w:tcPr>
          <w:p w14:paraId="398EABE6" w14:textId="77777777" w:rsidR="00726D7C" w:rsidRDefault="00726D7C">
            <w:pPr>
              <w:spacing w:line="240" w:lineRule="auto"/>
              <w:rPr>
                <w:sz w:val="24"/>
                <w:rtl/>
              </w:rPr>
            </w:pPr>
            <w:r>
              <w:rPr>
                <w:sz w:val="24"/>
                <w:rtl/>
              </w:rPr>
              <w:t>הוראת מעבר</w:t>
            </w:r>
          </w:p>
        </w:tc>
        <w:tc>
          <w:tcPr>
            <w:tcW w:w="1247" w:type="dxa"/>
          </w:tcPr>
          <w:p w14:paraId="3165586B" w14:textId="77777777" w:rsidR="00726D7C" w:rsidRDefault="00726D7C">
            <w:pPr>
              <w:spacing w:line="240" w:lineRule="auto"/>
              <w:rPr>
                <w:sz w:val="24"/>
              </w:rPr>
            </w:pPr>
            <w:r>
              <w:rPr>
                <w:sz w:val="24"/>
                <w:rtl/>
              </w:rPr>
              <w:t xml:space="preserve">סעיף 10 </w:t>
            </w:r>
          </w:p>
        </w:tc>
      </w:tr>
    </w:tbl>
    <w:p w14:paraId="7ECB0029" w14:textId="77777777" w:rsidR="00726D7C" w:rsidRDefault="00726D7C">
      <w:pPr>
        <w:pStyle w:val="big-header"/>
        <w:ind w:left="0" w:right="1134"/>
        <w:rPr>
          <w:rFonts w:cs="FrankRuehl"/>
          <w:sz w:val="32"/>
          <w:rtl/>
        </w:rPr>
      </w:pPr>
    </w:p>
    <w:p w14:paraId="4CD214B0" w14:textId="77777777" w:rsidR="00726D7C" w:rsidRPr="004D3E46" w:rsidRDefault="00726D7C" w:rsidP="004D3E4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המשטרה (נכים ונספים), תשמ"א</w:t>
      </w:r>
      <w:r w:rsidR="00D071F2">
        <w:rPr>
          <w:rFonts w:cs="FrankRuehl" w:hint="cs"/>
          <w:sz w:val="32"/>
          <w:rtl/>
        </w:rPr>
        <w:t>-</w:t>
      </w:r>
      <w:r>
        <w:rPr>
          <w:rFonts w:cs="FrankRuehl"/>
          <w:sz w:val="32"/>
          <w:rtl/>
        </w:rPr>
        <w:t>1981</w:t>
      </w:r>
      <w:r w:rsidR="00D071F2" w:rsidRPr="00D071F2">
        <w:rPr>
          <w:rStyle w:val="default"/>
          <w:rtl/>
        </w:rPr>
        <w:footnoteReference w:customMarkFollows="1" w:id="1"/>
        <w:t>*</w:t>
      </w:r>
    </w:p>
    <w:p w14:paraId="32707E14" w14:textId="77777777" w:rsidR="00726D7C" w:rsidRDefault="00726D7C" w:rsidP="00D071F2">
      <w:pPr>
        <w:pStyle w:val="P00"/>
        <w:numPr>
          <w:ilvl w:val="0"/>
          <w:numId w:val="1"/>
        </w:numPr>
        <w:spacing w:before="72"/>
        <w:ind w:right="1134"/>
        <w:rPr>
          <w:rStyle w:val="default"/>
          <w:rFonts w:cs="FrankRuehl" w:hint="cs"/>
          <w:rtl/>
        </w:rPr>
      </w:pPr>
      <w:bookmarkStart w:id="0" w:name="Seif0"/>
      <w:bookmarkEnd w:id="0"/>
      <w:r>
        <w:rPr>
          <w:lang w:val="he-IL"/>
        </w:rPr>
        <w:pict w14:anchorId="52FCF9E8">
          <v:rect id="_x0000_s1026" style="position:absolute;left:0;text-align:left;margin-left:464.5pt;margin-top:8.05pt;width:75.05pt;height:11.4pt;z-index:251652096" o:allowincell="f" filled="f" stroked="f" strokecolor="lime" strokeweight=".25pt">
            <v:textbox style="mso-next-textbox:#_x0000_s1026" inset="0,0,0,0">
              <w:txbxContent>
                <w:p w14:paraId="619CEC49" w14:textId="77777777" w:rsidR="00726D7C" w:rsidRDefault="00726D7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default"/>
          <w:rFonts w:cs="FrankRuehl"/>
          <w:rtl/>
        </w:rPr>
        <w:t>בח</w:t>
      </w:r>
      <w:r>
        <w:rPr>
          <w:rStyle w:val="default"/>
          <w:rFonts w:cs="FrankRuehl" w:hint="cs"/>
          <w:rtl/>
        </w:rPr>
        <w:t xml:space="preserve">וק זה </w:t>
      </w:r>
      <w:r w:rsidR="00D071F2">
        <w:rPr>
          <w:rStyle w:val="default"/>
          <w:rFonts w:cs="FrankRuehl"/>
          <w:rtl/>
        </w:rPr>
        <w:t>–</w:t>
      </w:r>
    </w:p>
    <w:p w14:paraId="20A18C73" w14:textId="77777777" w:rsidR="00726D7C" w:rsidRDefault="00726D7C" w:rsidP="00D071F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וטר" </w:t>
      </w:r>
      <w:r w:rsidR="00D071F2">
        <w:rPr>
          <w:rStyle w:val="default"/>
          <w:rFonts w:cs="FrankRuehl" w:hint="cs"/>
          <w:rtl/>
        </w:rPr>
        <w:t>-</w:t>
      </w:r>
      <w:r>
        <w:rPr>
          <w:rStyle w:val="default"/>
          <w:rFonts w:cs="FrankRuehl"/>
          <w:rtl/>
        </w:rPr>
        <w:t xml:space="preserve"> </w:t>
      </w:r>
      <w:r>
        <w:rPr>
          <w:rStyle w:val="default"/>
          <w:rFonts w:cs="FrankRuehl" w:hint="cs"/>
          <w:rtl/>
        </w:rPr>
        <w:t>אדם הנמנה עם חיל המשטרה, לרבות מי שהוענקו לו כל החובות, הזכויות, הסמכויות והחסינויות של שוטר;</w:t>
      </w:r>
    </w:p>
    <w:p w14:paraId="7095E0AE" w14:textId="77777777" w:rsidR="00726D7C" w:rsidRDefault="00726D7C" w:rsidP="00D071F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הנכים" </w:t>
      </w:r>
      <w:r w:rsidR="00D071F2">
        <w:rPr>
          <w:rStyle w:val="default"/>
          <w:rFonts w:cs="FrankRuehl" w:hint="cs"/>
          <w:rtl/>
        </w:rPr>
        <w:t>-</w:t>
      </w:r>
      <w:r>
        <w:rPr>
          <w:rStyle w:val="default"/>
          <w:rFonts w:cs="FrankRuehl"/>
          <w:rtl/>
        </w:rPr>
        <w:t xml:space="preserve"> </w:t>
      </w:r>
      <w:r>
        <w:rPr>
          <w:rStyle w:val="default"/>
          <w:rFonts w:cs="FrankRuehl" w:hint="cs"/>
          <w:rtl/>
        </w:rPr>
        <w:t>חוק הנכים (תגמולים ושיקום), תשי"ט</w:t>
      </w:r>
      <w:r w:rsidR="00D071F2">
        <w:rPr>
          <w:rStyle w:val="default"/>
          <w:rFonts w:cs="FrankRuehl" w:hint="cs"/>
          <w:rtl/>
        </w:rPr>
        <w:t>-</w:t>
      </w:r>
      <w:r>
        <w:rPr>
          <w:rStyle w:val="default"/>
          <w:rFonts w:cs="FrankRuehl"/>
          <w:rtl/>
        </w:rPr>
        <w:t>1959 [</w:t>
      </w:r>
      <w:r>
        <w:rPr>
          <w:rStyle w:val="default"/>
          <w:rFonts w:cs="FrankRuehl" w:hint="cs"/>
          <w:rtl/>
        </w:rPr>
        <w:t>נוסח משולב], והתקנות לפיו;</w:t>
      </w:r>
    </w:p>
    <w:p w14:paraId="40D9694C" w14:textId="77777777" w:rsidR="00726D7C" w:rsidRDefault="00726D7C" w:rsidP="00D071F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משפחות החיילים" </w:t>
      </w:r>
      <w:r w:rsidR="00D071F2">
        <w:rPr>
          <w:rStyle w:val="default"/>
          <w:rFonts w:cs="FrankRuehl" w:hint="cs"/>
          <w:rtl/>
        </w:rPr>
        <w:t>-</w:t>
      </w:r>
      <w:r>
        <w:rPr>
          <w:rStyle w:val="default"/>
          <w:rFonts w:cs="FrankRuehl"/>
          <w:rtl/>
        </w:rPr>
        <w:t xml:space="preserve"> </w:t>
      </w:r>
      <w:r>
        <w:rPr>
          <w:rStyle w:val="default"/>
          <w:rFonts w:cs="FrankRuehl" w:hint="cs"/>
          <w:rtl/>
        </w:rPr>
        <w:t>חוק משפחות חיילים שנספו במערכה (תגמולים ושיקום), תש"י</w:t>
      </w:r>
      <w:r w:rsidR="00D071F2">
        <w:rPr>
          <w:rStyle w:val="default"/>
          <w:rFonts w:cs="FrankRuehl" w:hint="cs"/>
          <w:rtl/>
        </w:rPr>
        <w:t>-</w:t>
      </w:r>
      <w:r>
        <w:rPr>
          <w:rStyle w:val="default"/>
          <w:rFonts w:cs="FrankRuehl"/>
          <w:rtl/>
        </w:rPr>
        <w:t xml:space="preserve">1950, </w:t>
      </w:r>
      <w:r>
        <w:rPr>
          <w:rStyle w:val="default"/>
          <w:rFonts w:cs="FrankRuehl" w:hint="cs"/>
          <w:rtl/>
        </w:rPr>
        <w:t>והתקנות לפיו;</w:t>
      </w:r>
    </w:p>
    <w:p w14:paraId="6FA96CA3" w14:textId="77777777" w:rsidR="00726D7C" w:rsidRDefault="00726D7C" w:rsidP="00D071F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הגמלאות" </w:t>
      </w:r>
      <w:r w:rsidR="00D071F2">
        <w:rPr>
          <w:rStyle w:val="default"/>
          <w:rFonts w:cs="FrankRuehl" w:hint="cs"/>
          <w:rtl/>
        </w:rPr>
        <w:t>-</w:t>
      </w:r>
      <w:r>
        <w:rPr>
          <w:rStyle w:val="default"/>
          <w:rFonts w:cs="FrankRuehl"/>
          <w:rtl/>
        </w:rPr>
        <w:t xml:space="preserve"> </w:t>
      </w:r>
      <w:r>
        <w:rPr>
          <w:rStyle w:val="default"/>
          <w:rFonts w:cs="FrankRuehl" w:hint="cs"/>
          <w:rtl/>
        </w:rPr>
        <w:t>חוק שירות המדינה (גמלאות) [נוסח משולב], תש"ל</w:t>
      </w:r>
      <w:r w:rsidR="00D071F2">
        <w:rPr>
          <w:rStyle w:val="default"/>
          <w:rFonts w:cs="FrankRuehl" w:hint="cs"/>
          <w:rtl/>
        </w:rPr>
        <w:t>-</w:t>
      </w:r>
      <w:r>
        <w:rPr>
          <w:rStyle w:val="default"/>
          <w:rFonts w:cs="FrankRuehl"/>
          <w:rtl/>
        </w:rPr>
        <w:t>1970;</w:t>
      </w:r>
    </w:p>
    <w:p w14:paraId="51B995DC" w14:textId="77777777" w:rsidR="00726D7C" w:rsidRDefault="00726D7C" w:rsidP="00D071F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במשטרה" </w:t>
      </w:r>
      <w:r w:rsidR="00D071F2">
        <w:rPr>
          <w:rStyle w:val="default"/>
          <w:rFonts w:cs="FrankRuehl" w:hint="cs"/>
          <w:rtl/>
        </w:rPr>
        <w:t>-</w:t>
      </w:r>
      <w:r>
        <w:rPr>
          <w:rStyle w:val="default"/>
          <w:rFonts w:cs="FrankRuehl"/>
          <w:rtl/>
        </w:rPr>
        <w:t xml:space="preserve"> </w:t>
      </w:r>
      <w:r>
        <w:rPr>
          <w:rStyle w:val="default"/>
          <w:rFonts w:cs="FrankRuehl" w:hint="cs"/>
          <w:rtl/>
        </w:rPr>
        <w:t>שירותו של שוטר במשטרת ישראל.</w:t>
      </w:r>
    </w:p>
    <w:p w14:paraId="57B70172" w14:textId="77777777" w:rsidR="00726D7C" w:rsidRDefault="00726D7C">
      <w:pPr>
        <w:pStyle w:val="P00"/>
        <w:spacing w:before="72"/>
        <w:ind w:left="0" w:right="1134"/>
        <w:rPr>
          <w:rStyle w:val="default"/>
          <w:rFonts w:cs="FrankRuehl" w:hint="cs"/>
          <w:rtl/>
        </w:rPr>
      </w:pPr>
      <w:bookmarkStart w:id="1" w:name="Seif1"/>
      <w:bookmarkEnd w:id="1"/>
      <w:r>
        <w:rPr>
          <w:lang w:val="he-IL"/>
        </w:rPr>
        <w:pict w14:anchorId="4E0C160B">
          <v:rect id="_x0000_s1027" style="position:absolute;left:0;text-align:left;margin-left:464.5pt;margin-top:8.05pt;width:75.05pt;height:11pt;z-index:251653120" o:allowincell="f" filled="f" stroked="f" strokecolor="lime" strokeweight=".25pt">
            <v:textbox style="mso-next-textbox:#_x0000_s1027" inset="0,0,0,0">
              <w:txbxContent>
                <w:p w14:paraId="10B0009E" w14:textId="77777777" w:rsidR="00726D7C" w:rsidRDefault="00726D7C">
                  <w:pPr>
                    <w:spacing w:line="160" w:lineRule="exact"/>
                    <w:jc w:val="left"/>
                    <w:rPr>
                      <w:rFonts w:cs="Miriam"/>
                      <w:noProof/>
                      <w:sz w:val="18"/>
                      <w:szCs w:val="18"/>
                      <w:rtl/>
                    </w:rPr>
                  </w:pPr>
                  <w:r>
                    <w:rPr>
                      <w:rFonts w:cs="Miriam"/>
                      <w:sz w:val="18"/>
                      <w:szCs w:val="18"/>
                      <w:rtl/>
                    </w:rPr>
                    <w:t>די</w:t>
                  </w:r>
                  <w:r>
                    <w:rPr>
                      <w:rFonts w:cs="Miriam" w:hint="cs"/>
                      <w:sz w:val="18"/>
                      <w:szCs w:val="18"/>
                      <w:rtl/>
                    </w:rPr>
                    <w:t>ן שוטר נכה</w:t>
                  </w:r>
                </w:p>
              </w:txbxContent>
            </v:textbox>
            <w10:anchorlock/>
          </v:rect>
        </w:pict>
      </w:r>
      <w:r>
        <w:rPr>
          <w:rStyle w:val="big-number"/>
          <w:rFonts w:cs="Miriam"/>
          <w:rtl/>
        </w:rPr>
        <w:t>2</w:t>
      </w:r>
      <w:r w:rsidRPr="00B448FE">
        <w:rPr>
          <w:rStyle w:val="default"/>
          <w:rFonts w:cs="FrankRuehl"/>
          <w:rtl/>
        </w:rPr>
        <w:t>.</w:t>
      </w:r>
      <w:r w:rsidRPr="00B448FE">
        <w:rPr>
          <w:rStyle w:val="default"/>
          <w:rFonts w:cs="FrankRuehl"/>
          <w:rtl/>
        </w:rPr>
        <w:tab/>
      </w:r>
      <w:r>
        <w:rPr>
          <w:rStyle w:val="default"/>
          <w:rFonts w:cs="FrankRuehl"/>
          <w:rtl/>
        </w:rPr>
        <w:t>חו</w:t>
      </w:r>
      <w:r>
        <w:rPr>
          <w:rStyle w:val="default"/>
          <w:rFonts w:cs="FrankRuehl" w:hint="cs"/>
          <w:rtl/>
        </w:rPr>
        <w:t xml:space="preserve">ק הנכים יחול על </w:t>
      </w:r>
      <w:r>
        <w:rPr>
          <w:rStyle w:val="default"/>
          <w:rFonts w:cs="FrankRuehl"/>
          <w:rtl/>
        </w:rPr>
        <w:t>ש</w:t>
      </w:r>
      <w:r>
        <w:rPr>
          <w:rStyle w:val="default"/>
          <w:rFonts w:cs="FrankRuehl" w:hint="cs"/>
          <w:rtl/>
        </w:rPr>
        <w:t xml:space="preserve">וטר, ובו, לענין זה </w:t>
      </w:r>
      <w:r w:rsidR="00D071F2">
        <w:rPr>
          <w:rStyle w:val="default"/>
          <w:rFonts w:cs="FrankRuehl"/>
          <w:rtl/>
        </w:rPr>
        <w:t>–</w:t>
      </w:r>
    </w:p>
    <w:p w14:paraId="22BF5B2A" w14:textId="77777777" w:rsidR="00B448FE" w:rsidRDefault="001D3A01" w:rsidP="00B448FE">
      <w:pPr>
        <w:pStyle w:val="P22"/>
        <w:tabs>
          <w:tab w:val="left" w:pos="624"/>
          <w:tab w:val="left" w:pos="1021"/>
        </w:tabs>
        <w:spacing w:before="72"/>
        <w:ind w:left="624" w:right="1134"/>
        <w:rPr>
          <w:rStyle w:val="default"/>
          <w:rFonts w:cs="FrankRuehl" w:hint="cs"/>
          <w:rtl/>
        </w:rPr>
      </w:pPr>
      <w:r>
        <w:rPr>
          <w:rFonts w:cs="FrankRuehl"/>
          <w:sz w:val="26"/>
          <w:rtl/>
          <w:lang w:eastAsia="en-US"/>
        </w:rPr>
        <w:pict w14:anchorId="40B678E4">
          <v:shapetype id="_x0000_t202" coordsize="21600,21600" o:spt="202" path="m,l,21600r21600,l21600,xe">
            <v:stroke joinstyle="miter"/>
            <v:path gradientshapeok="t" o:connecttype="rect"/>
          </v:shapetype>
          <v:shape id="_x0000_s1039" type="#_x0000_t202" style="position:absolute;left:0;text-align:left;margin-left:470.35pt;margin-top:7.1pt;width:1in;height:18.45pt;z-index:251662336" filled="f" stroked="f">
            <v:textbox inset="1mm,0,1mm,0">
              <w:txbxContent>
                <w:p w14:paraId="63BFA355" w14:textId="77777777" w:rsidR="001D3A01" w:rsidRDefault="001D3A01" w:rsidP="001D3A01">
                  <w:pPr>
                    <w:spacing w:line="160" w:lineRule="exact"/>
                    <w:jc w:val="left"/>
                    <w:rPr>
                      <w:rFonts w:cs="Miriam" w:hint="cs"/>
                      <w:noProof/>
                      <w:sz w:val="18"/>
                      <w:szCs w:val="18"/>
                      <w:rtl/>
                    </w:rPr>
                  </w:pPr>
                  <w:r>
                    <w:rPr>
                      <w:rFonts w:cs="Miriam" w:hint="cs"/>
                      <w:sz w:val="18"/>
                      <w:szCs w:val="18"/>
                      <w:rtl/>
                    </w:rPr>
                    <w:t>(תיקון מס' 1) תשע"ז-2016</w:t>
                  </w:r>
                </w:p>
              </w:txbxContent>
            </v:textbox>
            <w10:anchorlock/>
          </v:shape>
        </w:pict>
      </w:r>
      <w:r w:rsidR="00726D7C">
        <w:rPr>
          <w:rStyle w:val="default"/>
          <w:rFonts w:cs="FrankRuehl"/>
          <w:rtl/>
        </w:rPr>
        <w:t>(1)</w:t>
      </w:r>
      <w:r w:rsidR="00726D7C">
        <w:rPr>
          <w:rStyle w:val="default"/>
          <w:rFonts w:cs="FrankRuehl"/>
          <w:rtl/>
        </w:rPr>
        <w:tab/>
        <w:t>כ</w:t>
      </w:r>
      <w:r w:rsidR="00726D7C">
        <w:rPr>
          <w:rStyle w:val="default"/>
          <w:rFonts w:cs="FrankRuehl" w:hint="cs"/>
          <w:rtl/>
        </w:rPr>
        <w:t>ל מקום שמדובר בו בחייל</w:t>
      </w:r>
      <w:r w:rsidR="009F4384">
        <w:rPr>
          <w:rStyle w:val="default"/>
          <w:rFonts w:cs="FrankRuehl" w:hint="cs"/>
          <w:rtl/>
        </w:rPr>
        <w:t xml:space="preserve"> </w:t>
      </w:r>
      <w:r w:rsidR="009F4384" w:rsidRPr="009F4384">
        <w:rPr>
          <w:rStyle w:val="default"/>
          <w:rFonts w:cs="FrankRuehl" w:hint="cs"/>
          <w:rtl/>
        </w:rPr>
        <w:t>שהוא חייל בשירות קבע</w:t>
      </w:r>
      <w:r w:rsidR="00726D7C">
        <w:rPr>
          <w:rStyle w:val="default"/>
          <w:rFonts w:cs="FrankRuehl" w:hint="cs"/>
          <w:rtl/>
        </w:rPr>
        <w:t xml:space="preserve"> ייקרא כאילו מדובר בשוטר</w:t>
      </w:r>
      <w:r w:rsidR="009F4384">
        <w:rPr>
          <w:rStyle w:val="default"/>
          <w:rFonts w:cs="FrankRuehl" w:hint="cs"/>
          <w:rtl/>
        </w:rPr>
        <w:t xml:space="preserve"> </w:t>
      </w:r>
      <w:r w:rsidR="009F4384" w:rsidRPr="009F4384">
        <w:rPr>
          <w:rStyle w:val="default"/>
          <w:rFonts w:cs="FrankRuehl" w:hint="cs"/>
          <w:rtl/>
        </w:rPr>
        <w:t>שכללי הגיוס והפיטורים הקבועים בפקודת המשטרה [נוסח חדש], התשל"א-1971, חלים עליו</w:t>
      </w:r>
      <w:r w:rsidR="00726D7C">
        <w:rPr>
          <w:rStyle w:val="default"/>
          <w:rFonts w:cs="FrankRuehl" w:hint="cs"/>
          <w:rtl/>
        </w:rPr>
        <w:t>;</w:t>
      </w:r>
    </w:p>
    <w:p w14:paraId="2219318D" w14:textId="77777777" w:rsidR="00726D7C" w:rsidRDefault="00726D7C" w:rsidP="00B448FE">
      <w:pPr>
        <w:pStyle w:val="P22"/>
        <w:tabs>
          <w:tab w:val="left" w:pos="624"/>
          <w:tab w:val="left" w:pos="1021"/>
        </w:tabs>
        <w:spacing w:before="72"/>
        <w:ind w:left="624" w:right="1134"/>
        <w:rPr>
          <w:rStyle w:val="default"/>
          <w:rFonts w:cs="FrankRuehl"/>
          <w:rtl/>
        </w:rPr>
      </w:pPr>
      <w:r>
        <w:rPr>
          <w:rStyle w:val="default"/>
          <w:rFonts w:cs="FrankRuehl" w:hint="cs"/>
          <w:rtl/>
        </w:rPr>
        <w:t>(2) כל מקום שמדובר בו בשירות או בשירות צבאי ייקרא כאילו מדובר בשירות במשטרה;</w:t>
      </w:r>
    </w:p>
    <w:p w14:paraId="3B8EB927" w14:textId="77777777" w:rsidR="00726D7C" w:rsidRDefault="001D3A01" w:rsidP="009F4384">
      <w:pPr>
        <w:pStyle w:val="P22"/>
        <w:tabs>
          <w:tab w:val="left" w:pos="624"/>
          <w:tab w:val="left" w:pos="1021"/>
        </w:tabs>
        <w:spacing w:before="72"/>
        <w:ind w:left="624" w:right="1134"/>
        <w:rPr>
          <w:rStyle w:val="default"/>
          <w:rFonts w:cs="FrankRuehl" w:hint="cs"/>
          <w:rtl/>
        </w:rPr>
      </w:pPr>
      <w:r>
        <w:rPr>
          <w:rFonts w:cs="FrankRuehl" w:hint="cs"/>
          <w:sz w:val="26"/>
          <w:rtl/>
          <w:lang w:eastAsia="en-US"/>
        </w:rPr>
        <w:pict w14:anchorId="334894F3">
          <v:shape id="_x0000_s1042" type="#_x0000_t202" style="position:absolute;left:0;text-align:left;margin-left:470.35pt;margin-top:7.1pt;width:1in;height:16.8pt;z-index:251663360" filled="f" stroked="f">
            <v:textbox inset="1mm,0,1mm,0">
              <w:txbxContent>
                <w:p w14:paraId="2B3AC9DC" w14:textId="77777777" w:rsidR="001D3A01" w:rsidRDefault="001D3A01" w:rsidP="001D3A01">
                  <w:pPr>
                    <w:spacing w:line="160" w:lineRule="exact"/>
                    <w:jc w:val="left"/>
                    <w:rPr>
                      <w:rFonts w:cs="Miriam" w:hint="cs"/>
                      <w:noProof/>
                      <w:sz w:val="18"/>
                      <w:szCs w:val="18"/>
                      <w:rtl/>
                    </w:rPr>
                  </w:pPr>
                  <w:r>
                    <w:rPr>
                      <w:rFonts w:cs="Miriam" w:hint="cs"/>
                      <w:sz w:val="18"/>
                      <w:szCs w:val="18"/>
                      <w:rtl/>
                    </w:rPr>
                    <w:t>(תיקון מס' 1) תשע"ז-2016</w:t>
                  </w:r>
                </w:p>
              </w:txbxContent>
            </v:textbox>
            <w10:anchorlock/>
          </v:shape>
        </w:pict>
      </w:r>
      <w:r w:rsidR="00726D7C">
        <w:rPr>
          <w:rStyle w:val="default"/>
          <w:rFonts w:cs="FrankRuehl" w:hint="cs"/>
          <w:rtl/>
        </w:rPr>
        <w:t>(3)</w:t>
      </w:r>
      <w:r w:rsidR="00726D7C">
        <w:rPr>
          <w:rStyle w:val="default"/>
          <w:rFonts w:cs="FrankRuehl"/>
          <w:rtl/>
        </w:rPr>
        <w:tab/>
      </w:r>
      <w:r w:rsidR="009F4384">
        <w:rPr>
          <w:rStyle w:val="default"/>
          <w:rFonts w:cs="FrankRuehl" w:hint="cs"/>
          <w:rtl/>
        </w:rPr>
        <w:t>(נמחקה)</w:t>
      </w:r>
      <w:r w:rsidR="00726D7C">
        <w:rPr>
          <w:rStyle w:val="default"/>
          <w:rFonts w:cs="FrankRuehl" w:hint="cs"/>
          <w:rtl/>
        </w:rPr>
        <w:t>.</w:t>
      </w:r>
    </w:p>
    <w:p w14:paraId="6D61D938" w14:textId="77777777" w:rsidR="00B448FE" w:rsidRPr="009F4384" w:rsidRDefault="00B448FE" w:rsidP="00B448FE">
      <w:pPr>
        <w:pStyle w:val="P00"/>
        <w:spacing w:before="0"/>
        <w:ind w:left="0" w:right="1134"/>
        <w:rPr>
          <w:rStyle w:val="default"/>
          <w:rFonts w:cs="FrankRuehl" w:hint="cs"/>
          <w:vanish/>
          <w:color w:val="FF0000"/>
          <w:sz w:val="20"/>
          <w:szCs w:val="20"/>
          <w:shd w:val="clear" w:color="auto" w:fill="FFFF99"/>
          <w:rtl/>
        </w:rPr>
      </w:pPr>
      <w:bookmarkStart w:id="2" w:name="Rov11"/>
      <w:r w:rsidRPr="009F4384">
        <w:rPr>
          <w:rStyle w:val="default"/>
          <w:rFonts w:cs="FrankRuehl" w:hint="cs"/>
          <w:vanish/>
          <w:color w:val="FF0000"/>
          <w:sz w:val="20"/>
          <w:szCs w:val="20"/>
          <w:shd w:val="clear" w:color="auto" w:fill="FFFF99"/>
          <w:rtl/>
        </w:rPr>
        <w:t>מיום 27.4.2017</w:t>
      </w:r>
    </w:p>
    <w:p w14:paraId="5DD72131" w14:textId="77777777" w:rsidR="00B448FE" w:rsidRPr="009F4384" w:rsidRDefault="00B448FE" w:rsidP="00B448FE">
      <w:pPr>
        <w:pStyle w:val="P00"/>
        <w:spacing w:before="0"/>
        <w:ind w:left="0" w:right="1134"/>
        <w:rPr>
          <w:rStyle w:val="default"/>
          <w:rFonts w:cs="FrankRuehl" w:hint="cs"/>
          <w:vanish/>
          <w:sz w:val="20"/>
          <w:szCs w:val="20"/>
          <w:shd w:val="clear" w:color="auto" w:fill="FFFF99"/>
          <w:rtl/>
        </w:rPr>
      </w:pPr>
      <w:r w:rsidRPr="009F4384">
        <w:rPr>
          <w:rStyle w:val="default"/>
          <w:rFonts w:cs="FrankRuehl" w:hint="cs"/>
          <w:b/>
          <w:bCs/>
          <w:vanish/>
          <w:sz w:val="20"/>
          <w:szCs w:val="20"/>
          <w:shd w:val="clear" w:color="auto" w:fill="FFFF99"/>
          <w:rtl/>
        </w:rPr>
        <w:t>תיקון מס' 1</w:t>
      </w:r>
    </w:p>
    <w:p w14:paraId="21214BB7" w14:textId="77777777" w:rsidR="00B448FE" w:rsidRPr="009F4384" w:rsidRDefault="00B448FE" w:rsidP="00B448FE">
      <w:pPr>
        <w:pStyle w:val="P00"/>
        <w:spacing w:before="0"/>
        <w:ind w:left="0" w:right="1134"/>
        <w:rPr>
          <w:rStyle w:val="default"/>
          <w:rFonts w:cs="FrankRuehl" w:hint="cs"/>
          <w:vanish/>
          <w:sz w:val="20"/>
          <w:szCs w:val="20"/>
          <w:shd w:val="clear" w:color="auto" w:fill="FFFF99"/>
          <w:rtl/>
        </w:rPr>
      </w:pPr>
      <w:hyperlink r:id="rId7" w:history="1">
        <w:r w:rsidRPr="009F4384">
          <w:rPr>
            <w:rStyle w:val="Hyperlink"/>
            <w:rFonts w:cs="FrankRuehl" w:hint="cs"/>
            <w:vanish/>
            <w:szCs w:val="20"/>
            <w:shd w:val="clear" w:color="auto" w:fill="FFFF99"/>
            <w:rtl/>
          </w:rPr>
          <w:t>ס"ח תשע"ז מס' 2592</w:t>
        </w:r>
      </w:hyperlink>
      <w:r w:rsidRPr="009F4384">
        <w:rPr>
          <w:rStyle w:val="default"/>
          <w:rFonts w:cs="FrankRuehl" w:hint="cs"/>
          <w:vanish/>
          <w:sz w:val="20"/>
          <w:szCs w:val="20"/>
          <w:shd w:val="clear" w:color="auto" w:fill="FFFF99"/>
          <w:rtl/>
        </w:rPr>
        <w:t xml:space="preserve"> מיום 29.12.2016 עמ' 242 (</w:t>
      </w:r>
      <w:hyperlink r:id="rId8" w:history="1">
        <w:r w:rsidRPr="009F4384">
          <w:rPr>
            <w:rStyle w:val="Hyperlink"/>
            <w:rFonts w:cs="FrankRuehl" w:hint="cs"/>
            <w:vanish/>
            <w:szCs w:val="20"/>
            <w:shd w:val="clear" w:color="auto" w:fill="FFFF99"/>
            <w:rtl/>
          </w:rPr>
          <w:t>ה"ח 1083</w:t>
        </w:r>
      </w:hyperlink>
      <w:r w:rsidRPr="009F4384">
        <w:rPr>
          <w:rStyle w:val="default"/>
          <w:rFonts w:cs="FrankRuehl" w:hint="cs"/>
          <w:vanish/>
          <w:sz w:val="20"/>
          <w:szCs w:val="20"/>
          <w:shd w:val="clear" w:color="auto" w:fill="FFFF99"/>
          <w:rtl/>
        </w:rPr>
        <w:t>)</w:t>
      </w:r>
    </w:p>
    <w:p w14:paraId="15626913" w14:textId="77777777" w:rsidR="00B448FE" w:rsidRPr="009F4384" w:rsidRDefault="00B448FE" w:rsidP="00B448FE">
      <w:pPr>
        <w:pStyle w:val="P00"/>
        <w:ind w:left="0" w:right="1134"/>
        <w:rPr>
          <w:rStyle w:val="default"/>
          <w:rFonts w:cs="FrankRuehl" w:hint="cs"/>
          <w:vanish/>
          <w:sz w:val="22"/>
          <w:szCs w:val="22"/>
          <w:shd w:val="clear" w:color="auto" w:fill="FFFF99"/>
          <w:rtl/>
        </w:rPr>
      </w:pPr>
      <w:r w:rsidRPr="009F4384">
        <w:rPr>
          <w:rStyle w:val="default"/>
          <w:rFonts w:cs="FrankRuehl"/>
          <w:vanish/>
          <w:sz w:val="22"/>
          <w:szCs w:val="22"/>
          <w:shd w:val="clear" w:color="auto" w:fill="FFFF99"/>
          <w:rtl/>
        </w:rPr>
        <w:t>2.</w:t>
      </w:r>
      <w:r w:rsidRPr="009F4384">
        <w:rPr>
          <w:rStyle w:val="default"/>
          <w:rFonts w:cs="FrankRuehl"/>
          <w:vanish/>
          <w:sz w:val="22"/>
          <w:szCs w:val="22"/>
          <w:shd w:val="clear" w:color="auto" w:fill="FFFF99"/>
          <w:rtl/>
        </w:rPr>
        <w:tab/>
        <w:t>חו</w:t>
      </w:r>
      <w:r w:rsidRPr="009F4384">
        <w:rPr>
          <w:rStyle w:val="default"/>
          <w:rFonts w:cs="FrankRuehl" w:hint="cs"/>
          <w:vanish/>
          <w:sz w:val="22"/>
          <w:szCs w:val="22"/>
          <w:shd w:val="clear" w:color="auto" w:fill="FFFF99"/>
          <w:rtl/>
        </w:rPr>
        <w:t xml:space="preserve">ק הנכים יחול על </w:t>
      </w:r>
      <w:r w:rsidRPr="009F4384">
        <w:rPr>
          <w:rStyle w:val="default"/>
          <w:rFonts w:cs="FrankRuehl"/>
          <w:vanish/>
          <w:sz w:val="22"/>
          <w:szCs w:val="22"/>
          <w:shd w:val="clear" w:color="auto" w:fill="FFFF99"/>
          <w:rtl/>
        </w:rPr>
        <w:t>ש</w:t>
      </w:r>
      <w:r w:rsidRPr="009F4384">
        <w:rPr>
          <w:rStyle w:val="default"/>
          <w:rFonts w:cs="FrankRuehl" w:hint="cs"/>
          <w:vanish/>
          <w:sz w:val="22"/>
          <w:szCs w:val="22"/>
          <w:shd w:val="clear" w:color="auto" w:fill="FFFF99"/>
          <w:rtl/>
        </w:rPr>
        <w:t xml:space="preserve">וטר, ובו, לענין זה </w:t>
      </w:r>
      <w:r w:rsidRPr="009F4384">
        <w:rPr>
          <w:rStyle w:val="default"/>
          <w:rFonts w:cs="FrankRuehl"/>
          <w:vanish/>
          <w:sz w:val="22"/>
          <w:szCs w:val="22"/>
          <w:shd w:val="clear" w:color="auto" w:fill="FFFF99"/>
          <w:rtl/>
        </w:rPr>
        <w:t>–</w:t>
      </w:r>
    </w:p>
    <w:p w14:paraId="7B65BD37" w14:textId="77777777" w:rsidR="00B448FE" w:rsidRPr="009F4384" w:rsidRDefault="00B448FE" w:rsidP="001D3A01">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9F4384">
        <w:rPr>
          <w:rStyle w:val="default"/>
          <w:rFonts w:cs="FrankRuehl"/>
          <w:vanish/>
          <w:sz w:val="22"/>
          <w:szCs w:val="22"/>
          <w:shd w:val="clear" w:color="auto" w:fill="FFFF99"/>
          <w:rtl/>
        </w:rPr>
        <w:t>(1)</w:t>
      </w:r>
      <w:r w:rsidRPr="009F4384">
        <w:rPr>
          <w:rStyle w:val="default"/>
          <w:rFonts w:cs="FrankRuehl"/>
          <w:vanish/>
          <w:sz w:val="22"/>
          <w:szCs w:val="22"/>
          <w:shd w:val="clear" w:color="auto" w:fill="FFFF99"/>
          <w:rtl/>
        </w:rPr>
        <w:tab/>
        <w:t>כ</w:t>
      </w:r>
      <w:r w:rsidRPr="009F4384">
        <w:rPr>
          <w:rStyle w:val="default"/>
          <w:rFonts w:cs="FrankRuehl" w:hint="cs"/>
          <w:vanish/>
          <w:sz w:val="22"/>
          <w:szCs w:val="22"/>
          <w:shd w:val="clear" w:color="auto" w:fill="FFFF99"/>
          <w:rtl/>
        </w:rPr>
        <w:t>ל מקום שמדובר בו בחייל</w:t>
      </w:r>
      <w:r w:rsidR="001D3A01" w:rsidRPr="009F4384">
        <w:rPr>
          <w:rStyle w:val="default"/>
          <w:rFonts w:cs="FrankRuehl" w:hint="cs"/>
          <w:vanish/>
          <w:sz w:val="22"/>
          <w:szCs w:val="22"/>
          <w:shd w:val="clear" w:color="auto" w:fill="FFFF99"/>
          <w:rtl/>
        </w:rPr>
        <w:t xml:space="preserve"> </w:t>
      </w:r>
      <w:r w:rsidR="001D3A01" w:rsidRPr="009F4384">
        <w:rPr>
          <w:rStyle w:val="default"/>
          <w:rFonts w:cs="FrankRuehl" w:hint="cs"/>
          <w:vanish/>
          <w:sz w:val="22"/>
          <w:szCs w:val="22"/>
          <w:u w:val="single"/>
          <w:shd w:val="clear" w:color="auto" w:fill="FFFF99"/>
          <w:rtl/>
        </w:rPr>
        <w:t>שהוא חייל בשירות קבע</w:t>
      </w:r>
      <w:r w:rsidRPr="009F4384">
        <w:rPr>
          <w:rStyle w:val="default"/>
          <w:rFonts w:cs="FrankRuehl" w:hint="cs"/>
          <w:vanish/>
          <w:sz w:val="22"/>
          <w:szCs w:val="22"/>
          <w:shd w:val="clear" w:color="auto" w:fill="FFFF99"/>
          <w:rtl/>
        </w:rPr>
        <w:t xml:space="preserve"> ייקרא כאילו מדובר בשוטר</w:t>
      </w:r>
      <w:r w:rsidR="001D3A01" w:rsidRPr="009F4384">
        <w:rPr>
          <w:rStyle w:val="default"/>
          <w:rFonts w:cs="FrankRuehl" w:hint="cs"/>
          <w:vanish/>
          <w:sz w:val="22"/>
          <w:szCs w:val="22"/>
          <w:shd w:val="clear" w:color="auto" w:fill="FFFF99"/>
          <w:rtl/>
        </w:rPr>
        <w:t xml:space="preserve"> </w:t>
      </w:r>
      <w:r w:rsidR="001D3A01" w:rsidRPr="009F4384">
        <w:rPr>
          <w:rStyle w:val="default"/>
          <w:rFonts w:cs="FrankRuehl" w:hint="cs"/>
          <w:vanish/>
          <w:sz w:val="22"/>
          <w:szCs w:val="22"/>
          <w:u w:val="single"/>
          <w:shd w:val="clear" w:color="auto" w:fill="FFFF99"/>
          <w:rtl/>
        </w:rPr>
        <w:t>שכללי הגיוס והפיטורים הקבועים בפקודת המשטרה [נוסח חדש], התשל"א-1971, חלים עליו</w:t>
      </w:r>
      <w:r w:rsidRPr="009F4384">
        <w:rPr>
          <w:rStyle w:val="default"/>
          <w:rFonts w:cs="FrankRuehl" w:hint="cs"/>
          <w:vanish/>
          <w:sz w:val="22"/>
          <w:szCs w:val="22"/>
          <w:shd w:val="clear" w:color="auto" w:fill="FFFF99"/>
          <w:rtl/>
        </w:rPr>
        <w:t>;</w:t>
      </w:r>
    </w:p>
    <w:p w14:paraId="0918D37B" w14:textId="77777777" w:rsidR="00B448FE" w:rsidRPr="009F4384" w:rsidRDefault="00B448FE" w:rsidP="00B448FE">
      <w:pPr>
        <w:pStyle w:val="P22"/>
        <w:tabs>
          <w:tab w:val="left" w:pos="624"/>
          <w:tab w:val="left" w:pos="1021"/>
        </w:tabs>
        <w:spacing w:before="0"/>
        <w:ind w:left="624" w:right="1134"/>
        <w:rPr>
          <w:rStyle w:val="default"/>
          <w:rFonts w:cs="FrankRuehl"/>
          <w:vanish/>
          <w:sz w:val="22"/>
          <w:szCs w:val="22"/>
          <w:shd w:val="clear" w:color="auto" w:fill="FFFF99"/>
          <w:rtl/>
        </w:rPr>
      </w:pPr>
      <w:r w:rsidRPr="009F4384">
        <w:rPr>
          <w:rStyle w:val="default"/>
          <w:rFonts w:cs="FrankRuehl" w:hint="cs"/>
          <w:vanish/>
          <w:sz w:val="22"/>
          <w:szCs w:val="22"/>
          <w:shd w:val="clear" w:color="auto" w:fill="FFFF99"/>
          <w:rtl/>
        </w:rPr>
        <w:t>(2) כל מקום שמדובר בו בשירות או בשירות צבאי ייקרא כאילו מדובר בשירות במשטרה;</w:t>
      </w:r>
    </w:p>
    <w:p w14:paraId="1875C9C3" w14:textId="77777777" w:rsidR="00B448FE" w:rsidRPr="001D3A01" w:rsidRDefault="00B448FE" w:rsidP="001D3A01">
      <w:pPr>
        <w:pStyle w:val="P22"/>
        <w:tabs>
          <w:tab w:val="left" w:pos="624"/>
          <w:tab w:val="left" w:pos="1021"/>
        </w:tabs>
        <w:spacing w:before="0"/>
        <w:ind w:left="624" w:right="1134"/>
        <w:rPr>
          <w:rStyle w:val="default"/>
          <w:rFonts w:cs="FrankRuehl" w:hint="cs"/>
          <w:strike/>
          <w:sz w:val="2"/>
          <w:szCs w:val="2"/>
          <w:rtl/>
        </w:rPr>
      </w:pPr>
      <w:r w:rsidRPr="009F4384">
        <w:rPr>
          <w:rStyle w:val="default"/>
          <w:rFonts w:cs="FrankRuehl" w:hint="cs"/>
          <w:strike/>
          <w:vanish/>
          <w:sz w:val="22"/>
          <w:szCs w:val="22"/>
          <w:shd w:val="clear" w:color="auto" w:fill="FFFF99"/>
          <w:rtl/>
        </w:rPr>
        <w:t>(3)</w:t>
      </w:r>
      <w:r w:rsidRPr="009F4384">
        <w:rPr>
          <w:rStyle w:val="default"/>
          <w:rFonts w:cs="FrankRuehl"/>
          <w:strike/>
          <w:vanish/>
          <w:sz w:val="22"/>
          <w:szCs w:val="22"/>
          <w:shd w:val="clear" w:color="auto" w:fill="FFFF99"/>
          <w:rtl/>
        </w:rPr>
        <w:tab/>
        <w:t>כ</w:t>
      </w:r>
      <w:r w:rsidRPr="009F4384">
        <w:rPr>
          <w:rStyle w:val="default"/>
          <w:rFonts w:cs="FrankRuehl" w:hint="cs"/>
          <w:strike/>
          <w:vanish/>
          <w:sz w:val="22"/>
          <w:szCs w:val="22"/>
          <w:shd w:val="clear" w:color="auto" w:fill="FFFF99"/>
          <w:rtl/>
        </w:rPr>
        <w:t>ל מקום שמדובר בו בשירות צבאי על פי התחייבות לשירות קבע ייקרא כאילו מדובר בשירות במשטרה של שוטר שכלל</w:t>
      </w:r>
      <w:r w:rsidRPr="009F4384">
        <w:rPr>
          <w:rStyle w:val="default"/>
          <w:rFonts w:cs="FrankRuehl"/>
          <w:strike/>
          <w:vanish/>
          <w:sz w:val="22"/>
          <w:szCs w:val="22"/>
          <w:shd w:val="clear" w:color="auto" w:fill="FFFF99"/>
          <w:rtl/>
        </w:rPr>
        <w:t>י</w:t>
      </w:r>
      <w:r w:rsidRPr="009F4384">
        <w:rPr>
          <w:rStyle w:val="default"/>
          <w:rFonts w:cs="FrankRuehl" w:hint="cs"/>
          <w:strike/>
          <w:vanish/>
          <w:sz w:val="22"/>
          <w:szCs w:val="22"/>
          <w:shd w:val="clear" w:color="auto" w:fill="FFFF99"/>
          <w:rtl/>
        </w:rPr>
        <w:t xml:space="preserve"> הגיוס והפיטורים הקב</w:t>
      </w:r>
      <w:r w:rsidRPr="009F4384">
        <w:rPr>
          <w:rStyle w:val="default"/>
          <w:rFonts w:cs="FrankRuehl"/>
          <w:strike/>
          <w:vanish/>
          <w:sz w:val="22"/>
          <w:szCs w:val="22"/>
          <w:shd w:val="clear" w:color="auto" w:fill="FFFF99"/>
          <w:rtl/>
        </w:rPr>
        <w:t>וע</w:t>
      </w:r>
      <w:r w:rsidRPr="009F4384">
        <w:rPr>
          <w:rStyle w:val="default"/>
          <w:rFonts w:cs="FrankRuehl" w:hint="cs"/>
          <w:strike/>
          <w:vanish/>
          <w:sz w:val="22"/>
          <w:szCs w:val="22"/>
          <w:shd w:val="clear" w:color="auto" w:fill="FFFF99"/>
          <w:rtl/>
        </w:rPr>
        <w:t>ים בפקודת המשטרה [נוסח חדש], תשל"א-</w:t>
      </w:r>
      <w:r w:rsidRPr="009F4384">
        <w:rPr>
          <w:rStyle w:val="default"/>
          <w:rFonts w:cs="FrankRuehl"/>
          <w:strike/>
          <w:vanish/>
          <w:sz w:val="22"/>
          <w:szCs w:val="22"/>
          <w:shd w:val="clear" w:color="auto" w:fill="FFFF99"/>
          <w:rtl/>
        </w:rPr>
        <w:t xml:space="preserve">1971, </w:t>
      </w:r>
      <w:r w:rsidRPr="009F4384">
        <w:rPr>
          <w:rStyle w:val="default"/>
          <w:rFonts w:cs="FrankRuehl" w:hint="cs"/>
          <w:strike/>
          <w:vanish/>
          <w:sz w:val="22"/>
          <w:szCs w:val="22"/>
          <w:shd w:val="clear" w:color="auto" w:fill="FFFF99"/>
          <w:rtl/>
        </w:rPr>
        <w:t>חלים עליו.</w:t>
      </w:r>
      <w:bookmarkEnd w:id="2"/>
    </w:p>
    <w:p w14:paraId="79C9FA87" w14:textId="77777777" w:rsidR="00726D7C" w:rsidRDefault="00726D7C" w:rsidP="009F4384">
      <w:pPr>
        <w:pStyle w:val="P00"/>
        <w:spacing w:before="72"/>
        <w:ind w:left="0" w:right="1134"/>
        <w:rPr>
          <w:rStyle w:val="default"/>
          <w:rFonts w:cs="FrankRuehl" w:hint="cs"/>
          <w:rtl/>
        </w:rPr>
      </w:pPr>
      <w:bookmarkStart w:id="3" w:name="Seif2"/>
      <w:bookmarkEnd w:id="3"/>
      <w:r>
        <w:rPr>
          <w:lang w:val="he-IL"/>
        </w:rPr>
        <w:pict w14:anchorId="02870B1E">
          <v:rect id="_x0000_s1028" style="position:absolute;left:0;text-align:left;margin-left:464.5pt;margin-top:8.05pt;width:75.05pt;height:35.9pt;z-index:251654144" o:allowincell="f" filled="f" stroked="f" strokecolor="lime" strokeweight=".25pt">
            <v:textbox style="mso-next-textbox:#_x0000_s1028" inset="0,0,0,0">
              <w:txbxContent>
                <w:p w14:paraId="69EECADC" w14:textId="77777777" w:rsidR="00726D7C" w:rsidRDefault="00726D7C" w:rsidP="00D071F2">
                  <w:pPr>
                    <w:spacing w:line="160" w:lineRule="exact"/>
                    <w:jc w:val="left"/>
                    <w:rPr>
                      <w:rFonts w:cs="Miriam" w:hint="cs"/>
                      <w:noProof/>
                      <w:sz w:val="18"/>
                      <w:szCs w:val="18"/>
                      <w:rtl/>
                    </w:rPr>
                  </w:pPr>
                  <w:r>
                    <w:rPr>
                      <w:rFonts w:cs="Miriam"/>
                      <w:sz w:val="18"/>
                      <w:szCs w:val="18"/>
                      <w:rtl/>
                    </w:rPr>
                    <w:t>די</w:t>
                  </w:r>
                  <w:r>
                    <w:rPr>
                      <w:rFonts w:cs="Miriam" w:hint="cs"/>
                      <w:sz w:val="18"/>
                      <w:szCs w:val="18"/>
                      <w:rtl/>
                    </w:rPr>
                    <w:t>ן משפחת</w:t>
                  </w:r>
                  <w:r w:rsidR="00D071F2">
                    <w:rPr>
                      <w:rFonts w:cs="Miriam" w:hint="cs"/>
                      <w:sz w:val="18"/>
                      <w:szCs w:val="18"/>
                      <w:rtl/>
                    </w:rPr>
                    <w:t xml:space="preserve"> </w:t>
                  </w:r>
                  <w:r>
                    <w:rPr>
                      <w:rFonts w:cs="Miriam"/>
                      <w:sz w:val="18"/>
                      <w:szCs w:val="18"/>
                      <w:rtl/>
                    </w:rPr>
                    <w:t>שו</w:t>
                  </w:r>
                  <w:r>
                    <w:rPr>
                      <w:rFonts w:cs="Miriam" w:hint="cs"/>
                      <w:sz w:val="18"/>
                      <w:szCs w:val="18"/>
                      <w:rtl/>
                    </w:rPr>
                    <w:t>טר שנספה</w:t>
                  </w:r>
                </w:p>
                <w:p w14:paraId="08E9564E" w14:textId="77777777" w:rsidR="001D3A01" w:rsidRDefault="001D3A01" w:rsidP="001D3A0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תשע"ז-2016</w:t>
                  </w:r>
                </w:p>
              </w:txbxContent>
            </v:textbox>
            <w10:anchorlock/>
          </v:rect>
        </w:pict>
      </w:r>
      <w:r>
        <w:rPr>
          <w:rStyle w:val="big-number"/>
          <w:rFonts w:cs="Miriam"/>
          <w:rtl/>
        </w:rPr>
        <w:t>3</w:t>
      </w:r>
      <w:r w:rsidRPr="001D3A01">
        <w:rPr>
          <w:rStyle w:val="default"/>
          <w:rFonts w:cs="FrankRuehl"/>
          <w:rtl/>
        </w:rPr>
        <w:t>.</w:t>
      </w:r>
      <w:r w:rsidRPr="001D3A01">
        <w:rPr>
          <w:rStyle w:val="default"/>
          <w:rFonts w:cs="FrankRuehl"/>
          <w:rtl/>
        </w:rPr>
        <w:tab/>
      </w:r>
      <w:r>
        <w:rPr>
          <w:rStyle w:val="default"/>
          <w:rFonts w:cs="FrankRuehl"/>
          <w:rtl/>
        </w:rPr>
        <w:t>חו</w:t>
      </w:r>
      <w:r>
        <w:rPr>
          <w:rStyle w:val="default"/>
          <w:rFonts w:cs="FrankRuehl" w:hint="cs"/>
          <w:rtl/>
        </w:rPr>
        <w:t xml:space="preserve">ק משפחות החיילים יחול על שוטר שנפטר ועל בני משפחתו של שוטר שנפטר, </w:t>
      </w:r>
      <w:r w:rsidR="009F4384" w:rsidRPr="009F4384">
        <w:rPr>
          <w:rStyle w:val="default"/>
          <w:rFonts w:cs="FrankRuehl" w:hint="cs"/>
          <w:rtl/>
        </w:rPr>
        <w:t xml:space="preserve">ובו, לעניין זה </w:t>
      </w:r>
      <w:r w:rsidR="009F4384" w:rsidRPr="009F4384">
        <w:rPr>
          <w:rStyle w:val="default"/>
          <w:rFonts w:cs="FrankRuehl"/>
          <w:rtl/>
        </w:rPr>
        <w:t>–</w:t>
      </w:r>
    </w:p>
    <w:p w14:paraId="549D1231" w14:textId="77777777" w:rsidR="009F4384" w:rsidRPr="009F4384" w:rsidRDefault="009F4384" w:rsidP="009F4384">
      <w:pPr>
        <w:pStyle w:val="P22"/>
        <w:tabs>
          <w:tab w:val="left" w:pos="624"/>
          <w:tab w:val="left" w:pos="1021"/>
        </w:tabs>
        <w:spacing w:before="72"/>
        <w:ind w:left="624" w:right="1134"/>
        <w:rPr>
          <w:rStyle w:val="default"/>
          <w:rFonts w:cs="FrankRuehl" w:hint="cs"/>
          <w:rtl/>
        </w:rPr>
      </w:pPr>
      <w:r w:rsidRPr="009F4384">
        <w:rPr>
          <w:rStyle w:val="default"/>
          <w:rFonts w:cs="FrankRuehl" w:hint="cs"/>
          <w:rtl/>
        </w:rPr>
        <w:t>(1)</w:t>
      </w:r>
      <w:r w:rsidRPr="009F4384">
        <w:rPr>
          <w:rStyle w:val="default"/>
          <w:rFonts w:cs="FrankRuehl" w:hint="cs"/>
          <w:rtl/>
        </w:rPr>
        <w:tab/>
        <w:t>כל מקום שמדובר בו בחייל שהוא חייל בשירות קבע ייקרא כאילו מדובר בשוטר שכללי הגיוס והפיטורים הקבועים בפקודת המשטרה [נוסח חדש], התשל"א-1971, חלים עליו;</w:t>
      </w:r>
    </w:p>
    <w:p w14:paraId="28CFB31A" w14:textId="77777777" w:rsidR="009F4384" w:rsidRPr="009F4384" w:rsidRDefault="009F4384" w:rsidP="009F4384">
      <w:pPr>
        <w:pStyle w:val="P22"/>
        <w:tabs>
          <w:tab w:val="left" w:pos="624"/>
          <w:tab w:val="left" w:pos="1021"/>
        </w:tabs>
        <w:spacing w:before="72"/>
        <w:ind w:left="624" w:right="1134"/>
        <w:rPr>
          <w:rStyle w:val="default"/>
          <w:rFonts w:cs="FrankRuehl" w:hint="cs"/>
          <w:rtl/>
        </w:rPr>
      </w:pPr>
      <w:r w:rsidRPr="009F4384">
        <w:rPr>
          <w:rStyle w:val="default"/>
          <w:rFonts w:cs="FrankRuehl" w:hint="cs"/>
          <w:rtl/>
        </w:rPr>
        <w:t>(2)</w:t>
      </w:r>
      <w:r w:rsidRPr="009F4384">
        <w:rPr>
          <w:rStyle w:val="default"/>
          <w:rFonts w:cs="FrankRuehl" w:hint="cs"/>
          <w:rtl/>
        </w:rPr>
        <w:tab/>
        <w:t>כל מקום שמדובר בו בשירות או בשירות צבאי ייקרא כאילו מדובר בשירות במשטרה.</w:t>
      </w:r>
    </w:p>
    <w:p w14:paraId="4316A2FE" w14:textId="77777777" w:rsidR="001D3A01" w:rsidRPr="009F4384" w:rsidRDefault="001D3A01" w:rsidP="001D3A01">
      <w:pPr>
        <w:pStyle w:val="P00"/>
        <w:spacing w:before="0"/>
        <w:ind w:left="0" w:right="1134"/>
        <w:rPr>
          <w:rStyle w:val="default"/>
          <w:rFonts w:cs="FrankRuehl" w:hint="cs"/>
          <w:vanish/>
          <w:color w:val="FF0000"/>
          <w:sz w:val="20"/>
          <w:szCs w:val="20"/>
          <w:shd w:val="clear" w:color="auto" w:fill="FFFF99"/>
          <w:rtl/>
        </w:rPr>
      </w:pPr>
      <w:bookmarkStart w:id="4" w:name="Rov12"/>
      <w:r w:rsidRPr="009F4384">
        <w:rPr>
          <w:rStyle w:val="default"/>
          <w:rFonts w:cs="FrankRuehl" w:hint="cs"/>
          <w:vanish/>
          <w:color w:val="FF0000"/>
          <w:sz w:val="20"/>
          <w:szCs w:val="20"/>
          <w:shd w:val="clear" w:color="auto" w:fill="FFFF99"/>
          <w:rtl/>
        </w:rPr>
        <w:t>מיום 27.4.2017</w:t>
      </w:r>
    </w:p>
    <w:p w14:paraId="5677CD1A" w14:textId="77777777" w:rsidR="001D3A01" w:rsidRPr="009F4384" w:rsidRDefault="001D3A01" w:rsidP="001D3A01">
      <w:pPr>
        <w:pStyle w:val="P00"/>
        <w:spacing w:before="0"/>
        <w:ind w:left="0" w:right="1134"/>
        <w:rPr>
          <w:rStyle w:val="default"/>
          <w:rFonts w:cs="FrankRuehl" w:hint="cs"/>
          <w:vanish/>
          <w:sz w:val="20"/>
          <w:szCs w:val="20"/>
          <w:shd w:val="clear" w:color="auto" w:fill="FFFF99"/>
          <w:rtl/>
        </w:rPr>
      </w:pPr>
      <w:r w:rsidRPr="009F4384">
        <w:rPr>
          <w:rStyle w:val="default"/>
          <w:rFonts w:cs="FrankRuehl" w:hint="cs"/>
          <w:b/>
          <w:bCs/>
          <w:vanish/>
          <w:sz w:val="20"/>
          <w:szCs w:val="20"/>
          <w:shd w:val="clear" w:color="auto" w:fill="FFFF99"/>
          <w:rtl/>
        </w:rPr>
        <w:t>תיקון מס' 1</w:t>
      </w:r>
    </w:p>
    <w:p w14:paraId="4D044EB0" w14:textId="77777777" w:rsidR="001D3A01" w:rsidRPr="009F4384" w:rsidRDefault="001D3A01" w:rsidP="001D3A01">
      <w:pPr>
        <w:pStyle w:val="P00"/>
        <w:spacing w:before="0"/>
        <w:ind w:left="0" w:right="1134"/>
        <w:rPr>
          <w:rStyle w:val="default"/>
          <w:rFonts w:cs="FrankRuehl" w:hint="cs"/>
          <w:vanish/>
          <w:sz w:val="20"/>
          <w:szCs w:val="20"/>
          <w:shd w:val="clear" w:color="auto" w:fill="FFFF99"/>
          <w:rtl/>
        </w:rPr>
      </w:pPr>
      <w:hyperlink r:id="rId9" w:history="1">
        <w:r w:rsidRPr="009F4384">
          <w:rPr>
            <w:rStyle w:val="Hyperlink"/>
            <w:rFonts w:cs="FrankRuehl" w:hint="cs"/>
            <w:vanish/>
            <w:szCs w:val="20"/>
            <w:shd w:val="clear" w:color="auto" w:fill="FFFF99"/>
            <w:rtl/>
          </w:rPr>
          <w:t>ס"ח תשע"ז מס' 2592</w:t>
        </w:r>
      </w:hyperlink>
      <w:r w:rsidRPr="009F4384">
        <w:rPr>
          <w:rStyle w:val="default"/>
          <w:rFonts w:cs="FrankRuehl" w:hint="cs"/>
          <w:vanish/>
          <w:sz w:val="20"/>
          <w:szCs w:val="20"/>
          <w:shd w:val="clear" w:color="auto" w:fill="FFFF99"/>
          <w:rtl/>
        </w:rPr>
        <w:t xml:space="preserve"> מיום 29.12.2016 עמ' 242 (</w:t>
      </w:r>
      <w:hyperlink r:id="rId10" w:history="1">
        <w:r w:rsidRPr="009F4384">
          <w:rPr>
            <w:rStyle w:val="Hyperlink"/>
            <w:rFonts w:cs="FrankRuehl" w:hint="cs"/>
            <w:vanish/>
            <w:szCs w:val="20"/>
            <w:shd w:val="clear" w:color="auto" w:fill="FFFF99"/>
            <w:rtl/>
          </w:rPr>
          <w:t>ה"ח 1083</w:t>
        </w:r>
      </w:hyperlink>
      <w:r w:rsidRPr="009F4384">
        <w:rPr>
          <w:rStyle w:val="default"/>
          <w:rFonts w:cs="FrankRuehl" w:hint="cs"/>
          <w:vanish/>
          <w:sz w:val="20"/>
          <w:szCs w:val="20"/>
          <w:shd w:val="clear" w:color="auto" w:fill="FFFF99"/>
          <w:rtl/>
        </w:rPr>
        <w:t>)</w:t>
      </w:r>
    </w:p>
    <w:p w14:paraId="394B9386" w14:textId="77777777" w:rsidR="001D3A01" w:rsidRPr="009F4384" w:rsidRDefault="001D3A01" w:rsidP="001D3A01">
      <w:pPr>
        <w:pStyle w:val="P00"/>
        <w:ind w:left="0" w:right="1134"/>
        <w:rPr>
          <w:rStyle w:val="default"/>
          <w:rFonts w:cs="FrankRuehl" w:hint="cs"/>
          <w:vanish/>
          <w:sz w:val="22"/>
          <w:szCs w:val="22"/>
          <w:u w:val="single"/>
          <w:shd w:val="clear" w:color="auto" w:fill="FFFF99"/>
          <w:rtl/>
        </w:rPr>
      </w:pPr>
      <w:r w:rsidRPr="009F4384">
        <w:rPr>
          <w:rStyle w:val="default"/>
          <w:rFonts w:cs="FrankRuehl"/>
          <w:vanish/>
          <w:sz w:val="22"/>
          <w:szCs w:val="22"/>
          <w:shd w:val="clear" w:color="auto" w:fill="FFFF99"/>
          <w:rtl/>
        </w:rPr>
        <w:t>3.</w:t>
      </w:r>
      <w:r w:rsidRPr="009F4384">
        <w:rPr>
          <w:rStyle w:val="default"/>
          <w:rFonts w:cs="FrankRuehl"/>
          <w:vanish/>
          <w:sz w:val="22"/>
          <w:szCs w:val="22"/>
          <w:shd w:val="clear" w:color="auto" w:fill="FFFF99"/>
          <w:rtl/>
        </w:rPr>
        <w:tab/>
        <w:t>חו</w:t>
      </w:r>
      <w:r w:rsidRPr="009F4384">
        <w:rPr>
          <w:rStyle w:val="default"/>
          <w:rFonts w:cs="FrankRuehl" w:hint="cs"/>
          <w:vanish/>
          <w:sz w:val="22"/>
          <w:szCs w:val="22"/>
          <w:shd w:val="clear" w:color="auto" w:fill="FFFF99"/>
          <w:rtl/>
        </w:rPr>
        <w:t xml:space="preserve">ק משפחות החיילים יחול על שוטר שנפטר ועל בני משפחתו של שוטר שנפטר, </w:t>
      </w:r>
      <w:r w:rsidRPr="009F4384">
        <w:rPr>
          <w:rStyle w:val="default"/>
          <w:rFonts w:cs="FrankRuehl" w:hint="cs"/>
          <w:strike/>
          <w:vanish/>
          <w:sz w:val="22"/>
          <w:szCs w:val="22"/>
          <w:shd w:val="clear" w:color="auto" w:fill="FFFF99"/>
          <w:rtl/>
        </w:rPr>
        <w:t xml:space="preserve">ולענין זה </w:t>
      </w:r>
      <w:r w:rsidRPr="009F4384">
        <w:rPr>
          <w:rStyle w:val="default"/>
          <w:rFonts w:cs="FrankRuehl"/>
          <w:strike/>
          <w:vanish/>
          <w:sz w:val="22"/>
          <w:szCs w:val="22"/>
          <w:shd w:val="clear" w:color="auto" w:fill="FFFF99"/>
          <w:rtl/>
        </w:rPr>
        <w:t xml:space="preserve">– </w:t>
      </w:r>
      <w:r w:rsidRPr="009F4384">
        <w:rPr>
          <w:rStyle w:val="default"/>
          <w:rFonts w:cs="FrankRuehl" w:hint="cs"/>
          <w:strike/>
          <w:vanish/>
          <w:sz w:val="22"/>
          <w:szCs w:val="22"/>
          <w:shd w:val="clear" w:color="auto" w:fill="FFFF99"/>
          <w:rtl/>
        </w:rPr>
        <w:t>כל מקום בחוק משפחות החיילים שמדובר בו בחייל, בשירות או בשירות צבאי ייקרא כאילו מדובר בשוטר או בשירות במשטרה, הכל לפי ה</w:t>
      </w:r>
      <w:r w:rsidRPr="009F4384">
        <w:rPr>
          <w:rStyle w:val="default"/>
          <w:rFonts w:cs="FrankRuehl"/>
          <w:strike/>
          <w:vanish/>
          <w:sz w:val="22"/>
          <w:szCs w:val="22"/>
          <w:shd w:val="clear" w:color="auto" w:fill="FFFF99"/>
          <w:rtl/>
        </w:rPr>
        <w:t>ענ</w:t>
      </w:r>
      <w:r w:rsidRPr="009F4384">
        <w:rPr>
          <w:rStyle w:val="default"/>
          <w:rFonts w:cs="FrankRuehl" w:hint="cs"/>
          <w:strike/>
          <w:vanish/>
          <w:sz w:val="22"/>
          <w:szCs w:val="22"/>
          <w:shd w:val="clear" w:color="auto" w:fill="FFFF99"/>
          <w:rtl/>
        </w:rPr>
        <w:t>ין.</w:t>
      </w:r>
      <w:r w:rsidRPr="009F4384">
        <w:rPr>
          <w:rStyle w:val="default"/>
          <w:rFonts w:cs="FrankRuehl" w:hint="cs"/>
          <w:vanish/>
          <w:sz w:val="22"/>
          <w:szCs w:val="22"/>
          <w:shd w:val="clear" w:color="auto" w:fill="FFFF99"/>
          <w:rtl/>
        </w:rPr>
        <w:t xml:space="preserve"> </w:t>
      </w:r>
      <w:r w:rsidRPr="009F4384">
        <w:rPr>
          <w:rStyle w:val="default"/>
          <w:rFonts w:cs="FrankRuehl" w:hint="cs"/>
          <w:vanish/>
          <w:sz w:val="22"/>
          <w:szCs w:val="22"/>
          <w:u w:val="single"/>
          <w:shd w:val="clear" w:color="auto" w:fill="FFFF99"/>
          <w:rtl/>
        </w:rPr>
        <w:t xml:space="preserve">ובו, לעניין זה </w:t>
      </w:r>
      <w:r w:rsidRPr="009F4384">
        <w:rPr>
          <w:rStyle w:val="default"/>
          <w:rFonts w:cs="FrankRuehl"/>
          <w:vanish/>
          <w:sz w:val="22"/>
          <w:szCs w:val="22"/>
          <w:u w:val="single"/>
          <w:shd w:val="clear" w:color="auto" w:fill="FFFF99"/>
          <w:rtl/>
        </w:rPr>
        <w:t>–</w:t>
      </w:r>
    </w:p>
    <w:p w14:paraId="23675080" w14:textId="77777777" w:rsidR="001D3A01" w:rsidRPr="009F4384" w:rsidRDefault="001D3A01" w:rsidP="001D3A01">
      <w:pPr>
        <w:pStyle w:val="P00"/>
        <w:spacing w:before="0"/>
        <w:ind w:left="624" w:right="1134"/>
        <w:rPr>
          <w:rStyle w:val="default"/>
          <w:rFonts w:cs="FrankRuehl" w:hint="cs"/>
          <w:vanish/>
          <w:sz w:val="22"/>
          <w:szCs w:val="22"/>
          <w:u w:val="single"/>
          <w:shd w:val="clear" w:color="auto" w:fill="FFFF99"/>
          <w:rtl/>
        </w:rPr>
      </w:pPr>
      <w:r w:rsidRPr="009F4384">
        <w:rPr>
          <w:rStyle w:val="default"/>
          <w:rFonts w:cs="FrankRuehl" w:hint="cs"/>
          <w:vanish/>
          <w:sz w:val="22"/>
          <w:szCs w:val="22"/>
          <w:u w:val="single"/>
          <w:shd w:val="clear" w:color="auto" w:fill="FFFF99"/>
          <w:rtl/>
        </w:rPr>
        <w:t>(1)</w:t>
      </w:r>
      <w:r w:rsidRPr="009F4384">
        <w:rPr>
          <w:rStyle w:val="default"/>
          <w:rFonts w:cs="FrankRuehl" w:hint="cs"/>
          <w:vanish/>
          <w:sz w:val="22"/>
          <w:szCs w:val="22"/>
          <w:u w:val="single"/>
          <w:shd w:val="clear" w:color="auto" w:fill="FFFF99"/>
          <w:rtl/>
        </w:rPr>
        <w:tab/>
        <w:t>כל מקום שמדובר בו בחייל שהוא חייל בשירות קבע ייקרא כאילו מדובר בשוטר שכללי הגיוס והפיטורים הקבועים בפקודת המשטרה [נוסח חדש], התשל"א-1971, חלים עליו;</w:t>
      </w:r>
    </w:p>
    <w:p w14:paraId="4D8809A7" w14:textId="77777777" w:rsidR="001D3A01" w:rsidRPr="00185648" w:rsidRDefault="001D3A01" w:rsidP="00185648">
      <w:pPr>
        <w:pStyle w:val="P00"/>
        <w:spacing w:before="0"/>
        <w:ind w:left="624" w:right="1134"/>
        <w:rPr>
          <w:rStyle w:val="default"/>
          <w:rFonts w:cs="FrankRuehl" w:hint="cs"/>
          <w:sz w:val="2"/>
          <w:szCs w:val="2"/>
          <w:rtl/>
        </w:rPr>
      </w:pPr>
      <w:r w:rsidRPr="009F4384">
        <w:rPr>
          <w:rStyle w:val="default"/>
          <w:rFonts w:cs="FrankRuehl" w:hint="cs"/>
          <w:vanish/>
          <w:sz w:val="22"/>
          <w:szCs w:val="22"/>
          <w:u w:val="single"/>
          <w:shd w:val="clear" w:color="auto" w:fill="FFFF99"/>
          <w:rtl/>
        </w:rPr>
        <w:t>(2)</w:t>
      </w:r>
      <w:r w:rsidRPr="009F4384">
        <w:rPr>
          <w:rStyle w:val="default"/>
          <w:rFonts w:cs="FrankRuehl" w:hint="cs"/>
          <w:vanish/>
          <w:sz w:val="22"/>
          <w:szCs w:val="22"/>
          <w:u w:val="single"/>
          <w:shd w:val="clear" w:color="auto" w:fill="FFFF99"/>
          <w:rtl/>
        </w:rPr>
        <w:tab/>
        <w:t>כל מקום שמדובר בו בשירות או בשירות צבאי ייקרא כאילו מדובר בשירות במשטרה.</w:t>
      </w:r>
      <w:bookmarkEnd w:id="4"/>
    </w:p>
    <w:p w14:paraId="76E72C9F" w14:textId="77777777" w:rsidR="00726D7C" w:rsidRDefault="00726D7C">
      <w:pPr>
        <w:pStyle w:val="P00"/>
        <w:spacing w:before="72"/>
        <w:ind w:left="0" w:right="1134"/>
        <w:rPr>
          <w:rStyle w:val="default"/>
          <w:rFonts w:cs="FrankRuehl"/>
          <w:rtl/>
        </w:rPr>
      </w:pPr>
      <w:bookmarkStart w:id="5" w:name="Seif3"/>
      <w:bookmarkEnd w:id="5"/>
      <w:r>
        <w:rPr>
          <w:lang w:val="he-IL"/>
        </w:rPr>
        <w:pict w14:anchorId="11C23366">
          <v:rect id="_x0000_s1029" style="position:absolute;left:0;text-align:left;margin-left:464.5pt;margin-top:8.05pt;width:75.05pt;height:11pt;z-index:251655168" o:allowincell="f" filled="f" stroked="f" strokecolor="lime" strokeweight=".25pt">
            <v:textbox style="mso-next-textbox:#_x0000_s1029" inset="0,0,0,0">
              <w:txbxContent>
                <w:p w14:paraId="026ED794" w14:textId="77777777" w:rsidR="00726D7C" w:rsidRDefault="00726D7C">
                  <w:pPr>
                    <w:spacing w:line="160" w:lineRule="exact"/>
                    <w:jc w:val="left"/>
                    <w:rPr>
                      <w:rFonts w:cs="Miriam"/>
                      <w:noProof/>
                      <w:sz w:val="18"/>
                      <w:szCs w:val="18"/>
                      <w:rtl/>
                    </w:rPr>
                  </w:pPr>
                  <w:r>
                    <w:rPr>
                      <w:rFonts w:cs="Miriam"/>
                      <w:sz w:val="18"/>
                      <w:szCs w:val="18"/>
                      <w:rtl/>
                    </w:rPr>
                    <w:t>בר</w:t>
                  </w:r>
                  <w:r>
                    <w:rPr>
                      <w:rFonts w:cs="Miriam" w:hint="cs"/>
                      <w:sz w:val="18"/>
                      <w:szCs w:val="18"/>
                      <w:rtl/>
                    </w:rPr>
                    <w:t>ירה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פטר שוטר כתוצאה ממחלה או החמרת מחלה, בנסיבות שהיו מזכות את בני משפחתו לתגמולים לפי חוק משפחות החיילים לולא הוראות סעיף זה, רשאים בני המשפחה שהם גם שאירים לפי חוק הגמלאות לבחור באחד מאלה:</w:t>
      </w:r>
    </w:p>
    <w:p w14:paraId="1DA7D19D" w14:textId="77777777" w:rsidR="00726D7C" w:rsidRDefault="00726D7C">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צבה כאמור בסעיף 77(ד)(1) לחוק הגמלאות;</w:t>
      </w:r>
    </w:p>
    <w:p w14:paraId="4A2145A2" w14:textId="77777777" w:rsidR="00726D7C" w:rsidRDefault="00726D7C">
      <w:pPr>
        <w:pStyle w:val="P22"/>
        <w:spacing w:before="72"/>
        <w:ind w:left="1021" w:right="1134"/>
        <w:rPr>
          <w:rStyle w:val="default"/>
          <w:rFonts w:cs="FrankRuehl"/>
          <w:rtl/>
        </w:rPr>
      </w:pPr>
      <w:r>
        <w:rPr>
          <w:rStyle w:val="default"/>
          <w:rFonts w:cs="FrankRuehl"/>
          <w:rtl/>
        </w:rPr>
        <w:t>(2)</w:t>
      </w:r>
      <w:r>
        <w:rPr>
          <w:rStyle w:val="default"/>
          <w:rFonts w:cs="FrankRuehl"/>
          <w:rtl/>
        </w:rPr>
        <w:tab/>
        <w:t>ק</w:t>
      </w:r>
      <w:r>
        <w:rPr>
          <w:rStyle w:val="default"/>
          <w:rFonts w:cs="FrankRuehl" w:hint="cs"/>
          <w:rtl/>
        </w:rPr>
        <w:t>צבה כאמור בסעיף 77(ד)(2) לחוק הגמלאות;</w:t>
      </w:r>
    </w:p>
    <w:p w14:paraId="79792A45" w14:textId="77777777" w:rsidR="00726D7C" w:rsidRDefault="00726D7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גמולים לפי חוק משפחות החיילים, בתוספת קצבה כ</w:t>
      </w:r>
      <w:r>
        <w:rPr>
          <w:rStyle w:val="default"/>
          <w:rFonts w:cs="FrankRuehl"/>
          <w:rtl/>
        </w:rPr>
        <w:t>א</w:t>
      </w:r>
      <w:r>
        <w:rPr>
          <w:rStyle w:val="default"/>
          <w:rFonts w:cs="FrankRuehl" w:hint="cs"/>
          <w:rtl/>
        </w:rPr>
        <w:t>מור בסעיף 78(ג) לחוק הגמלאות;</w:t>
      </w:r>
    </w:p>
    <w:p w14:paraId="385791C7" w14:textId="77777777" w:rsidR="00726D7C" w:rsidRDefault="00726D7C">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גמולים לפי חוק מ</w:t>
      </w:r>
      <w:r>
        <w:rPr>
          <w:rStyle w:val="default"/>
          <w:rFonts w:cs="FrankRuehl"/>
          <w:rtl/>
        </w:rPr>
        <w:t>שפ</w:t>
      </w:r>
      <w:r>
        <w:rPr>
          <w:rStyle w:val="default"/>
          <w:rFonts w:cs="FrankRuehl" w:hint="cs"/>
          <w:rtl/>
        </w:rPr>
        <w:t>חות החיילים בתוספת המענק המשתלם לפי סעיפים 27 או 40 לחוק הגמלאות במקום הקצבה המשתלמת לפי סעיף 78(ג) לחוק הגמלאות.</w:t>
      </w:r>
    </w:p>
    <w:p w14:paraId="12804AC0" w14:textId="77777777" w:rsidR="00726D7C" w:rsidRDefault="00726D7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ני משפחה כאמור שנתקיימו בהם התנאים לזכאות לפי סעיף 77(ה) לחוק הגמלאות, רשאים לבחור, במקום זכויותיהם לפי סעיף קטן (א), בתגמולים לפי חוק</w:t>
      </w:r>
      <w:r>
        <w:rPr>
          <w:rStyle w:val="default"/>
          <w:rFonts w:cs="FrankRuehl"/>
          <w:rtl/>
        </w:rPr>
        <w:t xml:space="preserve"> מ</w:t>
      </w:r>
      <w:r>
        <w:rPr>
          <w:rStyle w:val="default"/>
          <w:rFonts w:cs="FrankRuehl" w:hint="cs"/>
          <w:rtl/>
        </w:rPr>
        <w:t>שפחות החיילים ובגמלאות לפי סעיף 77(ה) האמור.</w:t>
      </w:r>
    </w:p>
    <w:p w14:paraId="5EC057DA" w14:textId="77777777" w:rsidR="00726D7C" w:rsidRDefault="00726D7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77(ו) לחוק הגמלאות יחול בשינויים המחוייבים גם על גמלאות לפי חוק הגמלאות המשתלמות לפי סעיף זה.</w:t>
      </w:r>
    </w:p>
    <w:p w14:paraId="13F73791" w14:textId="77777777" w:rsidR="00726D7C" w:rsidRDefault="00726D7C">
      <w:pPr>
        <w:pStyle w:val="P00"/>
        <w:spacing w:before="72"/>
        <w:ind w:left="0" w:right="1134"/>
        <w:rPr>
          <w:rStyle w:val="default"/>
          <w:rFonts w:cs="FrankRuehl"/>
          <w:rtl/>
        </w:rPr>
      </w:pPr>
      <w:bookmarkStart w:id="6" w:name="Seif4"/>
      <w:bookmarkEnd w:id="6"/>
      <w:r>
        <w:rPr>
          <w:lang w:val="he-IL"/>
        </w:rPr>
        <w:pict w14:anchorId="623A9E0E">
          <v:rect id="_x0000_s1030" style="position:absolute;left:0;text-align:left;margin-left:464.5pt;margin-top:8.05pt;width:75.05pt;height:13.3pt;z-index:251656192" o:allowincell="f" filled="f" stroked="f" strokecolor="lime" strokeweight=".25pt">
            <v:textbox style="mso-next-textbox:#_x0000_s1030" inset="0,0,0,0">
              <w:txbxContent>
                <w:p w14:paraId="4C149ABF" w14:textId="77777777" w:rsidR="00726D7C" w:rsidRDefault="00726D7C">
                  <w:pPr>
                    <w:spacing w:line="160" w:lineRule="exact"/>
                    <w:jc w:val="left"/>
                    <w:rPr>
                      <w:rFonts w:cs="Miriam"/>
                      <w:noProof/>
                      <w:sz w:val="18"/>
                      <w:szCs w:val="18"/>
                      <w:rtl/>
                    </w:rPr>
                  </w:pPr>
                  <w:r>
                    <w:rPr>
                      <w:rFonts w:cs="Miriam"/>
                      <w:sz w:val="18"/>
                      <w:szCs w:val="18"/>
                      <w:rtl/>
                    </w:rPr>
                    <w:t>אז</w:t>
                  </w:r>
                  <w:r>
                    <w:rPr>
                      <w:rFonts w:cs="Miriam" w:hint="cs"/>
                      <w:sz w:val="18"/>
                      <w:szCs w:val="18"/>
                      <w:rtl/>
                    </w:rPr>
                    <w:t>כורים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חיקוק שבו מדובר בחוק הנכים או בחוק משפחות החיילים ייקרא כאילו מדובר בו גם </w:t>
      </w:r>
      <w:r>
        <w:rPr>
          <w:rStyle w:val="default"/>
          <w:rFonts w:cs="FrankRuehl" w:hint="cs"/>
          <w:rtl/>
        </w:rPr>
        <w:lastRenderedPageBreak/>
        <w:t>בחוק זה.</w:t>
      </w:r>
    </w:p>
    <w:p w14:paraId="0E1B6256" w14:textId="77777777" w:rsidR="00726D7C" w:rsidRDefault="00726D7C">
      <w:pPr>
        <w:pStyle w:val="P00"/>
        <w:spacing w:before="72"/>
        <w:ind w:left="0" w:right="1134"/>
        <w:rPr>
          <w:rStyle w:val="default"/>
          <w:rFonts w:cs="FrankRuehl"/>
          <w:rtl/>
        </w:rPr>
      </w:pPr>
      <w:bookmarkStart w:id="7" w:name="Seif5"/>
      <w:bookmarkEnd w:id="7"/>
      <w:r>
        <w:rPr>
          <w:lang w:val="he-IL"/>
        </w:rPr>
        <w:pict w14:anchorId="7DCE734C">
          <v:rect id="_x0000_s1031" style="position:absolute;left:0;text-align:left;margin-left:464.5pt;margin-top:8.05pt;width:75.05pt;height:13.95pt;z-index:251657216" o:allowincell="f" filled="f" stroked="f" strokecolor="lime" strokeweight=".25pt">
            <v:textbox style="mso-next-textbox:#_x0000_s1031" inset="0,0,0,0">
              <w:txbxContent>
                <w:p w14:paraId="7B628610" w14:textId="77777777" w:rsidR="00726D7C" w:rsidRDefault="00726D7C">
                  <w:pPr>
                    <w:spacing w:line="160" w:lineRule="exact"/>
                    <w:jc w:val="left"/>
                    <w:rPr>
                      <w:rFonts w:cs="Miriam"/>
                      <w:noProof/>
                      <w:sz w:val="18"/>
                      <w:szCs w:val="18"/>
                      <w:rtl/>
                    </w:rPr>
                  </w:pPr>
                  <w:r>
                    <w:rPr>
                      <w:rFonts w:cs="Miriam"/>
                      <w:sz w:val="18"/>
                      <w:szCs w:val="18"/>
                      <w:rtl/>
                    </w:rPr>
                    <w:t>זכ</w:t>
                  </w:r>
                  <w:r>
                    <w:rPr>
                      <w:rFonts w:cs="Miriam" w:hint="cs"/>
                      <w:sz w:val="18"/>
                      <w:szCs w:val="18"/>
                      <w:rtl/>
                    </w:rPr>
                    <w:t>ויות יתר</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חיקוק המ</w:t>
      </w:r>
      <w:r>
        <w:rPr>
          <w:rStyle w:val="default"/>
          <w:rFonts w:cs="FrankRuehl"/>
          <w:rtl/>
        </w:rPr>
        <w:t>ענ</w:t>
      </w:r>
      <w:r>
        <w:rPr>
          <w:rStyle w:val="default"/>
          <w:rFonts w:cs="FrankRuehl" w:hint="cs"/>
          <w:rtl/>
        </w:rPr>
        <w:t xml:space="preserve">יק או נותן סמכות להעניק זכות יתר, פטור, שחרור מלא או חלקי מחובה המוטלת על פי דין או עדיפות או זכות אחרת, הניתנים לחייל נכה כמשמעותו בחוק הנכים או לבן משפחה של חייל שנספה כמשמעותו </w:t>
      </w:r>
      <w:r>
        <w:rPr>
          <w:rStyle w:val="default"/>
          <w:rFonts w:cs="FrankRuehl"/>
          <w:rtl/>
        </w:rPr>
        <w:t>ב</w:t>
      </w:r>
      <w:r>
        <w:rPr>
          <w:rStyle w:val="default"/>
          <w:rFonts w:cs="FrankRuehl" w:hint="cs"/>
          <w:rtl/>
        </w:rPr>
        <w:t xml:space="preserve">חוק משפחות החיילים, רואים אותו כמעניק או נותן סמכות להעניק אותם גם לשוטר </w:t>
      </w:r>
      <w:r>
        <w:rPr>
          <w:rStyle w:val="default"/>
          <w:rFonts w:cs="FrankRuehl"/>
          <w:rtl/>
        </w:rPr>
        <w:t>נ</w:t>
      </w:r>
      <w:r>
        <w:rPr>
          <w:rStyle w:val="default"/>
          <w:rFonts w:cs="FrankRuehl" w:hint="cs"/>
          <w:rtl/>
        </w:rPr>
        <w:t>כ</w:t>
      </w:r>
      <w:r>
        <w:rPr>
          <w:rStyle w:val="default"/>
          <w:rFonts w:cs="FrankRuehl"/>
          <w:rtl/>
        </w:rPr>
        <w:t>ה</w:t>
      </w:r>
      <w:r>
        <w:rPr>
          <w:rStyle w:val="default"/>
          <w:rFonts w:cs="FrankRuehl" w:hint="cs"/>
          <w:rtl/>
        </w:rPr>
        <w:t xml:space="preserve"> או לבן משפחה של שוטר שנספה.</w:t>
      </w:r>
    </w:p>
    <w:p w14:paraId="4B983A9C" w14:textId="77777777" w:rsidR="00726D7C" w:rsidRDefault="00726D7C">
      <w:pPr>
        <w:pStyle w:val="P00"/>
        <w:spacing w:before="72"/>
        <w:ind w:left="0" w:right="1134"/>
        <w:rPr>
          <w:rStyle w:val="default"/>
          <w:rFonts w:cs="FrankRuehl"/>
          <w:rtl/>
        </w:rPr>
      </w:pPr>
      <w:bookmarkStart w:id="8" w:name="Seif6"/>
      <w:bookmarkEnd w:id="8"/>
      <w:r>
        <w:rPr>
          <w:lang w:val="he-IL"/>
        </w:rPr>
        <w:pict w14:anchorId="742A203E">
          <v:rect id="_x0000_s1032" style="position:absolute;left:0;text-align:left;margin-left:464.5pt;margin-top:8.05pt;width:75.05pt;height:11.7pt;z-index:251658240" o:allowincell="f" filled="f" stroked="f" strokecolor="lime" strokeweight=".25pt">
            <v:textbox style="mso-next-textbox:#_x0000_s1032" inset="0,0,0,0">
              <w:txbxContent>
                <w:p w14:paraId="5012AF33" w14:textId="77777777" w:rsidR="00726D7C" w:rsidRDefault="00726D7C">
                  <w:pPr>
                    <w:spacing w:line="160" w:lineRule="exact"/>
                    <w:jc w:val="left"/>
                    <w:rPr>
                      <w:rFonts w:cs="Miriam"/>
                      <w:noProof/>
                      <w:sz w:val="18"/>
                      <w:szCs w:val="18"/>
                      <w:rtl/>
                    </w:rPr>
                  </w:pPr>
                  <w:r>
                    <w:rPr>
                      <w:rFonts w:cs="Miriam"/>
                      <w:sz w:val="18"/>
                      <w:szCs w:val="18"/>
                      <w:rtl/>
                    </w:rPr>
                    <w:t>שו</w:t>
                  </w:r>
                  <w:r>
                    <w:rPr>
                      <w:rFonts w:cs="Miriam" w:hint="cs"/>
                      <w:sz w:val="18"/>
                      <w:szCs w:val="18"/>
                      <w:rtl/>
                    </w:rPr>
                    <w:t>טר שנעדר</w:t>
                  </w:r>
                </w:p>
              </w:txbxContent>
            </v:textbox>
            <w10:anchorlock/>
          </v:rect>
        </w:pict>
      </w:r>
      <w:r>
        <w:rPr>
          <w:rStyle w:val="big-number"/>
          <w:rFonts w:cs="Miriam"/>
          <w:rtl/>
        </w:rPr>
        <w:t>7.</w:t>
      </w:r>
      <w:r>
        <w:rPr>
          <w:rStyle w:val="big-number"/>
          <w:rFonts w:cs="Miriam"/>
          <w:rtl/>
        </w:rPr>
        <w:tab/>
      </w:r>
      <w:r>
        <w:rPr>
          <w:rStyle w:val="default"/>
          <w:rFonts w:cs="FrankRuehl"/>
          <w:rtl/>
        </w:rPr>
        <w:t>לע</w:t>
      </w:r>
      <w:r>
        <w:rPr>
          <w:rStyle w:val="default"/>
          <w:rFonts w:cs="FrankRuehl" w:hint="cs"/>
          <w:rtl/>
        </w:rPr>
        <w:t>נין סעיף 3 לחוק משפחות החיילים, במקום רשות צבאית מוסמכת יבוא, לגבי שוטר שנעדר, קצין משטרה בכיר ששר הפנים מינהו לענין סעיף זה.</w:t>
      </w:r>
    </w:p>
    <w:p w14:paraId="2A0D4372" w14:textId="77777777" w:rsidR="00726D7C" w:rsidRDefault="00726D7C" w:rsidP="00D071F2">
      <w:pPr>
        <w:pStyle w:val="P00"/>
        <w:spacing w:before="72"/>
        <w:ind w:left="0" w:right="1134"/>
        <w:rPr>
          <w:rStyle w:val="default"/>
          <w:rFonts w:cs="FrankRuehl"/>
          <w:rtl/>
        </w:rPr>
      </w:pPr>
      <w:bookmarkStart w:id="9" w:name="Seif7"/>
      <w:bookmarkEnd w:id="9"/>
      <w:r>
        <w:rPr>
          <w:lang w:val="he-IL"/>
        </w:rPr>
        <w:pict w14:anchorId="0F23F19F">
          <v:rect id="_x0000_s1033" style="position:absolute;left:0;text-align:left;margin-left:464.5pt;margin-top:8.05pt;width:75.05pt;height:12.35pt;z-index:251659264" o:allowincell="f" filled="f" stroked="f" strokecolor="lime" strokeweight=".25pt">
            <v:textbox style="mso-next-textbox:#_x0000_s1033" inset="0,0,0,0">
              <w:txbxContent>
                <w:p w14:paraId="38192992" w14:textId="77777777" w:rsidR="00726D7C" w:rsidRDefault="00726D7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Miriam"/>
          <w:rtl/>
        </w:rPr>
        <w:tab/>
      </w:r>
      <w:r>
        <w:rPr>
          <w:rStyle w:val="default"/>
          <w:rFonts w:cs="FrankRuehl"/>
          <w:rtl/>
        </w:rPr>
        <w:t>חו</w:t>
      </w:r>
      <w:r>
        <w:rPr>
          <w:rStyle w:val="default"/>
          <w:rFonts w:cs="FrankRuehl" w:hint="cs"/>
          <w:rtl/>
        </w:rPr>
        <w:t>ק המשטרה (נכים ונספים), תשט"ו</w:t>
      </w:r>
      <w:r w:rsidR="00D071F2">
        <w:rPr>
          <w:rStyle w:val="default"/>
          <w:rFonts w:cs="FrankRuehl" w:hint="cs"/>
          <w:rtl/>
        </w:rPr>
        <w:t>-</w:t>
      </w:r>
      <w:r>
        <w:rPr>
          <w:rStyle w:val="default"/>
          <w:rFonts w:cs="FrankRuehl"/>
          <w:rtl/>
        </w:rPr>
        <w:t xml:space="preserve">1955 </w:t>
      </w:r>
      <w:r w:rsidR="00D071F2">
        <w:rPr>
          <w:rStyle w:val="default"/>
          <w:rFonts w:cs="FrankRuehl" w:hint="cs"/>
          <w:rtl/>
        </w:rPr>
        <w:t>-</w:t>
      </w:r>
      <w:r>
        <w:rPr>
          <w:rStyle w:val="default"/>
          <w:rFonts w:cs="FrankRuehl"/>
          <w:rtl/>
        </w:rPr>
        <w:t xml:space="preserve"> </w:t>
      </w:r>
      <w:r>
        <w:rPr>
          <w:rStyle w:val="default"/>
          <w:rFonts w:cs="FrankRuehl" w:hint="cs"/>
          <w:rtl/>
        </w:rPr>
        <w:t>בטל.</w:t>
      </w:r>
    </w:p>
    <w:p w14:paraId="59E13EE9" w14:textId="77777777" w:rsidR="00726D7C" w:rsidRDefault="00726D7C" w:rsidP="00D071F2">
      <w:pPr>
        <w:pStyle w:val="P00"/>
        <w:spacing w:before="72"/>
        <w:ind w:left="0" w:right="1134"/>
        <w:rPr>
          <w:rStyle w:val="default"/>
          <w:rFonts w:cs="FrankRuehl"/>
          <w:rtl/>
        </w:rPr>
      </w:pPr>
      <w:bookmarkStart w:id="10" w:name="Seif8"/>
      <w:bookmarkEnd w:id="10"/>
      <w:r>
        <w:rPr>
          <w:lang w:val="he-IL"/>
        </w:rPr>
        <w:pict w14:anchorId="70F9276B">
          <v:rect id="_x0000_s1034" style="position:absolute;left:0;text-align:left;margin-left:464.5pt;margin-top:8.05pt;width:75.05pt;height:24pt;z-index:251660288" o:allowincell="f" filled="f" stroked="f" strokecolor="lime" strokeweight=".25pt">
            <v:textbox style="mso-next-textbox:#_x0000_s1034" inset="0,0,0,0">
              <w:txbxContent>
                <w:p w14:paraId="526323F2" w14:textId="77777777" w:rsidR="00726D7C" w:rsidRDefault="00726D7C" w:rsidP="00D071F2">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D071F2">
                    <w:rPr>
                      <w:rFonts w:cs="Miriam" w:hint="cs"/>
                      <w:sz w:val="18"/>
                      <w:szCs w:val="18"/>
                      <w:rtl/>
                    </w:rPr>
                    <w:t xml:space="preserve"> </w:t>
                  </w:r>
                  <w:r>
                    <w:rPr>
                      <w:rFonts w:cs="Miriam"/>
                      <w:sz w:val="18"/>
                      <w:szCs w:val="18"/>
                      <w:rtl/>
                    </w:rPr>
                    <w:t>מש</w:t>
                  </w:r>
                  <w:r>
                    <w:rPr>
                      <w:rFonts w:cs="Miriam" w:hint="cs"/>
                      <w:sz w:val="18"/>
                      <w:szCs w:val="18"/>
                      <w:rtl/>
                    </w:rPr>
                    <w:t>כן הכנסת</w:t>
                  </w:r>
                  <w:r w:rsidR="00D071F2">
                    <w:rPr>
                      <w:rFonts w:cs="Miriam" w:hint="cs"/>
                      <w:noProof/>
                      <w:sz w:val="18"/>
                      <w:szCs w:val="18"/>
                      <w:rtl/>
                    </w:rPr>
                    <w:t xml:space="preserve"> </w:t>
                  </w:r>
                  <w:r>
                    <w:rPr>
                      <w:rFonts w:cs="Miriam"/>
                      <w:sz w:val="18"/>
                      <w:szCs w:val="18"/>
                      <w:rtl/>
                    </w:rPr>
                    <w:t>ור</w:t>
                  </w:r>
                  <w:r>
                    <w:rPr>
                      <w:rFonts w:cs="Miriam" w:hint="cs"/>
                      <w:sz w:val="18"/>
                      <w:szCs w:val="18"/>
                      <w:rtl/>
                    </w:rPr>
                    <w:t>חבתו</w:t>
                  </w:r>
                </w:p>
              </w:txbxContent>
            </v:textbox>
            <w10:anchorlock/>
          </v:rect>
        </w:pict>
      </w:r>
      <w:r>
        <w:rPr>
          <w:rStyle w:val="big-number"/>
          <w:rFonts w:cs="Miriam"/>
          <w:rtl/>
        </w:rPr>
        <w:t>9.</w:t>
      </w:r>
      <w:r>
        <w:rPr>
          <w:rStyle w:val="big-number"/>
          <w:rFonts w:cs="Miriam"/>
          <w:rtl/>
        </w:rPr>
        <w:tab/>
      </w:r>
      <w:r>
        <w:rPr>
          <w:rStyle w:val="default"/>
          <w:rFonts w:cs="FrankRuehl"/>
          <w:rtl/>
        </w:rPr>
        <w:t>במ</w:t>
      </w:r>
      <w:r>
        <w:rPr>
          <w:rStyle w:val="default"/>
          <w:rFonts w:cs="FrankRuehl" w:hint="cs"/>
          <w:rtl/>
        </w:rPr>
        <w:t>קום סעיף 21 לחוק משכן הכנסת ורחבתו, תשכ</w:t>
      </w:r>
      <w:r>
        <w:rPr>
          <w:rStyle w:val="default"/>
          <w:rFonts w:cs="FrankRuehl"/>
          <w:rtl/>
        </w:rPr>
        <w:t>"ח</w:t>
      </w:r>
      <w:r w:rsidR="00D071F2">
        <w:rPr>
          <w:rStyle w:val="default"/>
          <w:rFonts w:cs="FrankRuehl" w:hint="cs"/>
          <w:rtl/>
        </w:rPr>
        <w:t>-</w:t>
      </w:r>
      <w:r>
        <w:rPr>
          <w:rStyle w:val="default"/>
          <w:rFonts w:cs="FrankRuehl"/>
          <w:rtl/>
        </w:rPr>
        <w:t xml:space="preserve">1968, </w:t>
      </w:r>
      <w:r>
        <w:rPr>
          <w:rStyle w:val="default"/>
          <w:rFonts w:cs="FrankRuehl" w:hint="cs"/>
          <w:rtl/>
        </w:rPr>
        <w:t>יבוא:</w:t>
      </w:r>
    </w:p>
    <w:p w14:paraId="313749F6" w14:textId="77777777" w:rsidR="00D071F2" w:rsidRDefault="00726D7C" w:rsidP="00D071F2">
      <w:pPr>
        <w:pStyle w:val="P00"/>
        <w:spacing w:before="72"/>
        <w:ind w:left="624" w:right="1134"/>
        <w:rPr>
          <w:rStyle w:val="default"/>
          <w:rFonts w:cs="FrankRuehl" w:hint="cs"/>
          <w:rtl/>
        </w:rPr>
      </w:pPr>
      <w:r>
        <w:rPr>
          <w:rStyle w:val="default"/>
          <w:rFonts w:cs="FrankRuehl" w:hint="cs"/>
          <w:rtl/>
        </w:rPr>
        <w:t>"</w:t>
      </w:r>
      <w:r w:rsidRPr="00FD7B07">
        <w:rPr>
          <w:rStyle w:val="default"/>
          <w:rFonts w:cs="Miriam"/>
          <w:sz w:val="18"/>
          <w:szCs w:val="18"/>
          <w:rtl/>
        </w:rPr>
        <w:t>ת</w:t>
      </w:r>
      <w:r w:rsidRPr="00FD7B07">
        <w:rPr>
          <w:rStyle w:val="default"/>
          <w:rFonts w:cs="Miriam" w:hint="cs"/>
          <w:sz w:val="18"/>
          <w:szCs w:val="18"/>
          <w:rtl/>
        </w:rPr>
        <w:t>גמולים לאנשי משמר</w:t>
      </w:r>
    </w:p>
    <w:p w14:paraId="311D29A0" w14:textId="77777777" w:rsidR="00726D7C" w:rsidRDefault="00D071F2" w:rsidP="00D071F2">
      <w:pPr>
        <w:pStyle w:val="P00"/>
        <w:spacing w:before="72"/>
        <w:ind w:left="624" w:right="1134"/>
        <w:rPr>
          <w:rStyle w:val="default"/>
          <w:rFonts w:cs="FrankRuehl"/>
          <w:rtl/>
        </w:rPr>
      </w:pPr>
      <w:r>
        <w:rPr>
          <w:rStyle w:val="default"/>
          <w:rFonts w:cs="FrankRuehl"/>
          <w:rtl/>
        </w:rPr>
        <w:t>21</w:t>
      </w:r>
      <w:r>
        <w:rPr>
          <w:rStyle w:val="default"/>
          <w:rFonts w:cs="FrankRuehl" w:hint="cs"/>
          <w:rtl/>
        </w:rPr>
        <w:t>.</w:t>
      </w:r>
      <w:r>
        <w:rPr>
          <w:rStyle w:val="default"/>
          <w:rFonts w:cs="FrankRuehl" w:hint="cs"/>
          <w:rtl/>
        </w:rPr>
        <w:tab/>
      </w:r>
      <w:r w:rsidR="00726D7C">
        <w:rPr>
          <w:rStyle w:val="default"/>
          <w:rFonts w:cs="FrankRuehl" w:hint="cs"/>
          <w:rtl/>
        </w:rPr>
        <w:t>לענין חוק המשטרה (נכים ונספים), תשמ"א</w:t>
      </w:r>
      <w:r>
        <w:rPr>
          <w:rStyle w:val="default"/>
          <w:rFonts w:cs="FrankRuehl" w:hint="cs"/>
          <w:rtl/>
        </w:rPr>
        <w:t>-</w:t>
      </w:r>
      <w:r w:rsidR="00726D7C">
        <w:rPr>
          <w:rStyle w:val="default"/>
          <w:rFonts w:cs="FrankRuehl"/>
          <w:rtl/>
        </w:rPr>
        <w:t xml:space="preserve">1981, </w:t>
      </w:r>
      <w:r w:rsidR="00726D7C">
        <w:rPr>
          <w:rStyle w:val="default"/>
          <w:rFonts w:cs="FrankRuehl" w:hint="cs"/>
          <w:rtl/>
        </w:rPr>
        <w:t>דין שומר כדין שוטר ודין בני משפחתו של שומר שנפטר כדין בני משפחתו של שוטר שנפטר, בשינויים המחוייבים על פי הענין ובתיאומים שקבע יושב ראש הכנסת, וסמכות הניתנת בחוק האמור לשר הפ</w:t>
      </w:r>
      <w:r w:rsidR="00726D7C">
        <w:rPr>
          <w:rStyle w:val="default"/>
          <w:rFonts w:cs="FrankRuehl"/>
          <w:rtl/>
        </w:rPr>
        <w:t>ני</w:t>
      </w:r>
      <w:r w:rsidR="00726D7C">
        <w:rPr>
          <w:rStyle w:val="default"/>
          <w:rFonts w:cs="FrankRuehl" w:hint="cs"/>
          <w:rtl/>
        </w:rPr>
        <w:t>ם תהיה נתונה ליושב ראש הכנסת."</w:t>
      </w:r>
    </w:p>
    <w:p w14:paraId="46D2AF00" w14:textId="77777777" w:rsidR="00726D7C" w:rsidRDefault="00726D7C">
      <w:pPr>
        <w:pStyle w:val="P00"/>
        <w:spacing w:before="72"/>
        <w:ind w:left="0" w:right="1134"/>
        <w:rPr>
          <w:rStyle w:val="default"/>
          <w:rFonts w:cs="FrankRuehl" w:hint="cs"/>
          <w:rtl/>
        </w:rPr>
      </w:pPr>
      <w:bookmarkStart w:id="11" w:name="Seif9"/>
      <w:bookmarkEnd w:id="11"/>
      <w:r>
        <w:rPr>
          <w:lang w:val="he-IL"/>
        </w:rPr>
        <w:pict w14:anchorId="216A18BA">
          <v:rect id="_x0000_s1035" style="position:absolute;left:0;text-align:left;margin-left:464.5pt;margin-top:8.05pt;width:75.05pt;height:12.3pt;z-index:251661312" o:allowincell="f" filled="f" stroked="f" strokecolor="lime" strokeweight=".25pt">
            <v:textbox style="mso-next-textbox:#_x0000_s1035" inset="0,0,0,0">
              <w:txbxContent>
                <w:p w14:paraId="47161E17" w14:textId="77777777" w:rsidR="00726D7C" w:rsidRDefault="00726D7C">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10.</w:t>
      </w:r>
      <w:r>
        <w:rPr>
          <w:rStyle w:val="big-number"/>
          <w:rFonts w:cs="Miriam"/>
          <w:rtl/>
        </w:rPr>
        <w:tab/>
      </w:r>
      <w:r>
        <w:rPr>
          <w:rStyle w:val="default"/>
          <w:rFonts w:cs="FrankRuehl"/>
          <w:rtl/>
        </w:rPr>
        <w:t>חו</w:t>
      </w:r>
      <w:r>
        <w:rPr>
          <w:rStyle w:val="default"/>
          <w:rFonts w:cs="FrankRuehl" w:hint="cs"/>
          <w:rtl/>
        </w:rPr>
        <w:t>ק זה יחול, לגבי התקופה שלאחר פרסומו, גם על מי שפרש</w:t>
      </w:r>
      <w:r>
        <w:rPr>
          <w:rStyle w:val="default"/>
          <w:rFonts w:cs="FrankRuehl"/>
          <w:rtl/>
        </w:rPr>
        <w:t xml:space="preserve"> </w:t>
      </w:r>
      <w:r>
        <w:rPr>
          <w:rStyle w:val="default"/>
          <w:rFonts w:cs="FrankRuehl" w:hint="cs"/>
          <w:rtl/>
        </w:rPr>
        <w:t xml:space="preserve">מהשירות במשטרה לפני הפרסום ועל בני משפחתו של שוטר שנפטר לפני הפרסום, למעט </w:t>
      </w:r>
      <w:r w:rsidR="00D071F2">
        <w:rPr>
          <w:rStyle w:val="default"/>
          <w:rFonts w:cs="FrankRuehl"/>
          <w:rtl/>
        </w:rPr>
        <w:t>–</w:t>
      </w:r>
    </w:p>
    <w:p w14:paraId="1B905E9B" w14:textId="77777777" w:rsidR="00726D7C" w:rsidRDefault="00726D7C" w:rsidP="00D071F2">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שהגיש בקשה לפי סעיף 4 לחוק המשטרה (נכים ונספים), תשט"ו</w:t>
      </w:r>
      <w:r w:rsidR="00D071F2">
        <w:rPr>
          <w:rStyle w:val="default"/>
          <w:rFonts w:cs="FrankRuehl" w:hint="cs"/>
          <w:rtl/>
        </w:rPr>
        <w:t>-</w:t>
      </w:r>
      <w:r>
        <w:rPr>
          <w:rStyle w:val="default"/>
          <w:rFonts w:cs="FrankRuehl" w:hint="cs"/>
          <w:rtl/>
        </w:rPr>
        <w:t xml:space="preserve">1955, </w:t>
      </w:r>
      <w:r>
        <w:rPr>
          <w:rStyle w:val="default"/>
          <w:rFonts w:cs="FrankRuehl"/>
          <w:rtl/>
        </w:rPr>
        <w:t>ו</w:t>
      </w:r>
      <w:r>
        <w:rPr>
          <w:rStyle w:val="default"/>
          <w:rFonts w:cs="FrankRuehl" w:hint="cs"/>
          <w:rtl/>
        </w:rPr>
        <w:t>היא נדחתה;</w:t>
      </w:r>
    </w:p>
    <w:p w14:paraId="0C8A1E5A" w14:textId="77777777" w:rsidR="00726D7C" w:rsidRDefault="00726D7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שהגיש בקשה כאמור, או בקשה לקצין התגמולים, אחרי שעברה תקופת ההתיישנות החלה לגביו לפי סעיף 4(ה) לחוק האמור.</w:t>
      </w:r>
    </w:p>
    <w:p w14:paraId="29BB2575" w14:textId="77777777" w:rsidR="00726D7C" w:rsidRDefault="00726D7C" w:rsidP="00D071F2">
      <w:pPr>
        <w:pStyle w:val="P00"/>
        <w:spacing w:before="72"/>
        <w:ind w:left="0" w:right="1134"/>
        <w:rPr>
          <w:rStyle w:val="default"/>
          <w:rFonts w:cs="FrankRuehl" w:hint="cs"/>
          <w:rtl/>
        </w:rPr>
      </w:pPr>
    </w:p>
    <w:p w14:paraId="0B98CD47" w14:textId="77777777" w:rsidR="00D071F2" w:rsidRDefault="00D071F2" w:rsidP="00D071F2">
      <w:pPr>
        <w:pStyle w:val="P00"/>
        <w:spacing w:before="72"/>
        <w:ind w:left="0" w:right="1134"/>
        <w:rPr>
          <w:rStyle w:val="default"/>
          <w:rFonts w:cs="FrankRuehl" w:hint="cs"/>
          <w:rtl/>
        </w:rPr>
      </w:pPr>
    </w:p>
    <w:p w14:paraId="0007D31F" w14:textId="77777777" w:rsidR="00726D7C" w:rsidRPr="00D071F2" w:rsidRDefault="00726D7C">
      <w:pPr>
        <w:pStyle w:val="sig-1"/>
        <w:widowControl/>
        <w:ind w:left="0" w:right="1134"/>
        <w:rPr>
          <w:rFonts w:cs="FrankRuehl"/>
          <w:sz w:val="26"/>
          <w:szCs w:val="26"/>
          <w:rtl/>
        </w:rPr>
      </w:pPr>
      <w:r w:rsidRPr="00D071F2">
        <w:rPr>
          <w:rFonts w:cs="FrankRuehl"/>
          <w:sz w:val="26"/>
          <w:szCs w:val="26"/>
          <w:rtl/>
        </w:rPr>
        <w:tab/>
        <w:t>י</w:t>
      </w:r>
      <w:r w:rsidRPr="00D071F2">
        <w:rPr>
          <w:rFonts w:cs="FrankRuehl" w:hint="cs"/>
          <w:sz w:val="26"/>
          <w:szCs w:val="26"/>
          <w:rtl/>
        </w:rPr>
        <w:t>צחק נבון</w:t>
      </w:r>
      <w:r w:rsidRPr="00D071F2">
        <w:rPr>
          <w:rFonts w:cs="FrankRuehl"/>
          <w:sz w:val="26"/>
          <w:szCs w:val="26"/>
          <w:rtl/>
        </w:rPr>
        <w:tab/>
        <w:t>מ</w:t>
      </w:r>
      <w:r w:rsidRPr="00D071F2">
        <w:rPr>
          <w:rFonts w:cs="FrankRuehl" w:hint="cs"/>
          <w:sz w:val="26"/>
          <w:szCs w:val="26"/>
          <w:rtl/>
        </w:rPr>
        <w:t>נחם בגין</w:t>
      </w:r>
      <w:r w:rsidRPr="00D071F2">
        <w:rPr>
          <w:rFonts w:cs="FrankRuehl"/>
          <w:sz w:val="26"/>
          <w:szCs w:val="26"/>
          <w:rtl/>
        </w:rPr>
        <w:tab/>
        <w:t>י</w:t>
      </w:r>
      <w:r w:rsidRPr="00D071F2">
        <w:rPr>
          <w:rFonts w:cs="FrankRuehl" w:hint="cs"/>
          <w:sz w:val="26"/>
          <w:szCs w:val="26"/>
          <w:rtl/>
        </w:rPr>
        <w:t>וסף בורג</w:t>
      </w:r>
    </w:p>
    <w:p w14:paraId="473AF3D3" w14:textId="77777777" w:rsidR="00726D7C" w:rsidRDefault="00726D7C">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הפנים</w:t>
      </w:r>
    </w:p>
    <w:p w14:paraId="3BA8BBE6" w14:textId="77777777" w:rsidR="00726D7C" w:rsidRPr="00D071F2" w:rsidRDefault="00726D7C" w:rsidP="00D071F2">
      <w:pPr>
        <w:pStyle w:val="P00"/>
        <w:spacing w:before="72"/>
        <w:ind w:left="0" w:right="1134"/>
        <w:rPr>
          <w:rStyle w:val="default"/>
          <w:rFonts w:cs="FrankRuehl"/>
          <w:rtl/>
        </w:rPr>
      </w:pPr>
    </w:p>
    <w:p w14:paraId="533D2A4A" w14:textId="77777777" w:rsidR="00726D7C" w:rsidRPr="00D071F2" w:rsidRDefault="00726D7C" w:rsidP="00D071F2">
      <w:pPr>
        <w:pStyle w:val="P00"/>
        <w:spacing w:before="72"/>
        <w:ind w:left="0" w:right="1134"/>
        <w:rPr>
          <w:rStyle w:val="default"/>
          <w:rFonts w:cs="FrankRuehl"/>
          <w:rtl/>
        </w:rPr>
      </w:pPr>
    </w:p>
    <w:p w14:paraId="6C8C3A83" w14:textId="77777777" w:rsidR="00726D7C" w:rsidRPr="00D071F2" w:rsidRDefault="00726D7C" w:rsidP="00D071F2">
      <w:pPr>
        <w:pStyle w:val="P00"/>
        <w:spacing w:before="72"/>
        <w:ind w:left="0" w:right="1134"/>
        <w:rPr>
          <w:rStyle w:val="default"/>
          <w:rFonts w:cs="FrankRuehl"/>
          <w:rtl/>
        </w:rPr>
      </w:pPr>
    </w:p>
    <w:p w14:paraId="5AADA76D" w14:textId="77777777" w:rsidR="00726D7C" w:rsidRPr="00D071F2" w:rsidRDefault="00726D7C" w:rsidP="00D071F2">
      <w:pPr>
        <w:pStyle w:val="P00"/>
        <w:spacing w:before="72"/>
        <w:ind w:left="0" w:right="1134"/>
        <w:rPr>
          <w:rStyle w:val="default"/>
          <w:rFonts w:cs="FrankRuehl"/>
          <w:rtl/>
        </w:rPr>
      </w:pPr>
    </w:p>
    <w:sectPr w:rsidR="00726D7C" w:rsidRPr="00D071F2">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1C36" w14:textId="77777777" w:rsidR="00E730C8" w:rsidRDefault="00E730C8">
      <w:r>
        <w:separator/>
      </w:r>
    </w:p>
  </w:endnote>
  <w:endnote w:type="continuationSeparator" w:id="0">
    <w:p w14:paraId="61DCAC2C" w14:textId="77777777" w:rsidR="00E730C8" w:rsidRDefault="00E7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4F29" w14:textId="77777777" w:rsidR="00726D7C" w:rsidRDefault="00726D7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842C585" w14:textId="77777777" w:rsidR="00726D7C" w:rsidRDefault="00726D7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A028E8" w14:textId="77777777" w:rsidR="00726D7C" w:rsidRDefault="00726D7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71F2">
      <w:rPr>
        <w:rFonts w:cs="TopType Jerushalmi"/>
        <w:noProof/>
        <w:color w:val="000000"/>
        <w:sz w:val="14"/>
        <w:szCs w:val="14"/>
      </w:rPr>
      <w:t>C:\Yael\hakika\Revadim\290_021.doc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B3B2" w14:textId="77777777" w:rsidR="00726D7C" w:rsidRDefault="00726D7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7B07">
      <w:rPr>
        <w:rFonts w:hAnsi="FrankRuehl" w:cs="FrankRuehl"/>
        <w:noProof/>
        <w:sz w:val="24"/>
        <w:szCs w:val="24"/>
        <w:rtl/>
      </w:rPr>
      <w:t>3</w:t>
    </w:r>
    <w:r>
      <w:rPr>
        <w:rFonts w:hAnsi="FrankRuehl" w:cs="FrankRuehl"/>
        <w:sz w:val="24"/>
        <w:szCs w:val="24"/>
        <w:rtl/>
      </w:rPr>
      <w:fldChar w:fldCharType="end"/>
    </w:r>
  </w:p>
  <w:p w14:paraId="42F476CD" w14:textId="77777777" w:rsidR="00726D7C" w:rsidRDefault="00726D7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77E66B9" w14:textId="77777777" w:rsidR="00726D7C" w:rsidRDefault="00726D7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71F2">
      <w:rPr>
        <w:rFonts w:cs="TopType Jerushalmi"/>
        <w:noProof/>
        <w:color w:val="000000"/>
        <w:sz w:val="14"/>
        <w:szCs w:val="14"/>
      </w:rPr>
      <w:t>C:\Yael\hakika\Revadim\290_021.doc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35DED" w14:textId="77777777" w:rsidR="00E730C8" w:rsidRDefault="00E730C8" w:rsidP="00D071F2">
      <w:pPr>
        <w:spacing w:before="60" w:line="240" w:lineRule="auto"/>
        <w:ind w:right="1134"/>
      </w:pPr>
      <w:r>
        <w:separator/>
      </w:r>
    </w:p>
  </w:footnote>
  <w:footnote w:type="continuationSeparator" w:id="0">
    <w:p w14:paraId="6E5691E4" w14:textId="77777777" w:rsidR="00E730C8" w:rsidRDefault="00E730C8">
      <w:r>
        <w:continuationSeparator/>
      </w:r>
    </w:p>
  </w:footnote>
  <w:footnote w:id="1">
    <w:p w14:paraId="5F2BD335" w14:textId="77777777" w:rsidR="00D071F2" w:rsidRDefault="00D071F2" w:rsidP="00D07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071F2">
        <w:rPr>
          <w:rFonts w:cs="FrankRuehl"/>
          <w:rtl/>
        </w:rPr>
        <w:t xml:space="preserve">* </w:t>
      </w:r>
      <w:r>
        <w:rPr>
          <w:rFonts w:cs="FrankRuehl"/>
          <w:rtl/>
        </w:rPr>
        <w:t>פו</w:t>
      </w:r>
      <w:r>
        <w:rPr>
          <w:rFonts w:cs="FrankRuehl" w:hint="cs"/>
          <w:rtl/>
        </w:rPr>
        <w:t xml:space="preserve">רסם </w:t>
      </w:r>
      <w:hyperlink r:id="rId1" w:history="1">
        <w:r w:rsidRPr="00D724D6">
          <w:rPr>
            <w:rStyle w:val="Hyperlink"/>
            <w:rFonts w:cs="FrankRuehl" w:hint="cs"/>
            <w:rtl/>
          </w:rPr>
          <w:t>ס"ח תשמ"א מס' 1015</w:t>
        </w:r>
      </w:hyperlink>
      <w:r>
        <w:rPr>
          <w:rFonts w:cs="FrankRuehl" w:hint="cs"/>
          <w:rtl/>
        </w:rPr>
        <w:t xml:space="preserve"> מיום 3.4.1981 עמ' 163 (</w:t>
      </w:r>
      <w:hyperlink r:id="rId2" w:history="1">
        <w:r w:rsidRPr="00D724D6">
          <w:rPr>
            <w:rStyle w:val="Hyperlink"/>
            <w:rFonts w:cs="FrankRuehl" w:hint="cs"/>
            <w:rtl/>
          </w:rPr>
          <w:t>ה"ח תש"ם מס' 1472</w:t>
        </w:r>
      </w:hyperlink>
      <w:r>
        <w:rPr>
          <w:rFonts w:cs="FrankRuehl" w:hint="cs"/>
          <w:rtl/>
        </w:rPr>
        <w:t xml:space="preserve"> עמ' 330).</w:t>
      </w:r>
    </w:p>
    <w:p w14:paraId="2F5280C8" w14:textId="77777777" w:rsidR="000B1352" w:rsidRPr="00B448FE" w:rsidRDefault="00B448FE" w:rsidP="000B13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sidRPr="00B448FE">
        <w:rPr>
          <w:rFonts w:cs="FrankRuehl" w:hint="cs"/>
          <w:rtl/>
        </w:rPr>
        <w:t xml:space="preserve">תוקן </w:t>
      </w:r>
      <w:hyperlink r:id="rId3" w:history="1">
        <w:r w:rsidRPr="000B1352">
          <w:rPr>
            <w:rStyle w:val="Hyperlink"/>
            <w:rFonts w:cs="FrankRuehl" w:hint="cs"/>
            <w:rtl/>
          </w:rPr>
          <w:t>ס"ח תשע"ז מס' 2592</w:t>
        </w:r>
      </w:hyperlink>
      <w:r w:rsidRPr="00B448FE">
        <w:rPr>
          <w:rFonts w:cs="FrankRuehl" w:hint="cs"/>
          <w:rtl/>
        </w:rPr>
        <w:t xml:space="preserve"> מיום 29.12.2016 עמ' 242 (</w:t>
      </w:r>
      <w:hyperlink r:id="rId4" w:history="1">
        <w:r w:rsidRPr="00B448FE">
          <w:rPr>
            <w:rStyle w:val="Hyperlink"/>
            <w:rFonts w:cs="FrankRuehl" w:hint="cs"/>
            <w:rtl/>
          </w:rPr>
          <w:t>ה"ח הממשלה תשע"ז מס' 1083</w:t>
        </w:r>
      </w:hyperlink>
      <w:r w:rsidRPr="00B448FE">
        <w:rPr>
          <w:rFonts w:cs="FrankRuehl" w:hint="cs"/>
          <w:rtl/>
        </w:rPr>
        <w:t xml:space="preserve"> עמ' 433) </w:t>
      </w:r>
      <w:r w:rsidRPr="00B448FE">
        <w:rPr>
          <w:rFonts w:cs="FrankRuehl"/>
          <w:rtl/>
        </w:rPr>
        <w:t>–</w:t>
      </w:r>
      <w:r w:rsidRPr="00B448FE">
        <w:rPr>
          <w:rFonts w:cs="FrankRuehl" w:hint="cs"/>
          <w:rtl/>
        </w:rPr>
        <w:t xml:space="preserve"> תיקון מס' 1 בסעיף 4</w:t>
      </w:r>
      <w:r>
        <w:rPr>
          <w:rFonts w:cs="FrankRuehl" w:hint="cs"/>
          <w:rtl/>
        </w:rPr>
        <w:t>6</w:t>
      </w:r>
      <w:r w:rsidRPr="00B448FE">
        <w:rPr>
          <w:rFonts w:cs="FrankRuehl" w:hint="cs"/>
          <w:rtl/>
        </w:rPr>
        <w:t xml:space="preserve"> לחוק ההתייעלות הכלכלית (תיקוני חקיקה ליישום המדיניות הכלכלית לשנות התקציב 2017 ו-2018), תשע"ז-2016; תחילתו ביום 27.4.2017.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C67A" w14:textId="77777777" w:rsidR="00726D7C" w:rsidRDefault="00726D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המשטרה (נכים ונספים), תשמ"א–1981</w:t>
    </w:r>
  </w:p>
  <w:p w14:paraId="0C4B2824" w14:textId="77777777" w:rsidR="00726D7C" w:rsidRDefault="00726D7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4F9D2F" w14:textId="77777777" w:rsidR="00726D7C" w:rsidRDefault="00726D7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D54A" w14:textId="77777777" w:rsidR="00726D7C" w:rsidRDefault="00726D7C" w:rsidP="00D071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המשטרה (נכים ונספים), תשמ"א</w:t>
    </w:r>
    <w:r w:rsidR="00D071F2">
      <w:rPr>
        <w:rFonts w:hAnsi="FrankRuehl" w:cs="FrankRuehl" w:hint="cs"/>
        <w:color w:val="000000"/>
        <w:sz w:val="28"/>
        <w:szCs w:val="28"/>
        <w:rtl/>
      </w:rPr>
      <w:t>-</w:t>
    </w:r>
    <w:r>
      <w:rPr>
        <w:rFonts w:hAnsi="FrankRuehl" w:cs="FrankRuehl"/>
        <w:color w:val="000000"/>
        <w:sz w:val="28"/>
        <w:szCs w:val="28"/>
        <w:rtl/>
      </w:rPr>
      <w:t>1981</w:t>
    </w:r>
  </w:p>
  <w:p w14:paraId="17CA3540" w14:textId="77777777" w:rsidR="00726D7C" w:rsidRDefault="00726D7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69A906" w14:textId="77777777" w:rsidR="00726D7C" w:rsidRDefault="00726D7C">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B2796"/>
    <w:multiLevelType w:val="hybridMultilevel"/>
    <w:tmpl w:val="54828E92"/>
    <w:lvl w:ilvl="0" w:tplc="87CE66AC">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59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24D6"/>
    <w:rsid w:val="0007275F"/>
    <w:rsid w:val="000A32DE"/>
    <w:rsid w:val="000B0F96"/>
    <w:rsid w:val="000B1352"/>
    <w:rsid w:val="000F227E"/>
    <w:rsid w:val="00185648"/>
    <w:rsid w:val="001D3A01"/>
    <w:rsid w:val="004D3E46"/>
    <w:rsid w:val="00522445"/>
    <w:rsid w:val="006C2189"/>
    <w:rsid w:val="00726D7C"/>
    <w:rsid w:val="009F4384"/>
    <w:rsid w:val="00A971ED"/>
    <w:rsid w:val="00B0746F"/>
    <w:rsid w:val="00B12F7A"/>
    <w:rsid w:val="00B448FE"/>
    <w:rsid w:val="00CB2FC2"/>
    <w:rsid w:val="00CB32DC"/>
    <w:rsid w:val="00D071F2"/>
    <w:rsid w:val="00D13B52"/>
    <w:rsid w:val="00D724D6"/>
    <w:rsid w:val="00E10445"/>
    <w:rsid w:val="00E730C8"/>
    <w:rsid w:val="00F16F24"/>
    <w:rsid w:val="00FD7B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FB7B6B0"/>
  <w15:chartTrackingRefBased/>
  <w15:docId w15:val="{662E48F1-F241-43AB-AA27-5CF8DD0A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071F2"/>
    <w:rPr>
      <w:sz w:val="20"/>
      <w:szCs w:val="20"/>
    </w:rPr>
  </w:style>
  <w:style w:type="character" w:styleId="a6">
    <w:name w:val="footnote reference"/>
    <w:basedOn w:val="a0"/>
    <w:semiHidden/>
    <w:rsid w:val="00D071F2"/>
    <w:rPr>
      <w:vertAlign w:val="superscript"/>
    </w:rPr>
  </w:style>
  <w:style w:type="character" w:customStyle="1" w:styleId="P000">
    <w:name w:val="P00 תו"/>
    <w:basedOn w:val="a0"/>
    <w:link w:val="P00"/>
    <w:rsid w:val="00B448FE"/>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083.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14/law-2592.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15/memshala-1083.pdf" TargetMode="External"/><Relationship Id="rId4" Type="http://schemas.openxmlformats.org/officeDocument/2006/relationships/webSettings" Target="webSettings.xml"/><Relationship Id="rId9" Type="http://schemas.openxmlformats.org/officeDocument/2006/relationships/hyperlink" Target="http://www.nevo.co.il/law_word/law14/law-259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592.pdf" TargetMode="External"/><Relationship Id="rId2" Type="http://schemas.openxmlformats.org/officeDocument/2006/relationships/hyperlink" Target="http://www.nevo.co.il/Law_word/law17/PROP-1472.pdf" TargetMode="External"/><Relationship Id="rId1" Type="http://schemas.openxmlformats.org/officeDocument/2006/relationships/hyperlink" Target="http://www.nevo.co.il/Law_word/law14/LAW-1015.pdf" TargetMode="External"/><Relationship Id="rId4" Type="http://schemas.openxmlformats.org/officeDocument/2006/relationships/hyperlink" Target="http://www.nevo.co.il/Law_word/law15/memshala-10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290</vt:lpstr>
    </vt:vector>
  </TitlesOfParts>
  <Company/>
  <LinksUpToDate>false</LinksUpToDate>
  <CharactersWithSpaces>5515</CharactersWithSpaces>
  <SharedDoc>false</SharedDoc>
  <HLinks>
    <vt:vector size="108" baseType="variant">
      <vt:variant>
        <vt:i4>1245280</vt:i4>
      </vt:variant>
      <vt:variant>
        <vt:i4>69</vt:i4>
      </vt:variant>
      <vt:variant>
        <vt:i4>0</vt:i4>
      </vt:variant>
      <vt:variant>
        <vt:i4>5</vt:i4>
      </vt:variant>
      <vt:variant>
        <vt:lpwstr>http://www.nevo.co.il/Law_word/law15/memshala-1083.pdf</vt:lpwstr>
      </vt:variant>
      <vt:variant>
        <vt:lpwstr/>
      </vt:variant>
      <vt:variant>
        <vt:i4>7602190</vt:i4>
      </vt:variant>
      <vt:variant>
        <vt:i4>66</vt:i4>
      </vt:variant>
      <vt:variant>
        <vt:i4>0</vt:i4>
      </vt:variant>
      <vt:variant>
        <vt:i4>5</vt:i4>
      </vt:variant>
      <vt:variant>
        <vt:lpwstr>http://www.nevo.co.il/law_word/law14/law-2592.pdf</vt:lpwstr>
      </vt:variant>
      <vt:variant>
        <vt:lpwstr/>
      </vt:variant>
      <vt:variant>
        <vt:i4>1245280</vt:i4>
      </vt:variant>
      <vt:variant>
        <vt:i4>63</vt:i4>
      </vt:variant>
      <vt:variant>
        <vt:i4>0</vt:i4>
      </vt:variant>
      <vt:variant>
        <vt:i4>5</vt:i4>
      </vt:variant>
      <vt:variant>
        <vt:lpwstr>http://www.nevo.co.il/Law_word/law15/memshala-1083.pdf</vt:lpwstr>
      </vt:variant>
      <vt:variant>
        <vt:lpwstr/>
      </vt:variant>
      <vt:variant>
        <vt:i4>7602190</vt:i4>
      </vt:variant>
      <vt:variant>
        <vt:i4>60</vt:i4>
      </vt:variant>
      <vt:variant>
        <vt:i4>0</vt:i4>
      </vt:variant>
      <vt:variant>
        <vt:i4>5</vt:i4>
      </vt:variant>
      <vt:variant>
        <vt:lpwstr>http://www.nevo.co.il/law_word/law14/law-2592.pdf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1245280</vt:i4>
      </vt:variant>
      <vt:variant>
        <vt:i4>9</vt:i4>
      </vt:variant>
      <vt:variant>
        <vt:i4>0</vt:i4>
      </vt:variant>
      <vt:variant>
        <vt:i4>5</vt:i4>
      </vt:variant>
      <vt:variant>
        <vt:lpwstr>http://www.nevo.co.il/Law_word/law15/memshala-1083.pdf</vt:lpwstr>
      </vt:variant>
      <vt:variant>
        <vt:lpwstr/>
      </vt:variant>
      <vt:variant>
        <vt:i4>7602190</vt:i4>
      </vt:variant>
      <vt:variant>
        <vt:i4>6</vt:i4>
      </vt:variant>
      <vt:variant>
        <vt:i4>0</vt:i4>
      </vt:variant>
      <vt:variant>
        <vt:i4>5</vt:i4>
      </vt:variant>
      <vt:variant>
        <vt:lpwstr>http://www.nevo.co.il/law_word/law14/law-2592.pdf</vt:lpwstr>
      </vt:variant>
      <vt:variant>
        <vt:lpwstr/>
      </vt:variant>
      <vt:variant>
        <vt:i4>983163</vt:i4>
      </vt:variant>
      <vt:variant>
        <vt:i4>3</vt:i4>
      </vt:variant>
      <vt:variant>
        <vt:i4>0</vt:i4>
      </vt:variant>
      <vt:variant>
        <vt:i4>5</vt:i4>
      </vt:variant>
      <vt:variant>
        <vt:lpwstr>http://www.nevo.co.il/Law_word/law17/PROP-1472.pdf</vt:lpwstr>
      </vt:variant>
      <vt:variant>
        <vt:lpwstr/>
      </vt:variant>
      <vt:variant>
        <vt:i4>8323084</vt:i4>
      </vt:variant>
      <vt:variant>
        <vt:i4>0</vt:i4>
      </vt:variant>
      <vt:variant>
        <vt:i4>0</vt:i4>
      </vt:variant>
      <vt:variant>
        <vt:i4>5</vt:i4>
      </vt:variant>
      <vt:variant>
        <vt:lpwstr>http://www.nevo.co.il/Law_word/law14/LAW-1015.pdf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290</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0290</vt:lpwstr>
  </property>
  <property fmtid="{D5CDD505-2E9C-101B-9397-08002B2CF9AE}" pid="3" name="CHNAME">
    <vt:lpwstr>משטרה</vt:lpwstr>
  </property>
  <property fmtid="{D5CDD505-2E9C-101B-9397-08002B2CF9AE}" pid="4" name="LAWNAME">
    <vt:lpwstr>חוק המשטרה (נכים ונספים), תשמ"א-1981</vt:lpwstr>
  </property>
  <property fmtid="{D5CDD505-2E9C-101B-9397-08002B2CF9AE}" pid="5" name="LAWNUMBER">
    <vt:lpwstr>0021</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נכים</vt:lpwstr>
  </property>
  <property fmtid="{D5CDD505-2E9C-101B-9397-08002B2CF9AE}" pid="10" name="NOSE41">
    <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המשטרה והשב"ס</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vo.co.il/law_word/law14/law-2592.pdf;‎רשומות - ספר חוקים#תוקן ס"ח תשע"ז מס' 2592 ‏‏#מיום 29.12.2016 עמ' 242  – תיקון מס' 1 בסעיף 46 לחוק ההתייעלות הכלכלית (תיקוני חקיקה ליישום המדיניות ‏הכלכלית לשנות התקציב 2017 ו-2018), תשע"ז-2016; תחילתו ביום 27.4.2017‏</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