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792" w:rsidRDefault="00EA0792">
      <w:pPr>
        <w:pStyle w:val="big-header"/>
        <w:ind w:left="0" w:right="1134"/>
        <w:rPr>
          <w:lang w:eastAsia="en-US"/>
        </w:rPr>
      </w:pPr>
      <w:r>
        <w:rPr>
          <w:rFonts w:hint="cs"/>
          <w:rtl/>
          <w:lang w:eastAsia="en-US"/>
        </w:rPr>
        <w:t>חוק הספנות (כלי שיט זר בשליטה של גורם ישראלי), תשס"ה-2005</w:t>
      </w:r>
    </w:p>
    <w:p w:rsidR="00202B56" w:rsidRPr="00202B56" w:rsidRDefault="00202B56" w:rsidP="00202B56">
      <w:pPr>
        <w:spacing w:line="320" w:lineRule="auto"/>
        <w:jc w:val="left"/>
        <w:rPr>
          <w:rFonts w:cs="FrankRuehl"/>
          <w:szCs w:val="26"/>
          <w:rtl/>
          <w:lang w:eastAsia="en-US"/>
        </w:rPr>
      </w:pPr>
    </w:p>
    <w:p w:rsidR="00202B56" w:rsidRDefault="00202B56" w:rsidP="00202B56">
      <w:pPr>
        <w:spacing w:line="320" w:lineRule="auto"/>
        <w:jc w:val="left"/>
        <w:rPr>
          <w:rtl/>
          <w:lang w:eastAsia="en-US"/>
        </w:rPr>
      </w:pPr>
    </w:p>
    <w:p w:rsidR="00202B56" w:rsidRPr="00202B56" w:rsidRDefault="00202B56" w:rsidP="00202B56">
      <w:pPr>
        <w:spacing w:line="320" w:lineRule="auto"/>
        <w:jc w:val="left"/>
        <w:rPr>
          <w:rFonts w:cs="Miriam"/>
          <w:szCs w:val="22"/>
          <w:rtl/>
          <w:lang w:eastAsia="en-US"/>
        </w:rPr>
      </w:pPr>
      <w:r w:rsidRPr="00202B56">
        <w:rPr>
          <w:rFonts w:cs="Miriam"/>
          <w:szCs w:val="22"/>
          <w:rtl/>
          <w:lang w:eastAsia="en-US"/>
        </w:rPr>
        <w:t>רשויות ומשפט מנהלי</w:t>
      </w:r>
      <w:r w:rsidRPr="00202B56">
        <w:rPr>
          <w:rFonts w:cs="FrankRuehl"/>
          <w:szCs w:val="26"/>
          <w:rtl/>
          <w:lang w:eastAsia="en-US"/>
        </w:rPr>
        <w:t xml:space="preserve"> – תשתיות – ספנות ונמלים – כלי שיט</w:t>
      </w:r>
    </w:p>
    <w:p w:rsidR="00EA0792" w:rsidRDefault="00EA0792">
      <w:pPr>
        <w:pStyle w:val="big-header"/>
        <w:ind w:left="0" w:right="1134"/>
        <w:rPr>
          <w:rStyle w:val="default"/>
          <w:rFonts w:cs="FrankRuehl" w:hint="cs"/>
          <w:rtl/>
          <w:lang w:eastAsia="en-US"/>
        </w:rPr>
      </w:pPr>
      <w:r>
        <w:rPr>
          <w:rFonts w:hint="cs"/>
          <w:rtl/>
          <w:lang w:eastAsia="en-US"/>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A0792">
        <w:tblPrEx>
          <w:tblCellMar>
            <w:top w:w="0" w:type="dxa"/>
            <w:bottom w:w="0" w:type="dxa"/>
          </w:tblCellMar>
        </w:tblPrEx>
        <w:trPr>
          <w:jc w:val="right"/>
        </w:trPr>
        <w:tc>
          <w:tcPr>
            <w:tcW w:w="850" w:type="dxa"/>
          </w:tcPr>
          <w:p w:rsidR="00EA0792" w:rsidRDefault="00EA079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Seif0</w:instrText>
            </w:r>
            <w:r>
              <w:rPr>
                <w:sz w:val="24"/>
                <w:rtl/>
                <w:lang w:eastAsia="en-US"/>
              </w:rPr>
              <w:instrText xml:space="preserve"> </w:instrText>
            </w:r>
            <w:r>
              <w:rPr>
                <w:sz w:val="24"/>
                <w:rtl/>
                <w:lang w:eastAsia="en-US"/>
              </w:rPr>
              <w:fldChar w:fldCharType="separate"/>
            </w:r>
            <w:r>
              <w:rPr>
                <w:sz w:val="24"/>
                <w:rtl/>
                <w:lang w:eastAsia="en-US"/>
              </w:rPr>
              <w:t>2</w:t>
            </w:r>
            <w:r>
              <w:rPr>
                <w:sz w:val="24"/>
                <w:rtl/>
                <w:lang w:eastAsia="en-US"/>
              </w:rPr>
              <w:fldChar w:fldCharType="end"/>
            </w:r>
          </w:p>
        </w:tc>
        <w:tc>
          <w:tcPr>
            <w:tcW w:w="567" w:type="dxa"/>
          </w:tcPr>
          <w:p w:rsidR="00EA0792" w:rsidRDefault="00EA0792">
            <w:pPr>
              <w:spacing w:line="240" w:lineRule="auto"/>
              <w:jc w:val="left"/>
              <w:rPr>
                <w:rFonts w:hint="cs"/>
                <w:sz w:val="24"/>
                <w:lang w:eastAsia="en-US"/>
              </w:rPr>
            </w:pPr>
            <w:hyperlink w:anchor="Seif0" w:tooltip="הגדרות" w:history="1">
              <w:r>
                <w:rPr>
                  <w:rStyle w:val="Hyperlink"/>
                </w:rPr>
                <w:t>Go</w:t>
              </w:r>
            </w:hyperlink>
          </w:p>
        </w:tc>
        <w:tc>
          <w:tcPr>
            <w:tcW w:w="5669" w:type="dxa"/>
          </w:tcPr>
          <w:p w:rsidR="00EA0792" w:rsidRDefault="00EA0792">
            <w:pPr>
              <w:spacing w:line="240" w:lineRule="auto"/>
              <w:jc w:val="left"/>
              <w:rPr>
                <w:sz w:val="24"/>
                <w:rtl/>
                <w:lang w:eastAsia="en-US"/>
              </w:rPr>
            </w:pPr>
            <w:r>
              <w:rPr>
                <w:sz w:val="24"/>
                <w:rtl/>
                <w:lang w:eastAsia="en-US"/>
              </w:rPr>
              <w:t>הגדרות</w:t>
            </w:r>
          </w:p>
        </w:tc>
        <w:tc>
          <w:tcPr>
            <w:tcW w:w="1247" w:type="dxa"/>
          </w:tcPr>
          <w:p w:rsidR="00EA0792" w:rsidRDefault="00EA0792">
            <w:pPr>
              <w:spacing w:line="240" w:lineRule="auto"/>
              <w:jc w:val="left"/>
              <w:rPr>
                <w:rFonts w:hint="cs"/>
                <w:sz w:val="24"/>
                <w:lang w:eastAsia="en-US"/>
              </w:rPr>
            </w:pPr>
            <w:r>
              <w:rPr>
                <w:sz w:val="24"/>
                <w:rtl/>
                <w:lang w:eastAsia="en-US"/>
              </w:rPr>
              <w:t xml:space="preserve">סעיף 1 </w:t>
            </w:r>
          </w:p>
        </w:tc>
      </w:tr>
      <w:tr w:rsidR="00EA0792">
        <w:tblPrEx>
          <w:tblCellMar>
            <w:top w:w="0" w:type="dxa"/>
            <w:bottom w:w="0" w:type="dxa"/>
          </w:tblCellMar>
        </w:tblPrEx>
        <w:trPr>
          <w:jc w:val="right"/>
        </w:trPr>
        <w:tc>
          <w:tcPr>
            <w:tcW w:w="850" w:type="dxa"/>
          </w:tcPr>
          <w:p w:rsidR="00EA0792" w:rsidRDefault="00EA079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Seif6</w:instrText>
            </w:r>
            <w:r>
              <w:rPr>
                <w:sz w:val="24"/>
                <w:rtl/>
                <w:lang w:eastAsia="en-US"/>
              </w:rPr>
              <w:instrText xml:space="preserve"> </w:instrText>
            </w:r>
            <w:r>
              <w:rPr>
                <w:sz w:val="24"/>
                <w:rtl/>
                <w:lang w:eastAsia="en-US"/>
              </w:rPr>
              <w:fldChar w:fldCharType="separate"/>
            </w:r>
            <w:r>
              <w:rPr>
                <w:sz w:val="24"/>
                <w:rtl/>
                <w:lang w:eastAsia="en-US"/>
              </w:rPr>
              <w:t>3</w:t>
            </w:r>
            <w:r>
              <w:rPr>
                <w:sz w:val="24"/>
                <w:rtl/>
                <w:lang w:eastAsia="en-US"/>
              </w:rPr>
              <w:fldChar w:fldCharType="end"/>
            </w:r>
          </w:p>
        </w:tc>
        <w:tc>
          <w:tcPr>
            <w:tcW w:w="567" w:type="dxa"/>
          </w:tcPr>
          <w:p w:rsidR="00EA0792" w:rsidRDefault="00EA0792">
            <w:pPr>
              <w:spacing w:line="240" w:lineRule="auto"/>
              <w:jc w:val="left"/>
              <w:rPr>
                <w:rFonts w:hint="cs"/>
                <w:sz w:val="24"/>
                <w:lang w:eastAsia="en-US"/>
              </w:rPr>
            </w:pPr>
            <w:hyperlink w:anchor="Seif6" w:tooltip="חובת רישום" w:history="1">
              <w:r>
                <w:rPr>
                  <w:rStyle w:val="Hyperlink"/>
                </w:rPr>
                <w:t>Go</w:t>
              </w:r>
            </w:hyperlink>
          </w:p>
        </w:tc>
        <w:tc>
          <w:tcPr>
            <w:tcW w:w="5669" w:type="dxa"/>
          </w:tcPr>
          <w:p w:rsidR="00EA0792" w:rsidRDefault="00EA0792">
            <w:pPr>
              <w:spacing w:line="240" w:lineRule="auto"/>
              <w:jc w:val="left"/>
              <w:rPr>
                <w:sz w:val="24"/>
                <w:rtl/>
                <w:lang w:eastAsia="en-US"/>
              </w:rPr>
            </w:pPr>
            <w:r>
              <w:rPr>
                <w:sz w:val="24"/>
                <w:rtl/>
                <w:lang w:eastAsia="en-US"/>
              </w:rPr>
              <w:t>חובת רישום</w:t>
            </w:r>
          </w:p>
        </w:tc>
        <w:tc>
          <w:tcPr>
            <w:tcW w:w="1247" w:type="dxa"/>
          </w:tcPr>
          <w:p w:rsidR="00EA0792" w:rsidRDefault="00EA0792">
            <w:pPr>
              <w:spacing w:line="240" w:lineRule="auto"/>
              <w:jc w:val="left"/>
              <w:rPr>
                <w:rFonts w:hint="cs"/>
                <w:sz w:val="24"/>
                <w:lang w:eastAsia="en-US"/>
              </w:rPr>
            </w:pPr>
            <w:r>
              <w:rPr>
                <w:sz w:val="24"/>
                <w:rtl/>
                <w:lang w:eastAsia="en-US"/>
              </w:rPr>
              <w:t xml:space="preserve">סעיף 2 </w:t>
            </w:r>
          </w:p>
        </w:tc>
      </w:tr>
      <w:tr w:rsidR="00EA0792">
        <w:tblPrEx>
          <w:tblCellMar>
            <w:top w:w="0" w:type="dxa"/>
            <w:bottom w:w="0" w:type="dxa"/>
          </w:tblCellMar>
        </w:tblPrEx>
        <w:trPr>
          <w:jc w:val="right"/>
        </w:trPr>
        <w:tc>
          <w:tcPr>
            <w:tcW w:w="850" w:type="dxa"/>
          </w:tcPr>
          <w:p w:rsidR="00EA0792" w:rsidRDefault="00EA079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w:instrText>
            </w:r>
            <w:r>
              <w:rPr>
                <w:sz w:val="24"/>
                <w:rtl/>
                <w:lang w:eastAsia="en-US"/>
              </w:rPr>
              <w:instrText xml:space="preserve"> </w:instrText>
            </w:r>
            <w:r>
              <w:rPr>
                <w:sz w:val="24"/>
                <w:rtl/>
                <w:lang w:eastAsia="en-US"/>
              </w:rPr>
              <w:fldChar w:fldCharType="separate"/>
            </w:r>
            <w:r>
              <w:rPr>
                <w:sz w:val="24"/>
                <w:rtl/>
                <w:lang w:eastAsia="en-US"/>
              </w:rPr>
              <w:t>3</w:t>
            </w:r>
            <w:r>
              <w:rPr>
                <w:sz w:val="24"/>
                <w:rtl/>
                <w:lang w:eastAsia="en-US"/>
              </w:rPr>
              <w:fldChar w:fldCharType="end"/>
            </w:r>
          </w:p>
        </w:tc>
        <w:tc>
          <w:tcPr>
            <w:tcW w:w="567" w:type="dxa"/>
          </w:tcPr>
          <w:p w:rsidR="00EA0792" w:rsidRDefault="00EA0792">
            <w:pPr>
              <w:spacing w:line="240" w:lineRule="auto"/>
              <w:jc w:val="left"/>
              <w:rPr>
                <w:rFonts w:hint="cs"/>
                <w:sz w:val="24"/>
                <w:lang w:eastAsia="en-US"/>
              </w:rPr>
            </w:pPr>
            <w:hyperlink w:anchor="Seif1" w:tooltip="פנקס הרישום והממונה על הרישום" w:history="1">
              <w:r>
                <w:rPr>
                  <w:rStyle w:val="Hyperlink"/>
                </w:rPr>
                <w:t>Go</w:t>
              </w:r>
            </w:hyperlink>
          </w:p>
        </w:tc>
        <w:tc>
          <w:tcPr>
            <w:tcW w:w="5669" w:type="dxa"/>
          </w:tcPr>
          <w:p w:rsidR="00EA0792" w:rsidRDefault="00EA0792">
            <w:pPr>
              <w:spacing w:line="240" w:lineRule="auto"/>
              <w:jc w:val="left"/>
              <w:rPr>
                <w:sz w:val="24"/>
                <w:rtl/>
                <w:lang w:eastAsia="en-US"/>
              </w:rPr>
            </w:pPr>
            <w:r>
              <w:rPr>
                <w:sz w:val="24"/>
                <w:rtl/>
                <w:lang w:eastAsia="en-US"/>
              </w:rPr>
              <w:t>פנקס הרישום והממונה על הרישום</w:t>
            </w:r>
          </w:p>
        </w:tc>
        <w:tc>
          <w:tcPr>
            <w:tcW w:w="1247" w:type="dxa"/>
          </w:tcPr>
          <w:p w:rsidR="00EA0792" w:rsidRDefault="00EA0792">
            <w:pPr>
              <w:spacing w:line="240" w:lineRule="auto"/>
              <w:jc w:val="left"/>
              <w:rPr>
                <w:rFonts w:hint="cs"/>
                <w:sz w:val="24"/>
                <w:lang w:eastAsia="en-US"/>
              </w:rPr>
            </w:pPr>
            <w:r>
              <w:rPr>
                <w:sz w:val="24"/>
                <w:rtl/>
                <w:lang w:eastAsia="en-US"/>
              </w:rPr>
              <w:t xml:space="preserve">סעיף 3 </w:t>
            </w:r>
          </w:p>
        </w:tc>
      </w:tr>
      <w:tr w:rsidR="00EA0792">
        <w:tblPrEx>
          <w:tblCellMar>
            <w:top w:w="0" w:type="dxa"/>
            <w:bottom w:w="0" w:type="dxa"/>
          </w:tblCellMar>
        </w:tblPrEx>
        <w:trPr>
          <w:jc w:val="right"/>
        </w:trPr>
        <w:tc>
          <w:tcPr>
            <w:tcW w:w="850" w:type="dxa"/>
          </w:tcPr>
          <w:p w:rsidR="00EA0792" w:rsidRDefault="00EA079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Seif7</w:instrText>
            </w:r>
            <w:r>
              <w:rPr>
                <w:sz w:val="24"/>
                <w:rtl/>
                <w:lang w:eastAsia="en-US"/>
              </w:rPr>
              <w:instrText xml:space="preserve"> </w:instrText>
            </w:r>
            <w:r>
              <w:rPr>
                <w:sz w:val="24"/>
                <w:rtl/>
                <w:lang w:eastAsia="en-US"/>
              </w:rPr>
              <w:fldChar w:fldCharType="separate"/>
            </w:r>
            <w:r>
              <w:rPr>
                <w:sz w:val="24"/>
                <w:rtl/>
                <w:lang w:eastAsia="en-US"/>
              </w:rPr>
              <w:t>3</w:t>
            </w:r>
            <w:r>
              <w:rPr>
                <w:sz w:val="24"/>
                <w:rtl/>
                <w:lang w:eastAsia="en-US"/>
              </w:rPr>
              <w:fldChar w:fldCharType="end"/>
            </w:r>
          </w:p>
        </w:tc>
        <w:tc>
          <w:tcPr>
            <w:tcW w:w="567" w:type="dxa"/>
          </w:tcPr>
          <w:p w:rsidR="00EA0792" w:rsidRDefault="00EA0792">
            <w:pPr>
              <w:spacing w:line="240" w:lineRule="auto"/>
              <w:jc w:val="left"/>
              <w:rPr>
                <w:rFonts w:hint="cs"/>
                <w:sz w:val="24"/>
                <w:lang w:eastAsia="en-US"/>
              </w:rPr>
            </w:pPr>
            <w:hyperlink w:anchor="Seif7" w:tooltip="הודעה על שליטה" w:history="1">
              <w:r>
                <w:rPr>
                  <w:rStyle w:val="Hyperlink"/>
                </w:rPr>
                <w:t>Go</w:t>
              </w:r>
            </w:hyperlink>
          </w:p>
        </w:tc>
        <w:tc>
          <w:tcPr>
            <w:tcW w:w="5669" w:type="dxa"/>
          </w:tcPr>
          <w:p w:rsidR="00EA0792" w:rsidRDefault="00EA0792">
            <w:pPr>
              <w:spacing w:line="240" w:lineRule="auto"/>
              <w:jc w:val="left"/>
              <w:rPr>
                <w:sz w:val="24"/>
                <w:rtl/>
                <w:lang w:eastAsia="en-US"/>
              </w:rPr>
            </w:pPr>
            <w:r>
              <w:rPr>
                <w:sz w:val="24"/>
                <w:rtl/>
                <w:lang w:eastAsia="en-US"/>
              </w:rPr>
              <w:t>הודעה על שליטה</w:t>
            </w:r>
          </w:p>
        </w:tc>
        <w:tc>
          <w:tcPr>
            <w:tcW w:w="1247" w:type="dxa"/>
          </w:tcPr>
          <w:p w:rsidR="00EA0792" w:rsidRDefault="00EA0792">
            <w:pPr>
              <w:spacing w:line="240" w:lineRule="auto"/>
              <w:jc w:val="left"/>
              <w:rPr>
                <w:rFonts w:hint="cs"/>
                <w:sz w:val="24"/>
                <w:lang w:eastAsia="en-US"/>
              </w:rPr>
            </w:pPr>
            <w:r>
              <w:rPr>
                <w:sz w:val="24"/>
                <w:rtl/>
                <w:lang w:eastAsia="en-US"/>
              </w:rPr>
              <w:t xml:space="preserve">סעיף 4 </w:t>
            </w:r>
          </w:p>
        </w:tc>
      </w:tr>
      <w:tr w:rsidR="00EA0792">
        <w:tblPrEx>
          <w:tblCellMar>
            <w:top w:w="0" w:type="dxa"/>
            <w:bottom w:w="0" w:type="dxa"/>
          </w:tblCellMar>
        </w:tblPrEx>
        <w:trPr>
          <w:jc w:val="right"/>
        </w:trPr>
        <w:tc>
          <w:tcPr>
            <w:tcW w:w="850" w:type="dxa"/>
          </w:tcPr>
          <w:p w:rsidR="00EA0792" w:rsidRDefault="00EA079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Seif2</w:instrText>
            </w:r>
            <w:r>
              <w:rPr>
                <w:sz w:val="24"/>
                <w:rtl/>
                <w:lang w:eastAsia="en-US"/>
              </w:rPr>
              <w:instrText xml:space="preserve"> </w:instrText>
            </w:r>
            <w:r>
              <w:rPr>
                <w:sz w:val="24"/>
                <w:rtl/>
                <w:lang w:eastAsia="en-US"/>
              </w:rPr>
              <w:fldChar w:fldCharType="separate"/>
            </w:r>
            <w:r>
              <w:rPr>
                <w:sz w:val="24"/>
                <w:rtl/>
                <w:lang w:eastAsia="en-US"/>
              </w:rPr>
              <w:t>3</w:t>
            </w:r>
            <w:r>
              <w:rPr>
                <w:sz w:val="24"/>
                <w:rtl/>
                <w:lang w:eastAsia="en-US"/>
              </w:rPr>
              <w:fldChar w:fldCharType="end"/>
            </w:r>
          </w:p>
        </w:tc>
        <w:tc>
          <w:tcPr>
            <w:tcW w:w="567" w:type="dxa"/>
          </w:tcPr>
          <w:p w:rsidR="00EA0792" w:rsidRDefault="00EA0792">
            <w:pPr>
              <w:spacing w:line="240" w:lineRule="auto"/>
              <w:jc w:val="left"/>
              <w:rPr>
                <w:rFonts w:hint="cs"/>
                <w:sz w:val="24"/>
                <w:lang w:eastAsia="en-US"/>
              </w:rPr>
            </w:pPr>
            <w:hyperlink w:anchor="Seif2" w:tooltip="סמכויות הממונה על הרישום" w:history="1">
              <w:r>
                <w:rPr>
                  <w:rStyle w:val="Hyperlink"/>
                </w:rPr>
                <w:t>Go</w:t>
              </w:r>
            </w:hyperlink>
          </w:p>
        </w:tc>
        <w:tc>
          <w:tcPr>
            <w:tcW w:w="5669" w:type="dxa"/>
          </w:tcPr>
          <w:p w:rsidR="00EA0792" w:rsidRDefault="00EA0792">
            <w:pPr>
              <w:spacing w:line="240" w:lineRule="auto"/>
              <w:jc w:val="left"/>
              <w:rPr>
                <w:sz w:val="24"/>
                <w:rtl/>
                <w:lang w:eastAsia="en-US"/>
              </w:rPr>
            </w:pPr>
            <w:r>
              <w:rPr>
                <w:sz w:val="24"/>
                <w:rtl/>
                <w:lang w:eastAsia="en-US"/>
              </w:rPr>
              <w:t>סמכויות הממונה על הרישום</w:t>
            </w:r>
          </w:p>
        </w:tc>
        <w:tc>
          <w:tcPr>
            <w:tcW w:w="1247" w:type="dxa"/>
          </w:tcPr>
          <w:p w:rsidR="00EA0792" w:rsidRDefault="00EA0792">
            <w:pPr>
              <w:spacing w:line="240" w:lineRule="auto"/>
              <w:jc w:val="left"/>
              <w:rPr>
                <w:rFonts w:hint="cs"/>
                <w:sz w:val="24"/>
                <w:lang w:eastAsia="en-US"/>
              </w:rPr>
            </w:pPr>
            <w:r>
              <w:rPr>
                <w:sz w:val="24"/>
                <w:rtl/>
                <w:lang w:eastAsia="en-US"/>
              </w:rPr>
              <w:t xml:space="preserve">סעיף 5 </w:t>
            </w:r>
          </w:p>
        </w:tc>
      </w:tr>
      <w:tr w:rsidR="00EA0792">
        <w:tblPrEx>
          <w:tblCellMar>
            <w:top w:w="0" w:type="dxa"/>
            <w:bottom w:w="0" w:type="dxa"/>
          </w:tblCellMar>
        </w:tblPrEx>
        <w:trPr>
          <w:jc w:val="right"/>
        </w:trPr>
        <w:tc>
          <w:tcPr>
            <w:tcW w:w="850" w:type="dxa"/>
          </w:tcPr>
          <w:p w:rsidR="00EA0792" w:rsidRDefault="00EA079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Seif8</w:instrText>
            </w:r>
            <w:r>
              <w:rPr>
                <w:sz w:val="24"/>
                <w:rtl/>
                <w:lang w:eastAsia="en-US"/>
              </w:rPr>
              <w:instrText xml:space="preserve"> </w:instrText>
            </w:r>
            <w:r>
              <w:rPr>
                <w:sz w:val="24"/>
                <w:rtl/>
                <w:lang w:eastAsia="en-US"/>
              </w:rPr>
              <w:fldChar w:fldCharType="separate"/>
            </w:r>
            <w:r>
              <w:rPr>
                <w:sz w:val="24"/>
                <w:rtl/>
                <w:lang w:eastAsia="en-US"/>
              </w:rPr>
              <w:t>3</w:t>
            </w:r>
            <w:r>
              <w:rPr>
                <w:sz w:val="24"/>
                <w:rtl/>
                <w:lang w:eastAsia="en-US"/>
              </w:rPr>
              <w:fldChar w:fldCharType="end"/>
            </w:r>
          </w:p>
        </w:tc>
        <w:tc>
          <w:tcPr>
            <w:tcW w:w="567" w:type="dxa"/>
          </w:tcPr>
          <w:p w:rsidR="00EA0792" w:rsidRDefault="00EA0792">
            <w:pPr>
              <w:spacing w:line="240" w:lineRule="auto"/>
              <w:jc w:val="left"/>
              <w:rPr>
                <w:rFonts w:hint="cs"/>
                <w:sz w:val="24"/>
                <w:lang w:eastAsia="en-US"/>
              </w:rPr>
            </w:pPr>
            <w:hyperlink w:anchor="Seif8" w:tooltip="תחולת חוק הספנות" w:history="1">
              <w:r>
                <w:rPr>
                  <w:rStyle w:val="Hyperlink"/>
                </w:rPr>
                <w:t>Go</w:t>
              </w:r>
            </w:hyperlink>
          </w:p>
        </w:tc>
        <w:tc>
          <w:tcPr>
            <w:tcW w:w="5669" w:type="dxa"/>
          </w:tcPr>
          <w:p w:rsidR="00EA0792" w:rsidRDefault="00EA0792">
            <w:pPr>
              <w:spacing w:line="240" w:lineRule="auto"/>
              <w:jc w:val="left"/>
              <w:rPr>
                <w:sz w:val="24"/>
                <w:rtl/>
                <w:lang w:eastAsia="en-US"/>
              </w:rPr>
            </w:pPr>
            <w:r>
              <w:rPr>
                <w:sz w:val="24"/>
                <w:rtl/>
                <w:lang w:eastAsia="en-US"/>
              </w:rPr>
              <w:t>תחולת חוק הספנות</w:t>
            </w:r>
          </w:p>
        </w:tc>
        <w:tc>
          <w:tcPr>
            <w:tcW w:w="1247" w:type="dxa"/>
          </w:tcPr>
          <w:p w:rsidR="00EA0792" w:rsidRDefault="00EA0792">
            <w:pPr>
              <w:spacing w:line="240" w:lineRule="auto"/>
              <w:jc w:val="left"/>
              <w:rPr>
                <w:rFonts w:hint="cs"/>
                <w:sz w:val="24"/>
                <w:lang w:eastAsia="en-US"/>
              </w:rPr>
            </w:pPr>
            <w:r>
              <w:rPr>
                <w:sz w:val="24"/>
                <w:rtl/>
                <w:lang w:eastAsia="en-US"/>
              </w:rPr>
              <w:t xml:space="preserve">סעיף 6 </w:t>
            </w:r>
          </w:p>
        </w:tc>
      </w:tr>
      <w:tr w:rsidR="00EA0792">
        <w:tblPrEx>
          <w:tblCellMar>
            <w:top w:w="0" w:type="dxa"/>
            <w:bottom w:w="0" w:type="dxa"/>
          </w:tblCellMar>
        </w:tblPrEx>
        <w:trPr>
          <w:jc w:val="right"/>
        </w:trPr>
        <w:tc>
          <w:tcPr>
            <w:tcW w:w="850" w:type="dxa"/>
          </w:tcPr>
          <w:p w:rsidR="00EA0792" w:rsidRDefault="00EA079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Seif9</w:instrText>
            </w:r>
            <w:r>
              <w:rPr>
                <w:sz w:val="24"/>
                <w:rtl/>
                <w:lang w:eastAsia="en-US"/>
              </w:rPr>
              <w:instrText xml:space="preserve"> </w:instrText>
            </w:r>
            <w:r>
              <w:rPr>
                <w:sz w:val="24"/>
                <w:rtl/>
                <w:lang w:eastAsia="en-US"/>
              </w:rPr>
              <w:fldChar w:fldCharType="separate"/>
            </w:r>
            <w:r>
              <w:rPr>
                <w:sz w:val="24"/>
                <w:rtl/>
                <w:lang w:eastAsia="en-US"/>
              </w:rPr>
              <w:t>3</w:t>
            </w:r>
            <w:r>
              <w:rPr>
                <w:sz w:val="24"/>
                <w:rtl/>
                <w:lang w:eastAsia="en-US"/>
              </w:rPr>
              <w:fldChar w:fldCharType="end"/>
            </w:r>
          </w:p>
        </w:tc>
        <w:tc>
          <w:tcPr>
            <w:tcW w:w="567" w:type="dxa"/>
          </w:tcPr>
          <w:p w:rsidR="00EA0792" w:rsidRDefault="00EA0792">
            <w:pPr>
              <w:spacing w:line="240" w:lineRule="auto"/>
              <w:jc w:val="left"/>
              <w:rPr>
                <w:rFonts w:hint="cs"/>
                <w:sz w:val="24"/>
                <w:lang w:eastAsia="en-US"/>
              </w:rPr>
            </w:pPr>
            <w:hyperlink w:anchor="Seif9" w:tooltip="הפסקת השליטה" w:history="1">
              <w:r>
                <w:rPr>
                  <w:rStyle w:val="Hyperlink"/>
                </w:rPr>
                <w:t>Go</w:t>
              </w:r>
            </w:hyperlink>
          </w:p>
        </w:tc>
        <w:tc>
          <w:tcPr>
            <w:tcW w:w="5669" w:type="dxa"/>
          </w:tcPr>
          <w:p w:rsidR="00EA0792" w:rsidRDefault="00EA0792">
            <w:pPr>
              <w:spacing w:line="240" w:lineRule="auto"/>
              <w:jc w:val="left"/>
              <w:rPr>
                <w:sz w:val="24"/>
                <w:rtl/>
                <w:lang w:eastAsia="en-US"/>
              </w:rPr>
            </w:pPr>
            <w:r>
              <w:rPr>
                <w:sz w:val="24"/>
                <w:rtl/>
                <w:lang w:eastAsia="en-US"/>
              </w:rPr>
              <w:t>הפסקת השליטה</w:t>
            </w:r>
          </w:p>
        </w:tc>
        <w:tc>
          <w:tcPr>
            <w:tcW w:w="1247" w:type="dxa"/>
          </w:tcPr>
          <w:p w:rsidR="00EA0792" w:rsidRDefault="00EA0792">
            <w:pPr>
              <w:spacing w:line="240" w:lineRule="auto"/>
              <w:jc w:val="left"/>
              <w:rPr>
                <w:rFonts w:hint="cs"/>
                <w:sz w:val="24"/>
                <w:lang w:eastAsia="en-US"/>
              </w:rPr>
            </w:pPr>
            <w:r>
              <w:rPr>
                <w:sz w:val="24"/>
                <w:rtl/>
                <w:lang w:eastAsia="en-US"/>
              </w:rPr>
              <w:t xml:space="preserve">סעיף 7 </w:t>
            </w:r>
          </w:p>
        </w:tc>
      </w:tr>
      <w:tr w:rsidR="00EA0792">
        <w:tblPrEx>
          <w:tblCellMar>
            <w:top w:w="0" w:type="dxa"/>
            <w:bottom w:w="0" w:type="dxa"/>
          </w:tblCellMar>
        </w:tblPrEx>
        <w:trPr>
          <w:jc w:val="right"/>
        </w:trPr>
        <w:tc>
          <w:tcPr>
            <w:tcW w:w="850" w:type="dxa"/>
          </w:tcPr>
          <w:p w:rsidR="00EA0792" w:rsidRDefault="00EA079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Seif3</w:instrText>
            </w:r>
            <w:r>
              <w:rPr>
                <w:sz w:val="24"/>
                <w:rtl/>
                <w:lang w:eastAsia="en-US"/>
              </w:rPr>
              <w:instrText xml:space="preserve"> </w:instrText>
            </w:r>
            <w:r>
              <w:rPr>
                <w:sz w:val="24"/>
                <w:rtl/>
                <w:lang w:eastAsia="en-US"/>
              </w:rPr>
              <w:fldChar w:fldCharType="separate"/>
            </w:r>
            <w:r>
              <w:rPr>
                <w:sz w:val="24"/>
                <w:rtl/>
                <w:lang w:eastAsia="en-US"/>
              </w:rPr>
              <w:t>3</w:t>
            </w:r>
            <w:r>
              <w:rPr>
                <w:sz w:val="24"/>
                <w:rtl/>
                <w:lang w:eastAsia="en-US"/>
              </w:rPr>
              <w:fldChar w:fldCharType="end"/>
            </w:r>
          </w:p>
        </w:tc>
        <w:tc>
          <w:tcPr>
            <w:tcW w:w="567" w:type="dxa"/>
          </w:tcPr>
          <w:p w:rsidR="00EA0792" w:rsidRDefault="00EA0792">
            <w:pPr>
              <w:spacing w:line="240" w:lineRule="auto"/>
              <w:jc w:val="left"/>
              <w:rPr>
                <w:rFonts w:hint="cs"/>
                <w:sz w:val="24"/>
                <w:lang w:eastAsia="en-US"/>
              </w:rPr>
            </w:pPr>
            <w:hyperlink w:anchor="Seif3" w:tooltip="עונשין" w:history="1">
              <w:r>
                <w:rPr>
                  <w:rStyle w:val="Hyperlink"/>
                </w:rPr>
                <w:t>Go</w:t>
              </w:r>
            </w:hyperlink>
          </w:p>
        </w:tc>
        <w:tc>
          <w:tcPr>
            <w:tcW w:w="5669" w:type="dxa"/>
          </w:tcPr>
          <w:p w:rsidR="00EA0792" w:rsidRDefault="00EA0792">
            <w:pPr>
              <w:spacing w:line="240" w:lineRule="auto"/>
              <w:jc w:val="left"/>
              <w:rPr>
                <w:sz w:val="24"/>
                <w:rtl/>
                <w:lang w:eastAsia="en-US"/>
              </w:rPr>
            </w:pPr>
            <w:r>
              <w:rPr>
                <w:sz w:val="24"/>
                <w:rtl/>
                <w:lang w:eastAsia="en-US"/>
              </w:rPr>
              <w:t>עונשין</w:t>
            </w:r>
          </w:p>
        </w:tc>
        <w:tc>
          <w:tcPr>
            <w:tcW w:w="1247" w:type="dxa"/>
          </w:tcPr>
          <w:p w:rsidR="00EA0792" w:rsidRDefault="00EA0792">
            <w:pPr>
              <w:spacing w:line="240" w:lineRule="auto"/>
              <w:jc w:val="left"/>
              <w:rPr>
                <w:rFonts w:hint="cs"/>
                <w:sz w:val="24"/>
                <w:lang w:eastAsia="en-US"/>
              </w:rPr>
            </w:pPr>
            <w:r>
              <w:rPr>
                <w:sz w:val="24"/>
                <w:rtl/>
                <w:lang w:eastAsia="en-US"/>
              </w:rPr>
              <w:t xml:space="preserve">סעיף 8 </w:t>
            </w:r>
          </w:p>
        </w:tc>
      </w:tr>
      <w:tr w:rsidR="00EA0792">
        <w:tblPrEx>
          <w:tblCellMar>
            <w:top w:w="0" w:type="dxa"/>
            <w:bottom w:w="0" w:type="dxa"/>
          </w:tblCellMar>
        </w:tblPrEx>
        <w:trPr>
          <w:jc w:val="right"/>
        </w:trPr>
        <w:tc>
          <w:tcPr>
            <w:tcW w:w="850" w:type="dxa"/>
          </w:tcPr>
          <w:p w:rsidR="00EA0792" w:rsidRDefault="00EA079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Seif4</w:instrText>
            </w:r>
            <w:r>
              <w:rPr>
                <w:sz w:val="24"/>
                <w:rtl/>
                <w:lang w:eastAsia="en-US"/>
              </w:rPr>
              <w:instrText xml:space="preserve"> </w:instrText>
            </w:r>
            <w:r>
              <w:rPr>
                <w:sz w:val="24"/>
                <w:rtl/>
                <w:lang w:eastAsia="en-US"/>
              </w:rPr>
              <w:fldChar w:fldCharType="separate"/>
            </w:r>
            <w:r>
              <w:rPr>
                <w:sz w:val="24"/>
                <w:rtl/>
                <w:lang w:eastAsia="en-US"/>
              </w:rPr>
              <w:t>3</w:t>
            </w:r>
            <w:r>
              <w:rPr>
                <w:sz w:val="24"/>
                <w:rtl/>
                <w:lang w:eastAsia="en-US"/>
              </w:rPr>
              <w:fldChar w:fldCharType="end"/>
            </w:r>
          </w:p>
        </w:tc>
        <w:tc>
          <w:tcPr>
            <w:tcW w:w="567" w:type="dxa"/>
          </w:tcPr>
          <w:p w:rsidR="00EA0792" w:rsidRDefault="00EA0792">
            <w:pPr>
              <w:spacing w:line="240" w:lineRule="auto"/>
              <w:jc w:val="left"/>
              <w:rPr>
                <w:rFonts w:hint="cs"/>
                <w:sz w:val="24"/>
                <w:lang w:eastAsia="en-US"/>
              </w:rPr>
            </w:pPr>
            <w:hyperlink w:anchor="Seif4" w:tooltip="שמירת סמכויות וחובות" w:history="1">
              <w:r>
                <w:rPr>
                  <w:rStyle w:val="Hyperlink"/>
                </w:rPr>
                <w:t>Go</w:t>
              </w:r>
            </w:hyperlink>
          </w:p>
        </w:tc>
        <w:tc>
          <w:tcPr>
            <w:tcW w:w="5669" w:type="dxa"/>
          </w:tcPr>
          <w:p w:rsidR="00EA0792" w:rsidRDefault="00EA0792">
            <w:pPr>
              <w:spacing w:line="240" w:lineRule="auto"/>
              <w:jc w:val="left"/>
              <w:rPr>
                <w:sz w:val="24"/>
                <w:rtl/>
                <w:lang w:eastAsia="en-US"/>
              </w:rPr>
            </w:pPr>
            <w:r>
              <w:rPr>
                <w:sz w:val="24"/>
                <w:rtl/>
                <w:lang w:eastAsia="en-US"/>
              </w:rPr>
              <w:t>שמירת סמכויות וחובות</w:t>
            </w:r>
          </w:p>
        </w:tc>
        <w:tc>
          <w:tcPr>
            <w:tcW w:w="1247" w:type="dxa"/>
          </w:tcPr>
          <w:p w:rsidR="00EA0792" w:rsidRDefault="00EA0792">
            <w:pPr>
              <w:spacing w:line="240" w:lineRule="auto"/>
              <w:jc w:val="left"/>
              <w:rPr>
                <w:rFonts w:hint="cs"/>
                <w:sz w:val="24"/>
                <w:lang w:eastAsia="en-US"/>
              </w:rPr>
            </w:pPr>
            <w:r>
              <w:rPr>
                <w:sz w:val="24"/>
                <w:rtl/>
                <w:lang w:eastAsia="en-US"/>
              </w:rPr>
              <w:t xml:space="preserve">סעיף 9 </w:t>
            </w:r>
          </w:p>
        </w:tc>
      </w:tr>
      <w:tr w:rsidR="00EA0792">
        <w:tblPrEx>
          <w:tblCellMar>
            <w:top w:w="0" w:type="dxa"/>
            <w:bottom w:w="0" w:type="dxa"/>
          </w:tblCellMar>
        </w:tblPrEx>
        <w:trPr>
          <w:jc w:val="right"/>
        </w:trPr>
        <w:tc>
          <w:tcPr>
            <w:tcW w:w="850" w:type="dxa"/>
          </w:tcPr>
          <w:p w:rsidR="00EA0792" w:rsidRDefault="00EA079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Seif10</w:instrText>
            </w:r>
            <w:r>
              <w:rPr>
                <w:sz w:val="24"/>
                <w:rtl/>
                <w:lang w:eastAsia="en-US"/>
              </w:rPr>
              <w:instrText xml:space="preserve"> </w:instrText>
            </w:r>
            <w:r>
              <w:rPr>
                <w:sz w:val="24"/>
                <w:rtl/>
                <w:lang w:eastAsia="en-US"/>
              </w:rPr>
              <w:fldChar w:fldCharType="separate"/>
            </w:r>
            <w:r>
              <w:rPr>
                <w:sz w:val="24"/>
                <w:rtl/>
                <w:lang w:eastAsia="en-US"/>
              </w:rPr>
              <w:t>3</w:t>
            </w:r>
            <w:r>
              <w:rPr>
                <w:sz w:val="24"/>
                <w:rtl/>
                <w:lang w:eastAsia="en-US"/>
              </w:rPr>
              <w:fldChar w:fldCharType="end"/>
            </w:r>
          </w:p>
        </w:tc>
        <w:tc>
          <w:tcPr>
            <w:tcW w:w="567" w:type="dxa"/>
          </w:tcPr>
          <w:p w:rsidR="00EA0792" w:rsidRDefault="00EA0792">
            <w:pPr>
              <w:spacing w:line="240" w:lineRule="auto"/>
              <w:jc w:val="left"/>
              <w:rPr>
                <w:rFonts w:hint="cs"/>
                <w:sz w:val="24"/>
                <w:lang w:eastAsia="en-US"/>
              </w:rPr>
            </w:pPr>
            <w:hyperlink w:anchor="Seif10" w:tooltip="ביצוע ותקנות" w:history="1">
              <w:r>
                <w:rPr>
                  <w:rStyle w:val="Hyperlink"/>
                </w:rPr>
                <w:t>Go</w:t>
              </w:r>
            </w:hyperlink>
          </w:p>
        </w:tc>
        <w:tc>
          <w:tcPr>
            <w:tcW w:w="5669" w:type="dxa"/>
          </w:tcPr>
          <w:p w:rsidR="00EA0792" w:rsidRDefault="00EA0792">
            <w:pPr>
              <w:spacing w:line="240" w:lineRule="auto"/>
              <w:jc w:val="left"/>
              <w:rPr>
                <w:sz w:val="24"/>
                <w:rtl/>
                <w:lang w:eastAsia="en-US"/>
              </w:rPr>
            </w:pPr>
            <w:r>
              <w:rPr>
                <w:sz w:val="24"/>
                <w:rtl/>
                <w:lang w:eastAsia="en-US"/>
              </w:rPr>
              <w:t>ביצוע ותקנות</w:t>
            </w:r>
          </w:p>
        </w:tc>
        <w:tc>
          <w:tcPr>
            <w:tcW w:w="1247" w:type="dxa"/>
          </w:tcPr>
          <w:p w:rsidR="00EA0792" w:rsidRDefault="00EA0792">
            <w:pPr>
              <w:spacing w:line="240" w:lineRule="auto"/>
              <w:jc w:val="left"/>
              <w:rPr>
                <w:rFonts w:hint="cs"/>
                <w:sz w:val="24"/>
                <w:lang w:eastAsia="en-US"/>
              </w:rPr>
            </w:pPr>
            <w:r>
              <w:rPr>
                <w:sz w:val="24"/>
                <w:rtl/>
                <w:lang w:eastAsia="en-US"/>
              </w:rPr>
              <w:t xml:space="preserve">סעיף 10 </w:t>
            </w:r>
          </w:p>
        </w:tc>
      </w:tr>
      <w:tr w:rsidR="00EA0792">
        <w:tblPrEx>
          <w:tblCellMar>
            <w:top w:w="0" w:type="dxa"/>
            <w:bottom w:w="0" w:type="dxa"/>
          </w:tblCellMar>
        </w:tblPrEx>
        <w:trPr>
          <w:jc w:val="right"/>
        </w:trPr>
        <w:tc>
          <w:tcPr>
            <w:tcW w:w="850" w:type="dxa"/>
          </w:tcPr>
          <w:p w:rsidR="00EA0792" w:rsidRDefault="00EA079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Seif5</w:instrText>
            </w:r>
            <w:r>
              <w:rPr>
                <w:sz w:val="24"/>
                <w:rtl/>
                <w:lang w:eastAsia="en-US"/>
              </w:rPr>
              <w:instrText xml:space="preserve"> </w:instrText>
            </w:r>
            <w:r>
              <w:rPr>
                <w:sz w:val="24"/>
                <w:rtl/>
                <w:lang w:eastAsia="en-US"/>
              </w:rPr>
              <w:fldChar w:fldCharType="separate"/>
            </w:r>
            <w:r>
              <w:rPr>
                <w:sz w:val="24"/>
                <w:rtl/>
                <w:lang w:eastAsia="en-US"/>
              </w:rPr>
              <w:t>4</w:t>
            </w:r>
            <w:r>
              <w:rPr>
                <w:sz w:val="24"/>
                <w:rtl/>
                <w:lang w:eastAsia="en-US"/>
              </w:rPr>
              <w:fldChar w:fldCharType="end"/>
            </w:r>
          </w:p>
        </w:tc>
        <w:tc>
          <w:tcPr>
            <w:tcW w:w="567" w:type="dxa"/>
          </w:tcPr>
          <w:p w:rsidR="00EA0792" w:rsidRDefault="00EA0792">
            <w:pPr>
              <w:spacing w:line="240" w:lineRule="auto"/>
              <w:jc w:val="left"/>
              <w:rPr>
                <w:rFonts w:hint="cs"/>
                <w:sz w:val="24"/>
                <w:lang w:eastAsia="en-US"/>
              </w:rPr>
            </w:pPr>
            <w:hyperlink w:anchor="Seif5" w:tooltip="והוראת מעבר" w:history="1">
              <w:r>
                <w:rPr>
                  <w:rStyle w:val="Hyperlink"/>
                </w:rPr>
                <w:t>Go</w:t>
              </w:r>
            </w:hyperlink>
          </w:p>
        </w:tc>
        <w:tc>
          <w:tcPr>
            <w:tcW w:w="5669" w:type="dxa"/>
          </w:tcPr>
          <w:p w:rsidR="00EA0792" w:rsidRDefault="00EA0792">
            <w:pPr>
              <w:spacing w:line="240" w:lineRule="auto"/>
              <w:jc w:val="left"/>
              <w:rPr>
                <w:sz w:val="24"/>
                <w:rtl/>
                <w:lang w:eastAsia="en-US"/>
              </w:rPr>
            </w:pPr>
            <w:r>
              <w:rPr>
                <w:sz w:val="24"/>
                <w:rtl/>
                <w:lang w:eastAsia="en-US"/>
              </w:rPr>
              <w:t>והוראת מעבר</w:t>
            </w:r>
          </w:p>
        </w:tc>
        <w:tc>
          <w:tcPr>
            <w:tcW w:w="1247" w:type="dxa"/>
          </w:tcPr>
          <w:p w:rsidR="00EA0792" w:rsidRDefault="00EA0792">
            <w:pPr>
              <w:spacing w:line="240" w:lineRule="auto"/>
              <w:jc w:val="left"/>
              <w:rPr>
                <w:rFonts w:hint="cs"/>
                <w:sz w:val="24"/>
                <w:lang w:eastAsia="en-US"/>
              </w:rPr>
            </w:pPr>
            <w:r>
              <w:rPr>
                <w:sz w:val="24"/>
                <w:rtl/>
                <w:lang w:eastAsia="en-US"/>
              </w:rPr>
              <w:t xml:space="preserve">סעיף 11 </w:t>
            </w:r>
          </w:p>
        </w:tc>
      </w:tr>
      <w:tr w:rsidR="00EA0792">
        <w:tblPrEx>
          <w:tblCellMar>
            <w:top w:w="0" w:type="dxa"/>
            <w:bottom w:w="0" w:type="dxa"/>
          </w:tblCellMar>
        </w:tblPrEx>
        <w:trPr>
          <w:jc w:val="right"/>
        </w:trPr>
        <w:tc>
          <w:tcPr>
            <w:tcW w:w="850" w:type="dxa"/>
          </w:tcPr>
          <w:p w:rsidR="00EA0792" w:rsidRDefault="00EA079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Seif11</w:instrText>
            </w:r>
            <w:r>
              <w:rPr>
                <w:sz w:val="24"/>
                <w:rtl/>
                <w:lang w:eastAsia="en-US"/>
              </w:rPr>
              <w:instrText xml:space="preserve"> </w:instrText>
            </w:r>
            <w:r>
              <w:rPr>
                <w:sz w:val="24"/>
                <w:rtl/>
                <w:lang w:eastAsia="en-US"/>
              </w:rPr>
              <w:fldChar w:fldCharType="separate"/>
            </w:r>
            <w:r>
              <w:rPr>
                <w:sz w:val="24"/>
                <w:rtl/>
                <w:lang w:eastAsia="en-US"/>
              </w:rPr>
              <w:t>4</w:t>
            </w:r>
            <w:r>
              <w:rPr>
                <w:sz w:val="24"/>
                <w:rtl/>
                <w:lang w:eastAsia="en-US"/>
              </w:rPr>
              <w:fldChar w:fldCharType="end"/>
            </w:r>
          </w:p>
        </w:tc>
        <w:tc>
          <w:tcPr>
            <w:tcW w:w="567" w:type="dxa"/>
          </w:tcPr>
          <w:p w:rsidR="00EA0792" w:rsidRDefault="00EA0792">
            <w:pPr>
              <w:spacing w:line="240" w:lineRule="auto"/>
              <w:jc w:val="left"/>
              <w:rPr>
                <w:rFonts w:hint="cs"/>
                <w:sz w:val="24"/>
                <w:lang w:eastAsia="en-US"/>
              </w:rPr>
            </w:pPr>
            <w:hyperlink w:anchor="Seif11" w:tooltip="תיקון חוק הספנות" w:history="1">
              <w:r>
                <w:rPr>
                  <w:rStyle w:val="Hyperlink"/>
                </w:rPr>
                <w:t>Go</w:t>
              </w:r>
            </w:hyperlink>
          </w:p>
        </w:tc>
        <w:tc>
          <w:tcPr>
            <w:tcW w:w="5669" w:type="dxa"/>
          </w:tcPr>
          <w:p w:rsidR="00EA0792" w:rsidRDefault="00EA0792">
            <w:pPr>
              <w:spacing w:line="240" w:lineRule="auto"/>
              <w:jc w:val="left"/>
              <w:rPr>
                <w:sz w:val="24"/>
                <w:rtl/>
                <w:lang w:eastAsia="en-US"/>
              </w:rPr>
            </w:pPr>
            <w:r>
              <w:rPr>
                <w:sz w:val="24"/>
                <w:rtl/>
                <w:lang w:eastAsia="en-US"/>
              </w:rPr>
              <w:t>תיקון חוק הספנות</w:t>
            </w:r>
          </w:p>
        </w:tc>
        <w:tc>
          <w:tcPr>
            <w:tcW w:w="1247" w:type="dxa"/>
          </w:tcPr>
          <w:p w:rsidR="00EA0792" w:rsidRDefault="00EA0792">
            <w:pPr>
              <w:spacing w:line="240" w:lineRule="auto"/>
              <w:jc w:val="left"/>
              <w:rPr>
                <w:rFonts w:hint="cs"/>
                <w:sz w:val="24"/>
                <w:lang w:eastAsia="en-US"/>
              </w:rPr>
            </w:pPr>
            <w:r>
              <w:rPr>
                <w:sz w:val="24"/>
                <w:rtl/>
                <w:lang w:eastAsia="en-US"/>
              </w:rPr>
              <w:t xml:space="preserve">סעיף 12 </w:t>
            </w:r>
          </w:p>
        </w:tc>
      </w:tr>
      <w:tr w:rsidR="00EA0792">
        <w:tblPrEx>
          <w:tblCellMar>
            <w:top w:w="0" w:type="dxa"/>
            <w:bottom w:w="0" w:type="dxa"/>
          </w:tblCellMar>
        </w:tblPrEx>
        <w:trPr>
          <w:jc w:val="right"/>
        </w:trPr>
        <w:tc>
          <w:tcPr>
            <w:tcW w:w="850" w:type="dxa"/>
          </w:tcPr>
          <w:p w:rsidR="00EA0792" w:rsidRDefault="00EA079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Seif12</w:instrText>
            </w:r>
            <w:r>
              <w:rPr>
                <w:sz w:val="24"/>
                <w:rtl/>
                <w:lang w:eastAsia="en-US"/>
              </w:rPr>
              <w:instrText xml:space="preserve"> </w:instrText>
            </w:r>
            <w:r>
              <w:rPr>
                <w:sz w:val="24"/>
                <w:rtl/>
                <w:lang w:eastAsia="en-US"/>
              </w:rPr>
              <w:fldChar w:fldCharType="separate"/>
            </w:r>
            <w:r>
              <w:rPr>
                <w:sz w:val="24"/>
                <w:rtl/>
                <w:lang w:eastAsia="en-US"/>
              </w:rPr>
              <w:t>4</w:t>
            </w:r>
            <w:r>
              <w:rPr>
                <w:sz w:val="24"/>
                <w:rtl/>
                <w:lang w:eastAsia="en-US"/>
              </w:rPr>
              <w:fldChar w:fldCharType="end"/>
            </w:r>
          </w:p>
        </w:tc>
        <w:tc>
          <w:tcPr>
            <w:tcW w:w="567" w:type="dxa"/>
          </w:tcPr>
          <w:p w:rsidR="00EA0792" w:rsidRDefault="00EA0792">
            <w:pPr>
              <w:spacing w:line="240" w:lineRule="auto"/>
              <w:jc w:val="left"/>
              <w:rPr>
                <w:rFonts w:hint="cs"/>
                <w:sz w:val="24"/>
                <w:lang w:eastAsia="en-US"/>
              </w:rPr>
            </w:pPr>
            <w:hyperlink w:anchor="Seif12" w:tooltip="תיקון חוק בתי משפט לענינים מינהליים   מס 18" w:history="1">
              <w:r>
                <w:rPr>
                  <w:rStyle w:val="Hyperlink"/>
                </w:rPr>
                <w:t>Go</w:t>
              </w:r>
            </w:hyperlink>
          </w:p>
        </w:tc>
        <w:tc>
          <w:tcPr>
            <w:tcW w:w="5669" w:type="dxa"/>
          </w:tcPr>
          <w:p w:rsidR="00EA0792" w:rsidRDefault="00EA0792">
            <w:pPr>
              <w:spacing w:line="240" w:lineRule="auto"/>
              <w:jc w:val="left"/>
              <w:rPr>
                <w:sz w:val="24"/>
                <w:rtl/>
                <w:lang w:eastAsia="en-US"/>
              </w:rPr>
            </w:pPr>
            <w:r>
              <w:rPr>
                <w:sz w:val="24"/>
                <w:rtl/>
                <w:lang w:eastAsia="en-US"/>
              </w:rPr>
              <w:t>תיקון חוק בתי משפט לענינים מינהליים   מס 18</w:t>
            </w:r>
          </w:p>
        </w:tc>
        <w:tc>
          <w:tcPr>
            <w:tcW w:w="1247" w:type="dxa"/>
          </w:tcPr>
          <w:p w:rsidR="00EA0792" w:rsidRDefault="00EA0792">
            <w:pPr>
              <w:spacing w:line="240" w:lineRule="auto"/>
              <w:jc w:val="left"/>
              <w:rPr>
                <w:rFonts w:hint="cs"/>
                <w:sz w:val="24"/>
                <w:lang w:eastAsia="en-US"/>
              </w:rPr>
            </w:pPr>
            <w:r>
              <w:rPr>
                <w:sz w:val="24"/>
                <w:rtl/>
                <w:lang w:eastAsia="en-US"/>
              </w:rPr>
              <w:t xml:space="preserve">סעיף 13 </w:t>
            </w:r>
          </w:p>
        </w:tc>
      </w:tr>
      <w:tr w:rsidR="00EA0792">
        <w:tblPrEx>
          <w:tblCellMar>
            <w:top w:w="0" w:type="dxa"/>
            <w:bottom w:w="0" w:type="dxa"/>
          </w:tblCellMar>
        </w:tblPrEx>
        <w:trPr>
          <w:jc w:val="right"/>
        </w:trPr>
        <w:tc>
          <w:tcPr>
            <w:tcW w:w="850" w:type="dxa"/>
          </w:tcPr>
          <w:p w:rsidR="00EA0792" w:rsidRDefault="00EA079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Seif13</w:instrText>
            </w:r>
            <w:r>
              <w:rPr>
                <w:sz w:val="24"/>
                <w:rtl/>
                <w:lang w:eastAsia="en-US"/>
              </w:rPr>
              <w:instrText xml:space="preserve"> </w:instrText>
            </w:r>
            <w:r>
              <w:rPr>
                <w:sz w:val="24"/>
                <w:rtl/>
                <w:lang w:eastAsia="en-US"/>
              </w:rPr>
              <w:fldChar w:fldCharType="separate"/>
            </w:r>
            <w:r>
              <w:rPr>
                <w:sz w:val="24"/>
                <w:rtl/>
                <w:lang w:eastAsia="en-US"/>
              </w:rPr>
              <w:t>4</w:t>
            </w:r>
            <w:r>
              <w:rPr>
                <w:sz w:val="24"/>
                <w:rtl/>
                <w:lang w:eastAsia="en-US"/>
              </w:rPr>
              <w:fldChar w:fldCharType="end"/>
            </w:r>
          </w:p>
        </w:tc>
        <w:tc>
          <w:tcPr>
            <w:tcW w:w="567" w:type="dxa"/>
          </w:tcPr>
          <w:p w:rsidR="00EA0792" w:rsidRDefault="00EA0792">
            <w:pPr>
              <w:spacing w:line="240" w:lineRule="auto"/>
              <w:jc w:val="left"/>
              <w:rPr>
                <w:rFonts w:hint="cs"/>
                <w:sz w:val="24"/>
                <w:lang w:eastAsia="en-US"/>
              </w:rPr>
            </w:pPr>
            <w:hyperlink w:anchor="Seif13" w:tooltip="תיקון חוק להארכת תוקף של תקנות שעת חירום" w:history="1">
              <w:r>
                <w:rPr>
                  <w:rStyle w:val="Hyperlink"/>
                </w:rPr>
                <w:t>Go</w:t>
              </w:r>
            </w:hyperlink>
          </w:p>
        </w:tc>
        <w:tc>
          <w:tcPr>
            <w:tcW w:w="5669" w:type="dxa"/>
          </w:tcPr>
          <w:p w:rsidR="00EA0792" w:rsidRDefault="00EA0792">
            <w:pPr>
              <w:spacing w:line="240" w:lineRule="auto"/>
              <w:jc w:val="left"/>
              <w:rPr>
                <w:sz w:val="24"/>
                <w:rtl/>
                <w:lang w:eastAsia="en-US"/>
              </w:rPr>
            </w:pPr>
            <w:r>
              <w:rPr>
                <w:sz w:val="24"/>
                <w:rtl/>
                <w:lang w:eastAsia="en-US"/>
              </w:rPr>
              <w:t>תיקון חוק להארכת תוקף של תקנות שעת חירום</w:t>
            </w:r>
          </w:p>
        </w:tc>
        <w:tc>
          <w:tcPr>
            <w:tcW w:w="1247" w:type="dxa"/>
          </w:tcPr>
          <w:p w:rsidR="00EA0792" w:rsidRDefault="00EA0792">
            <w:pPr>
              <w:spacing w:line="240" w:lineRule="auto"/>
              <w:jc w:val="left"/>
              <w:rPr>
                <w:rFonts w:hint="cs"/>
                <w:sz w:val="24"/>
                <w:lang w:eastAsia="en-US"/>
              </w:rPr>
            </w:pPr>
            <w:r>
              <w:rPr>
                <w:sz w:val="24"/>
                <w:rtl/>
                <w:lang w:eastAsia="en-US"/>
              </w:rPr>
              <w:t xml:space="preserve">סעיף 14 </w:t>
            </w:r>
          </w:p>
        </w:tc>
      </w:tr>
    </w:tbl>
    <w:p w:rsidR="00EA0792" w:rsidRDefault="00EA0792">
      <w:pPr>
        <w:pStyle w:val="P00"/>
        <w:spacing w:before="72"/>
        <w:ind w:left="0" w:right="1134"/>
        <w:rPr>
          <w:rFonts w:hint="cs"/>
          <w:rtl/>
          <w:lang w:eastAsia="en-US"/>
        </w:rPr>
      </w:pPr>
    </w:p>
    <w:p w:rsidR="00EA0792" w:rsidRDefault="00EA0792" w:rsidP="00202B56">
      <w:pPr>
        <w:pStyle w:val="big-header"/>
        <w:ind w:left="0" w:right="1134"/>
        <w:rPr>
          <w:rStyle w:val="default"/>
          <w:rFonts w:cs="FrankRuehl"/>
          <w:rtl/>
          <w:lang w:eastAsia="en-US"/>
        </w:rPr>
      </w:pPr>
      <w:r>
        <w:rPr>
          <w:rtl/>
          <w:lang w:eastAsia="en-US"/>
        </w:rPr>
        <w:br w:type="page"/>
      </w:r>
      <w:r>
        <w:rPr>
          <w:rFonts w:hint="cs"/>
          <w:rtl/>
          <w:lang w:eastAsia="en-US"/>
        </w:rPr>
        <w:lastRenderedPageBreak/>
        <w:t>חוק הספנות (כלי שיט זר בשליטה של גורם ישראלי), תשס"ה-2005</w:t>
      </w:r>
      <w:r>
        <w:rPr>
          <w:rStyle w:val="default"/>
          <w:sz w:val="22"/>
          <w:szCs w:val="22"/>
          <w:rtl/>
          <w:lang w:eastAsia="en-US"/>
        </w:rPr>
        <w:footnoteReference w:customMarkFollows="1" w:id="1"/>
        <w:t>*</w:t>
      </w:r>
    </w:p>
    <w:p w:rsidR="00EA0792" w:rsidRDefault="00EA0792">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8.8pt;z-index:251651072" o:allowincell="f" filled="f" stroked="f" strokecolor="lime" strokeweight=".25pt">
            <v:textbox inset="0,0,0,0">
              <w:txbxContent>
                <w:p w:rsidR="00EA0792" w:rsidRDefault="00EA0792">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hint="cs"/>
          <w:rtl/>
        </w:rPr>
        <w:t xml:space="preserve">בחוק זה </w:t>
      </w:r>
      <w:r>
        <w:rPr>
          <w:rStyle w:val="default"/>
          <w:rFonts w:cs="FrankRuehl" w:hint="cs"/>
        </w:rPr>
        <w:t>–</w:t>
      </w:r>
    </w:p>
    <w:p w:rsidR="00EA0792" w:rsidRDefault="00EA079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"אמצעי שליטה", בתאגיד – כל אחד מאלה:</w:t>
      </w:r>
    </w:p>
    <w:p w:rsidR="00EA0792" w:rsidRDefault="00EA0792">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זכות ההצבעה באסיפה כללית של חברה או בגוף מקביל לה בתאגיד שאינו חברה;</w:t>
      </w:r>
    </w:p>
    <w:p w:rsidR="00EA0792" w:rsidRDefault="00EA0792">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הזכות למנות דירקטורים או מנהל כללי של חברה או בעלי תפקידים דומים בתאגיד שאינו חברה;</w:t>
      </w:r>
    </w:p>
    <w:p w:rsidR="00EA0792" w:rsidRDefault="00EA0792">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הזכות להשתתף ברווחי התאגיד;</w:t>
      </w:r>
    </w:p>
    <w:p w:rsidR="00EA0792" w:rsidRDefault="00EA0792">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הזכות לחלק ביתרת נכסי התאגיד, לאחר סילוק חובותיו בעת פירוקו;</w:t>
      </w:r>
    </w:p>
    <w:p w:rsidR="00EA0792" w:rsidRDefault="00EA079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"גורם ישראלי", לגבי יחיד – אזרח ישראלי או תושב ישראל, ולגבי תאגיד – תאגיד שהתאגד</w:t>
      </w:r>
      <w:r>
        <w:rPr>
          <w:rStyle w:val="default"/>
          <w:rFonts w:cs="FrankRuehl" w:hint="cs"/>
          <w:rtl/>
          <w:lang w:eastAsia="en-US"/>
        </w:rPr>
        <w:t xml:space="preserve"> </w:t>
      </w:r>
      <w:r>
        <w:rPr>
          <w:rStyle w:val="default"/>
          <w:rFonts w:cs="FrankRuehl"/>
          <w:rtl/>
          <w:lang w:eastAsia="en-US"/>
        </w:rPr>
        <w:t>בישראל, למעט חברת חוץ שנרשמה לפי הוראות סעיף 346 לחוק החברות, התשנ"ט</w:t>
      </w:r>
      <w:r>
        <w:rPr>
          <w:rStyle w:val="default"/>
          <w:rFonts w:cs="FrankRuehl" w:hint="cs"/>
          <w:rtl/>
          <w:lang w:eastAsia="en-US"/>
        </w:rPr>
        <w:t>-1999;</w:t>
      </w:r>
    </w:p>
    <w:p w:rsidR="00EA0792" w:rsidRDefault="00EA079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"הבעלים הרשום" – התאגיד הרשום בתעודת הרישום של כלי שיט כבעל כלי השיט;</w:t>
      </w:r>
    </w:p>
    <w:p w:rsidR="00EA0792" w:rsidRDefault="00EA079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"החזקה", לענין אמצעי שליטה בתאגיד – במישרין או בעקיפין, בין לבד ובין יחד עם אחרים,</w:t>
      </w:r>
      <w:r>
        <w:rPr>
          <w:rStyle w:val="default"/>
          <w:rFonts w:cs="FrankRuehl" w:hint="cs"/>
          <w:rtl/>
          <w:lang w:eastAsia="en-US"/>
        </w:rPr>
        <w:t xml:space="preserve"> </w:t>
      </w:r>
      <w:r>
        <w:rPr>
          <w:rStyle w:val="default"/>
          <w:rFonts w:cs="FrankRuehl"/>
          <w:rtl/>
          <w:lang w:eastAsia="en-US"/>
        </w:rPr>
        <w:t>לרבות באמצעות אחר ובכלל זה נאמן או שלוח, או באמצעות זכות המוקנית לפי הסכם, או בכל דרך אחרת;</w:t>
      </w:r>
    </w:p>
    <w:p w:rsidR="00EA0792" w:rsidRDefault="00EA079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"הממונה על הרישום" – מי שהשר מינהו להיות הממונה על הרישום לפי סעיף 3(ב);</w:t>
      </w:r>
    </w:p>
    <w:p w:rsidR="00EA0792" w:rsidRDefault="00EA079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"כלי שיט" – כל כלי העשוי לשוט, שתפוסתו ברוטו למעלה מ</w:t>
      </w:r>
      <w:r>
        <w:rPr>
          <w:rStyle w:val="default"/>
          <w:rFonts w:cs="FrankRuehl" w:hint="cs"/>
          <w:rtl/>
          <w:lang w:eastAsia="en-US"/>
        </w:rPr>
        <w:t>-</w:t>
      </w:r>
      <w:r>
        <w:rPr>
          <w:rStyle w:val="default"/>
          <w:rFonts w:cs="FrankRuehl"/>
          <w:rtl/>
          <w:lang w:eastAsia="en-US"/>
        </w:rPr>
        <w:t>500 טון;</w:t>
      </w:r>
    </w:p>
    <w:p w:rsidR="00EA0792" w:rsidRDefault="00EA079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"כלי שיט זר" – כלי שיט שאינו חייב ברישום במרשם הישראלי לפי הוראות חוק הספנות (כלי שיט), התש"ך</w:t>
      </w:r>
      <w:r>
        <w:rPr>
          <w:rStyle w:val="default"/>
          <w:rFonts w:cs="FrankRuehl" w:hint="cs"/>
          <w:rtl/>
          <w:lang w:eastAsia="en-US"/>
        </w:rPr>
        <w:t>-1960;</w:t>
      </w:r>
    </w:p>
    <w:p w:rsidR="00EA0792" w:rsidRDefault="00EA079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"פנקס הרישום" – הפנקס המתנהל לפי הוראות סעיף 3(א);</w:t>
      </w:r>
    </w:p>
    <w:p w:rsidR="00EA0792" w:rsidRDefault="00EA079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"שליטה", של גורם ישראלי בכלי שיט זר – היכולת של גורם ישראלי להורות על תפעולו של</w:t>
      </w:r>
      <w:r>
        <w:rPr>
          <w:rStyle w:val="default"/>
          <w:rFonts w:cs="FrankRuehl" w:hint="cs"/>
          <w:rtl/>
          <w:lang w:eastAsia="en-US"/>
        </w:rPr>
        <w:t xml:space="preserve"> </w:t>
      </w:r>
      <w:r>
        <w:rPr>
          <w:rStyle w:val="default"/>
          <w:rFonts w:cs="FrankRuehl"/>
          <w:rtl/>
          <w:lang w:eastAsia="en-US"/>
        </w:rPr>
        <w:t>כלי השיט הזר, בין לבד ובין יחד עם אחרים או באמצעותם, בין במישרין ובין בעקיפין,</w:t>
      </w:r>
      <w:r>
        <w:rPr>
          <w:rStyle w:val="default"/>
          <w:rFonts w:cs="FrankRuehl" w:hint="cs"/>
          <w:rtl/>
          <w:lang w:eastAsia="en-US"/>
        </w:rPr>
        <w:t xml:space="preserve"> </w:t>
      </w:r>
      <w:r>
        <w:rPr>
          <w:rStyle w:val="default"/>
          <w:rFonts w:cs="FrankRuehl"/>
          <w:rtl/>
          <w:lang w:eastAsia="en-US"/>
        </w:rPr>
        <w:t>לרבות יכולת כאמור הנובעת מכוח החזקת אמצעי שליטה בבעלים הרשום או בתאגיד</w:t>
      </w:r>
      <w:r>
        <w:rPr>
          <w:rStyle w:val="default"/>
          <w:rFonts w:cs="FrankRuehl" w:hint="cs"/>
          <w:rtl/>
          <w:lang w:eastAsia="en-US"/>
        </w:rPr>
        <w:t xml:space="preserve"> </w:t>
      </w:r>
      <w:r>
        <w:rPr>
          <w:rStyle w:val="default"/>
          <w:rFonts w:cs="FrankRuehl"/>
          <w:rtl/>
          <w:lang w:eastAsia="en-US"/>
        </w:rPr>
        <w:t>האחראי לתפעולו של כלי השיט, מכוח תקנון הבעלים הרשום או התאגיד האחראי</w:t>
      </w:r>
      <w:r>
        <w:rPr>
          <w:rStyle w:val="default"/>
          <w:rFonts w:cs="FrankRuehl" w:hint="cs"/>
          <w:rtl/>
          <w:lang w:eastAsia="en-US"/>
        </w:rPr>
        <w:t xml:space="preserve"> </w:t>
      </w:r>
      <w:r>
        <w:rPr>
          <w:rStyle w:val="default"/>
          <w:rFonts w:cs="FrankRuehl"/>
          <w:rtl/>
          <w:lang w:eastAsia="en-US"/>
        </w:rPr>
        <w:t>לתפעולו של כלי השיט, מכוח חוזה בכתב או בעל פה או באופן אחר, או מכל מקור</w:t>
      </w:r>
      <w:r>
        <w:rPr>
          <w:rStyle w:val="default"/>
          <w:rFonts w:cs="FrankRuehl" w:hint="cs"/>
          <w:rtl/>
          <w:lang w:eastAsia="en-US"/>
        </w:rPr>
        <w:t xml:space="preserve"> </w:t>
      </w:r>
      <w:r>
        <w:rPr>
          <w:rStyle w:val="default"/>
          <w:rFonts w:cs="FrankRuehl"/>
          <w:rtl/>
          <w:lang w:eastAsia="en-US"/>
        </w:rPr>
        <w:t>אחר, ולמעט יכולת כאמור הנובעת רק ממילוי תפקיד של נושא משרה בתאגיד; לענין הגדרה זו –</w:t>
      </w:r>
    </w:p>
    <w:p w:rsidR="00EA0792" w:rsidRDefault="00EA0792">
      <w:pPr>
        <w:pStyle w:val="P00"/>
        <w:spacing w:before="72"/>
        <w:ind w:left="0"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בלי לגרוע מכלליות האמור, חזקה היא כי גורם ישראלי הוא בעל יכולת להורות</w:t>
      </w:r>
      <w:r>
        <w:rPr>
          <w:rStyle w:val="default"/>
          <w:rFonts w:cs="FrankRuehl" w:hint="cs"/>
          <w:rtl/>
          <w:lang w:eastAsia="en-US"/>
        </w:rPr>
        <w:t xml:space="preserve"> </w:t>
      </w:r>
      <w:r>
        <w:rPr>
          <w:rStyle w:val="default"/>
          <w:rFonts w:cs="FrankRuehl"/>
          <w:rtl/>
          <w:lang w:eastAsia="en-US"/>
        </w:rPr>
        <w:t>על תפעולו של כלי שיט אם הוא מחזיק בשיעור הגדול ביותר של אמצעי שליטה מסוג</w:t>
      </w:r>
      <w:r>
        <w:rPr>
          <w:rStyle w:val="default"/>
          <w:rFonts w:cs="FrankRuehl" w:hint="cs"/>
          <w:rtl/>
          <w:lang w:eastAsia="en-US"/>
        </w:rPr>
        <w:t xml:space="preserve"> </w:t>
      </w:r>
      <w:r>
        <w:rPr>
          <w:rStyle w:val="default"/>
          <w:rFonts w:cs="FrankRuehl"/>
          <w:rtl/>
          <w:lang w:eastAsia="en-US"/>
        </w:rPr>
        <w:t>כלשהו בבעלים הרשום או בתאגיד האחראי לתפעולו של כלי השיט, או שבידו היכולת</w:t>
      </w:r>
      <w:r>
        <w:rPr>
          <w:rStyle w:val="default"/>
          <w:rFonts w:cs="FrankRuehl" w:hint="cs"/>
          <w:rtl/>
          <w:lang w:eastAsia="en-US"/>
        </w:rPr>
        <w:t xml:space="preserve"> </w:t>
      </w:r>
      <w:r>
        <w:rPr>
          <w:rStyle w:val="default"/>
          <w:rFonts w:cs="FrankRuehl"/>
          <w:rtl/>
          <w:lang w:eastAsia="en-US"/>
        </w:rPr>
        <w:t>למנוע קבלת החלטות עסקיות של הבעלים הרשום או של התאגיד האחראי לתפעולו</w:t>
      </w:r>
      <w:r>
        <w:rPr>
          <w:rStyle w:val="default"/>
          <w:rFonts w:cs="FrankRuehl" w:hint="cs"/>
          <w:rtl/>
          <w:lang w:eastAsia="en-US"/>
        </w:rPr>
        <w:t xml:space="preserve"> </w:t>
      </w:r>
      <w:r>
        <w:rPr>
          <w:rStyle w:val="default"/>
          <w:rFonts w:cs="FrankRuehl"/>
          <w:rtl/>
          <w:lang w:eastAsia="en-US"/>
        </w:rPr>
        <w:t>של כלי השיט, למעט החלטות שענינן הנפקה של אמצעי שליטה בבעלים הרשום או</w:t>
      </w:r>
      <w:r>
        <w:rPr>
          <w:rStyle w:val="default"/>
          <w:rFonts w:cs="FrankRuehl" w:hint="cs"/>
          <w:rtl/>
          <w:lang w:eastAsia="en-US"/>
        </w:rPr>
        <w:t xml:space="preserve"> </w:t>
      </w:r>
      <w:r>
        <w:rPr>
          <w:rStyle w:val="default"/>
          <w:rFonts w:cs="FrankRuehl"/>
          <w:rtl/>
          <w:lang w:eastAsia="en-US"/>
        </w:rPr>
        <w:t>בתאגיד האחראי לתפעולו של כלי השיט או החלטות שענינן מכירה או חיסול של רוב</w:t>
      </w:r>
      <w:r>
        <w:rPr>
          <w:rStyle w:val="default"/>
          <w:rFonts w:cs="FrankRuehl" w:hint="cs"/>
          <w:rtl/>
          <w:lang w:eastAsia="en-US"/>
        </w:rPr>
        <w:t xml:space="preserve"> </w:t>
      </w:r>
      <w:r>
        <w:rPr>
          <w:rStyle w:val="default"/>
          <w:rFonts w:cs="FrankRuehl"/>
          <w:rtl/>
          <w:lang w:eastAsia="en-US"/>
        </w:rPr>
        <w:t>עסקי הבעלים הרשום או התאגיד האחראי לתפעולו של כלי השיט או שינוי מהותי בהם;</w:t>
      </w:r>
    </w:p>
    <w:p w:rsidR="00EA0792" w:rsidRDefault="00EA0792">
      <w:pPr>
        <w:pStyle w:val="P00"/>
        <w:spacing w:before="72"/>
        <w:ind w:left="0"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לשם בחינת היכולת של גורם ישראלי להורות על תפעולו של כלי שיט זר, יראו</w:t>
      </w:r>
      <w:r>
        <w:rPr>
          <w:rStyle w:val="default"/>
          <w:rFonts w:cs="FrankRuehl" w:hint="cs"/>
          <w:rtl/>
          <w:lang w:eastAsia="en-US"/>
        </w:rPr>
        <w:t xml:space="preserve"> </w:t>
      </w:r>
      <w:r>
        <w:rPr>
          <w:rStyle w:val="default"/>
          <w:rFonts w:cs="FrankRuehl"/>
          <w:rtl/>
          <w:lang w:eastAsia="en-US"/>
        </w:rPr>
        <w:t>את ההחזקה של מספר גורמים ישראלים באמצעי שליטה בתאגיד רשום או בתאגיד</w:t>
      </w:r>
      <w:r>
        <w:rPr>
          <w:rStyle w:val="default"/>
          <w:rFonts w:cs="FrankRuehl" w:hint="cs"/>
          <w:rtl/>
          <w:lang w:eastAsia="en-US"/>
        </w:rPr>
        <w:t xml:space="preserve"> </w:t>
      </w:r>
      <w:r>
        <w:rPr>
          <w:rStyle w:val="default"/>
          <w:rFonts w:cs="FrankRuehl"/>
          <w:rtl/>
          <w:lang w:eastAsia="en-US"/>
        </w:rPr>
        <w:t>האחראי לתפעולו של כלי השיט, במצטבר, כהחזקה של גורם ישראלי אחד, ויראו את</w:t>
      </w:r>
      <w:r>
        <w:rPr>
          <w:rStyle w:val="default"/>
          <w:rFonts w:cs="FrankRuehl" w:hint="cs"/>
          <w:rtl/>
          <w:lang w:eastAsia="en-US"/>
        </w:rPr>
        <w:t xml:space="preserve"> </w:t>
      </w:r>
      <w:r>
        <w:rPr>
          <w:rStyle w:val="default"/>
          <w:rFonts w:cs="FrankRuehl"/>
          <w:rtl/>
          <w:lang w:eastAsia="en-US"/>
        </w:rPr>
        <w:t>יכולת ההשפעה של מספר גורמים ישראליים על תפעולו של כלי השיט, במצטבר, כיכולת של גורם ישראלי אחד;</w:t>
      </w:r>
    </w:p>
    <w:p w:rsidR="00EA0792" w:rsidRDefault="00EA079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"תפעול", לענין כלי שיט – ציוות כלי השיט באנשי צוות, ותפעולו של גוף כלי השיט, מערכותיו ומיתקניו;</w:t>
      </w:r>
    </w:p>
    <w:p w:rsidR="00EA0792" w:rsidRDefault="00EA0792">
      <w:pPr>
        <w:pStyle w:val="P00"/>
        <w:spacing w:before="72"/>
        <w:ind w:left="0" w:right="1134"/>
        <w:rPr>
          <w:rStyle w:val="default"/>
          <w:rFonts w:cs="FrankRuehl" w:hint="cs"/>
          <w:rtl/>
          <w:lang w:eastAsia="en-US"/>
        </w:rPr>
      </w:pPr>
      <w:r>
        <w:rPr>
          <w:rStyle w:val="default"/>
          <w:rFonts w:cs="FrankRuehl" w:hint="cs"/>
          <w:rtl/>
          <w:lang w:eastAsia="en-US"/>
        </w:rPr>
        <w:lastRenderedPageBreak/>
        <w:tab/>
      </w:r>
      <w:r>
        <w:rPr>
          <w:rStyle w:val="default"/>
          <w:rFonts w:cs="FrankRuehl"/>
          <w:rtl/>
          <w:lang w:eastAsia="en-US"/>
        </w:rPr>
        <w:t>"השר" – שר התחבורה.</w:t>
      </w:r>
    </w:p>
    <w:p w:rsidR="00EA0792" w:rsidRDefault="00EA0792">
      <w:pPr>
        <w:pStyle w:val="P00"/>
        <w:spacing w:before="72"/>
        <w:ind w:left="0" w:right="1134"/>
        <w:rPr>
          <w:rStyle w:val="default"/>
          <w:rFonts w:cs="FrankRuehl" w:hint="cs"/>
          <w:rtl/>
          <w:lang w:eastAsia="en-US"/>
        </w:rPr>
      </w:pPr>
      <w:bookmarkStart w:id="1" w:name="Seif6"/>
      <w:bookmarkEnd w:id="1"/>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11.95pt;z-index:251657216" filled="f" stroked="f">
            <v:textbox inset="1mm,0,1mm,0">
              <w:txbxContent>
                <w:p w:rsidR="00EA0792" w:rsidRDefault="00EA0792">
                  <w:pPr>
                    <w:spacing w:line="160" w:lineRule="exact"/>
                    <w:jc w:val="left"/>
                    <w:rPr>
                      <w:rFonts w:cs="Miriam" w:hint="cs"/>
                      <w:szCs w:val="18"/>
                      <w:rtl/>
                      <w:lang w:eastAsia="en-US"/>
                    </w:rPr>
                  </w:pPr>
                  <w:r>
                    <w:rPr>
                      <w:rFonts w:cs="Miriam" w:hint="cs"/>
                      <w:szCs w:val="18"/>
                      <w:rtl/>
                      <w:lang w:eastAsia="en-US"/>
                    </w:rPr>
                    <w:t>חובת רישום</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t>כלי שיט זר שהוא בשליטה של גורם ישראלי, חייב ברישום בפנקס הרישום.</w:t>
      </w:r>
    </w:p>
    <w:p w:rsidR="00EA0792" w:rsidRDefault="00EA0792">
      <w:pPr>
        <w:pStyle w:val="P00"/>
        <w:spacing w:before="72"/>
        <w:ind w:left="0" w:right="1134"/>
        <w:rPr>
          <w:rStyle w:val="default"/>
          <w:rFonts w:cs="FrankRuehl" w:hint="cs"/>
          <w:rtl/>
          <w:lang w:eastAsia="en-US"/>
        </w:rPr>
      </w:pPr>
      <w:bookmarkStart w:id="2" w:name="Seif1"/>
      <w:bookmarkEnd w:id="2"/>
      <w:r>
        <w:rPr>
          <w:rFonts w:cs="Miriam"/>
          <w:szCs w:val="32"/>
          <w:rtl/>
          <w:lang w:val="he-IL"/>
        </w:rPr>
        <w:pict>
          <v:shape id="_x0000_s1141" type="#_x0000_t202" style="position:absolute;left:0;text-align:left;margin-left:462pt;margin-top:6.55pt;width:80.25pt;height:16.35pt;z-index:251652096" filled="f" stroked="f">
            <v:textbox inset="1mm,0,1mm,0">
              <w:txbxContent>
                <w:p w:rsidR="00EA0792" w:rsidRDefault="00EA0792">
                  <w:pPr>
                    <w:spacing w:line="160" w:lineRule="exact"/>
                    <w:jc w:val="left"/>
                    <w:rPr>
                      <w:rFonts w:cs="Miriam" w:hint="cs"/>
                      <w:szCs w:val="18"/>
                      <w:rtl/>
                      <w:lang w:eastAsia="en-US"/>
                    </w:rPr>
                  </w:pPr>
                  <w:r>
                    <w:rPr>
                      <w:rFonts w:cs="Miriam" w:hint="cs"/>
                      <w:szCs w:val="18"/>
                      <w:rtl/>
                      <w:lang w:eastAsia="en-US"/>
                    </w:rPr>
                    <w:t>פנקס הרישום והממונה על הרישום</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הממונה על הרישום ינהל פנקס רישום לצורך רישום כלי שיט זרים שהם בשליטה של גורם ישראלי.</w:t>
      </w:r>
    </w:p>
    <w:p w:rsidR="00EA0792" w:rsidRDefault="00EA079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השר ימנה את הממונה על הרישום מקרב עובדי משרדו; הודעה על המינוי תפורסם ברשומות.</w:t>
      </w:r>
    </w:p>
    <w:p w:rsidR="00EA0792" w:rsidRDefault="00EA0792">
      <w:pPr>
        <w:pStyle w:val="P00"/>
        <w:spacing w:before="72"/>
        <w:ind w:left="0" w:right="1134"/>
        <w:rPr>
          <w:rStyle w:val="default"/>
          <w:rFonts w:cs="FrankRuehl" w:hint="cs"/>
          <w:rtl/>
          <w:lang w:eastAsia="en-US"/>
        </w:rPr>
      </w:pPr>
      <w:bookmarkStart w:id="3" w:name="Seif7"/>
      <w:bookmarkEnd w:id="3"/>
      <w:r>
        <w:rPr>
          <w:rFonts w:cs="Miriam"/>
          <w:szCs w:val="32"/>
          <w:rtl/>
          <w:lang w:val="he-IL"/>
        </w:rPr>
        <w:pict>
          <v:shape id="_x0000_s1148" type="#_x0000_t202" style="position:absolute;left:0;text-align:left;margin-left:470.25pt;margin-top:8.25pt;width:1in;height:11.35pt;z-index:251658240" filled="f" stroked="f">
            <v:textbox inset="1mm,0,1mm,0">
              <w:txbxContent>
                <w:p w:rsidR="00EA0792" w:rsidRDefault="00EA0792">
                  <w:pPr>
                    <w:spacing w:line="160" w:lineRule="exact"/>
                    <w:jc w:val="left"/>
                    <w:rPr>
                      <w:rFonts w:cs="Miriam" w:hint="cs"/>
                      <w:szCs w:val="18"/>
                      <w:rtl/>
                      <w:lang w:eastAsia="en-US"/>
                    </w:rPr>
                  </w:pPr>
                  <w:r>
                    <w:rPr>
                      <w:rFonts w:cs="Miriam" w:hint="cs"/>
                      <w:szCs w:val="18"/>
                      <w:rtl/>
                      <w:lang w:eastAsia="en-US"/>
                    </w:rPr>
                    <w:t>הודעה על שליטה</w:t>
                  </w:r>
                </w:p>
              </w:txbxContent>
            </v:textbox>
            <w10:anchorlock/>
          </v:shape>
        </w:pict>
      </w:r>
      <w:r>
        <w:rPr>
          <w:rStyle w:val="big-number"/>
          <w:rFonts w:hint="cs"/>
          <w:rtl/>
          <w:lang w:eastAsia="en-US"/>
        </w:rPr>
        <w:t>4</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גורם ישראלי שהוא בעל שליטה בכלי שיט זר, ימסור הודעה על כך לממונה על הרישום בתוך 30 ימים מיום שהיה לבעל שליטה כאמור (בחוק זה – הודעה על שליטה).</w:t>
      </w:r>
    </w:p>
    <w:p w:rsidR="00EA0792" w:rsidRDefault="00EA079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גורם ישראלי שמסר הודעה על שליטה ימסור לממונה על הרישום, לפי דרישתו, פרטים, מסמכים או תעודות הנוגעים לכלי השיט הזר, ובין השאר בדבר גוף כלי השיט, מבנהו,</w:t>
      </w:r>
      <w:r>
        <w:rPr>
          <w:rStyle w:val="default"/>
          <w:rFonts w:cs="FrankRuehl" w:hint="cs"/>
          <w:rtl/>
          <w:lang w:eastAsia="en-US"/>
        </w:rPr>
        <w:t xml:space="preserve"> </w:t>
      </w:r>
      <w:r>
        <w:rPr>
          <w:rStyle w:val="default"/>
          <w:rFonts w:cs="FrankRuehl"/>
          <w:rtl/>
          <w:lang w:eastAsia="en-US"/>
        </w:rPr>
        <w:t>מערכותיו וכל פרט אחר הנוגע להפעלתו, וכן כל פרט, מסמך או תעודה הנחוצים, לדעת הממונה על הרישום, לשם בחינת מידת השליטה בכלי השיט הזר והוכחתה; כמו כן יודיע</w:t>
      </w:r>
      <w:r>
        <w:rPr>
          <w:rStyle w:val="default"/>
          <w:rFonts w:cs="FrankRuehl" w:hint="cs"/>
          <w:rtl/>
          <w:lang w:eastAsia="en-US"/>
        </w:rPr>
        <w:t xml:space="preserve"> </w:t>
      </w:r>
      <w:r>
        <w:rPr>
          <w:rStyle w:val="default"/>
          <w:rFonts w:cs="FrankRuehl"/>
          <w:rtl/>
          <w:lang w:eastAsia="en-US"/>
        </w:rPr>
        <w:t>הגורם הישראלי כאמור, לממונה על הרישום, על כל שינוי מהותי שחל בפרט מהפרטים שנמסרו לפי סעיף קטן זה ויצרף את המסמכים או התעודות הנוגעים לענין.</w:t>
      </w:r>
    </w:p>
    <w:p w:rsidR="00EA0792" w:rsidRDefault="00EA0792">
      <w:pPr>
        <w:pStyle w:val="P00"/>
        <w:spacing w:before="72"/>
        <w:ind w:left="0" w:right="1134"/>
        <w:rPr>
          <w:rStyle w:val="default"/>
          <w:rFonts w:cs="FrankRuehl" w:hint="cs"/>
          <w:rtl/>
          <w:lang w:eastAsia="en-US"/>
        </w:rPr>
      </w:pPr>
      <w:bookmarkStart w:id="4" w:name="Seif2"/>
      <w:bookmarkEnd w:id="4"/>
      <w:r>
        <w:rPr>
          <w:rStyle w:val="big-number"/>
          <w:rtl/>
        </w:rPr>
        <w:pict>
          <v:shape id="_x0000_s1142" type="#_x0000_t202" style="position:absolute;left:0;text-align:left;margin-left:470.25pt;margin-top:7.1pt;width:1in;height:15.6pt;z-index:251653120" filled="f" stroked="f">
            <v:textbox style="mso-next-textbox:#_x0000_s1142" inset="1mm,0,1mm,0">
              <w:txbxContent>
                <w:p w:rsidR="00EA0792" w:rsidRDefault="00EA0792">
                  <w:pPr>
                    <w:spacing w:line="160" w:lineRule="exact"/>
                    <w:jc w:val="left"/>
                    <w:rPr>
                      <w:rFonts w:cs="Miriam" w:hint="cs"/>
                      <w:szCs w:val="18"/>
                      <w:rtl/>
                      <w:lang w:eastAsia="en-US"/>
                    </w:rPr>
                  </w:pPr>
                  <w:r>
                    <w:rPr>
                      <w:rFonts w:cs="Miriam" w:hint="cs"/>
                      <w:szCs w:val="18"/>
                      <w:rtl/>
                      <w:lang w:eastAsia="en-US"/>
                    </w:rPr>
                    <w:t>סמכויות הממונה על הרישום</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היה לממונה על הרישום יסוד סביר להניח כי גורם ישראלי הוא בעל שליטה בכלי</w:t>
      </w:r>
      <w:r>
        <w:rPr>
          <w:rStyle w:val="default"/>
          <w:rFonts w:cs="FrankRuehl" w:hint="cs"/>
          <w:rtl/>
          <w:lang w:eastAsia="en-US"/>
        </w:rPr>
        <w:t xml:space="preserve"> </w:t>
      </w:r>
      <w:r>
        <w:rPr>
          <w:rStyle w:val="default"/>
          <w:rFonts w:cs="FrankRuehl"/>
          <w:rtl/>
          <w:lang w:eastAsia="en-US"/>
        </w:rPr>
        <w:t>שיט זר, ואותו גורם ישראלי לא מסר הודעה על שליטה, רשאי הממונה על הרישום לדרוש</w:t>
      </w:r>
      <w:r>
        <w:rPr>
          <w:rStyle w:val="default"/>
          <w:rFonts w:cs="FrankRuehl" w:hint="cs"/>
          <w:rtl/>
          <w:lang w:eastAsia="en-US"/>
        </w:rPr>
        <w:t xml:space="preserve"> </w:t>
      </w:r>
      <w:r>
        <w:rPr>
          <w:rStyle w:val="default"/>
          <w:rFonts w:cs="FrankRuehl"/>
          <w:rtl/>
          <w:lang w:eastAsia="en-US"/>
        </w:rPr>
        <w:t>מהגורם הישראלי האמור הסבר בקשר למידע שבידו בענין השליטה בכלי השיט הזר, וכן להורות לו על מסירת פרטים, מסמכים או תעודות כאמור בסעיף 4(ב).</w:t>
      </w:r>
    </w:p>
    <w:p w:rsidR="00EA0792" w:rsidRDefault="00EA079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נוכח הממונה על הרישום, לאחר קבלת הסבר כאמור בסעיף קטן (א) או בדרך אחרת, כי גורם ישראלי הוא בעל שליטה בכלי שיט זר, רשאי הוא לרשום את כלי השיט הזר בפנקס הרישום לאחר שנתן לאותו גורם ישראלי הזדמנות להשמיע את טענותיו.</w:t>
      </w:r>
    </w:p>
    <w:p w:rsidR="00EA0792" w:rsidRDefault="00EA0792">
      <w:pPr>
        <w:pStyle w:val="P00"/>
        <w:spacing w:before="72"/>
        <w:ind w:left="0" w:right="1134"/>
        <w:rPr>
          <w:rStyle w:val="default"/>
          <w:rFonts w:cs="FrankRuehl" w:hint="cs"/>
          <w:rtl/>
          <w:lang w:eastAsia="en-US"/>
        </w:rPr>
      </w:pPr>
      <w:bookmarkStart w:id="5" w:name="Seif8"/>
      <w:bookmarkEnd w:id="5"/>
      <w:r>
        <w:rPr>
          <w:rFonts w:cs="Miriam"/>
          <w:szCs w:val="32"/>
          <w:rtl/>
          <w:lang w:val="he-IL"/>
        </w:rPr>
        <w:pict>
          <v:shape id="_x0000_s1149" type="#_x0000_t202" style="position:absolute;left:0;text-align:left;margin-left:470.25pt;margin-top:7.1pt;width:1in;height:15.1pt;z-index:251659264" filled="f" stroked="f">
            <v:textbox style="mso-next-textbox:#_x0000_s1149" inset="1mm,0,1mm,0">
              <w:txbxContent>
                <w:p w:rsidR="00EA0792" w:rsidRDefault="00EA0792">
                  <w:pPr>
                    <w:spacing w:line="160" w:lineRule="exact"/>
                    <w:jc w:val="left"/>
                    <w:rPr>
                      <w:rFonts w:cs="Miriam" w:hint="cs"/>
                      <w:szCs w:val="18"/>
                      <w:rtl/>
                      <w:lang w:eastAsia="en-US"/>
                    </w:rPr>
                  </w:pPr>
                  <w:r>
                    <w:rPr>
                      <w:rFonts w:cs="Miriam" w:hint="cs"/>
                      <w:szCs w:val="18"/>
                      <w:rtl/>
                      <w:lang w:eastAsia="en-US"/>
                    </w:rPr>
                    <w:t>תחולת חוק הספנות (ימאים)</w:t>
                  </w:r>
                </w:p>
              </w:txbxContent>
            </v:textbox>
            <w10:anchorlock/>
          </v:shape>
        </w:pict>
      </w:r>
      <w:r>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כלי שיט זר הרשום בפנקס הרישום, יחולו עליו, על הגורם הישראלי שהוא בעל</w:t>
      </w:r>
      <w:r>
        <w:rPr>
          <w:rStyle w:val="default"/>
          <w:rFonts w:cs="FrankRuehl" w:hint="cs"/>
          <w:rtl/>
          <w:lang w:eastAsia="en-US"/>
        </w:rPr>
        <w:t xml:space="preserve"> </w:t>
      </w:r>
      <w:r>
        <w:rPr>
          <w:rStyle w:val="default"/>
          <w:rFonts w:cs="FrankRuehl"/>
          <w:rtl/>
          <w:lang w:eastAsia="en-US"/>
        </w:rPr>
        <w:t>שליטה בו, על איש צוות ישראלי המשרת בו, ועל איש צוות אחר המשרת בו אם הסכים לכך, הוראות חוק הספנות (ימאים), התשל"ג</w:t>
      </w:r>
      <w:r>
        <w:rPr>
          <w:rStyle w:val="default"/>
          <w:rFonts w:cs="FrankRuehl" w:hint="cs"/>
          <w:rtl/>
          <w:lang w:eastAsia="en-US"/>
        </w:rPr>
        <w:t>-1973</w:t>
      </w:r>
      <w:r>
        <w:rPr>
          <w:rStyle w:val="default"/>
          <w:rFonts w:cs="FrankRuehl"/>
          <w:rtl/>
          <w:lang w:eastAsia="en-US"/>
        </w:rPr>
        <w:t xml:space="preserve"> (בסעיף זה – חוק הספנות (ימאים)), כאילו היה כלי השיט הזר רשום בישראל; לענין זה, "איש צוות ישראלי" – כהגדרתו בחוק הספנות (ימאים).</w:t>
      </w:r>
    </w:p>
    <w:p w:rsidR="00EA0792" w:rsidRDefault="00EA079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היה בהחלת הוראות חוק הספנות (ימאים) כאמור בסעיף קטן (א) כדי לסתור הוראה לענין אזרחותם או תושבותם של אנשי הצוות לפי חוק המדינה שבה רשום כלי השיט הזר, הוראת אותה מדינה עדיפה, והטוען לעדיפות זו – עליו הראיה.</w:t>
      </w:r>
    </w:p>
    <w:p w:rsidR="00EA0792" w:rsidRDefault="00EA0792">
      <w:pPr>
        <w:pStyle w:val="P00"/>
        <w:spacing w:before="72"/>
        <w:ind w:left="0" w:right="1134"/>
        <w:rPr>
          <w:rStyle w:val="default"/>
          <w:rFonts w:cs="FrankRuehl" w:hint="cs"/>
          <w:rtl/>
          <w:lang w:eastAsia="en-US"/>
        </w:rPr>
      </w:pPr>
      <w:bookmarkStart w:id="6" w:name="Seif9"/>
      <w:bookmarkEnd w:id="6"/>
      <w:r>
        <w:rPr>
          <w:rFonts w:cs="Miriam"/>
          <w:szCs w:val="32"/>
          <w:rtl/>
          <w:lang w:val="he-IL"/>
        </w:rPr>
        <w:pict>
          <v:shape id="_x0000_s1150" type="#_x0000_t202" style="position:absolute;left:0;text-align:left;margin-left:470.25pt;margin-top:7.1pt;width:1in;height:8.55pt;z-index:251660288" filled="f" stroked="f">
            <v:textbox style="mso-next-textbox:#_x0000_s1150" inset="1mm,0,1mm,0">
              <w:txbxContent>
                <w:p w:rsidR="00EA0792" w:rsidRDefault="00EA0792">
                  <w:pPr>
                    <w:spacing w:line="160" w:lineRule="exact"/>
                    <w:jc w:val="left"/>
                    <w:rPr>
                      <w:rFonts w:cs="Miriam" w:hint="cs"/>
                      <w:szCs w:val="18"/>
                      <w:rtl/>
                      <w:lang w:eastAsia="en-US"/>
                    </w:rPr>
                  </w:pPr>
                  <w:r>
                    <w:rPr>
                      <w:rFonts w:cs="Miriam" w:hint="cs"/>
                      <w:szCs w:val="18"/>
                      <w:rtl/>
                      <w:lang w:eastAsia="en-US"/>
                    </w:rPr>
                    <w:t>הפסקת השליטה</w:t>
                  </w:r>
                </w:p>
              </w:txbxContent>
            </v:textbox>
            <w10:anchorlock/>
          </v:shape>
        </w:pict>
      </w:r>
      <w:r>
        <w:rPr>
          <w:rStyle w:val="big-number"/>
          <w:rFonts w:hint="cs"/>
          <w:rtl/>
          <w:lang w:eastAsia="en-US"/>
        </w:rPr>
        <w:t>7</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גורם ישראלי שחדל להיות בעל שליטה בכלי שיט זר הרשום בפנקס הרישום, יודיע על כך לממונה על הרישום בתוך 30 ימים מיום שחדל להיות בעל שליטה כאמור;</w:t>
      </w:r>
      <w:r>
        <w:rPr>
          <w:rStyle w:val="default"/>
          <w:rFonts w:cs="FrankRuehl" w:hint="cs"/>
          <w:rtl/>
          <w:lang w:eastAsia="en-US"/>
        </w:rPr>
        <w:t xml:space="preserve"> </w:t>
      </w:r>
      <w:r>
        <w:rPr>
          <w:rStyle w:val="default"/>
          <w:rFonts w:cs="FrankRuehl"/>
          <w:rtl/>
          <w:lang w:eastAsia="en-US"/>
        </w:rPr>
        <w:t>הודיע כאמור, רשאי הממונה על הרישום לדרוש ממנו פרט, מסמך, או תעודה הנחוצים לדעתו לשם הוכחת הפסקת השליטה בכלי השיט הזר.</w:t>
      </w:r>
    </w:p>
    <w:p w:rsidR="00EA0792" w:rsidRDefault="00EA079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נוכח הממונה על הרישום, על סמך הודעה כאמור בסעיף קטן (א) או בדרך אחרת, כי גורם ישראלי חדל להיות בעל שליטה בכלי שיט זר הרשום בפנקס הרישום, ימחק את כלי השיט מפנקס הרישום לאחר שנתן לגורם הישראלי האמור הזדמנות להשמיע את טענותיו.</w:t>
      </w:r>
    </w:p>
    <w:p w:rsidR="00EA0792" w:rsidRDefault="00EA0792">
      <w:pPr>
        <w:pStyle w:val="P00"/>
        <w:spacing w:before="72"/>
        <w:ind w:left="0" w:right="1134"/>
        <w:rPr>
          <w:rStyle w:val="default"/>
          <w:rFonts w:cs="FrankRuehl" w:hint="cs"/>
          <w:rtl/>
          <w:lang w:eastAsia="en-US"/>
        </w:rPr>
      </w:pPr>
      <w:bookmarkStart w:id="7" w:name="Seif3"/>
      <w:bookmarkEnd w:id="7"/>
      <w:r>
        <w:rPr>
          <w:rFonts w:cs="Miriam"/>
          <w:szCs w:val="32"/>
          <w:rtl/>
          <w:lang w:val="he-IL"/>
        </w:rPr>
        <w:pict>
          <v:shape id="_x0000_s1143" type="#_x0000_t202" style="position:absolute;left:0;text-align:left;margin-left:470.25pt;margin-top:7.1pt;width:1in;height:13.4pt;z-index:251654144" filled="f" stroked="f">
            <v:textbox inset="1mm,0,1mm,0">
              <w:txbxContent>
                <w:p w:rsidR="00EA0792" w:rsidRDefault="00EA0792">
                  <w:pPr>
                    <w:spacing w:line="160" w:lineRule="exact"/>
                    <w:jc w:val="left"/>
                    <w:rPr>
                      <w:rFonts w:cs="Miriam" w:hint="cs"/>
                      <w:szCs w:val="18"/>
                      <w:rtl/>
                      <w:lang w:eastAsia="en-US"/>
                    </w:rPr>
                  </w:pPr>
                  <w:r>
                    <w:rPr>
                      <w:rFonts w:cs="Miriam" w:hint="cs"/>
                      <w:szCs w:val="18"/>
                      <w:rtl/>
                      <w:lang w:eastAsia="en-US"/>
                    </w:rPr>
                    <w:t>עונשין</w:t>
                  </w:r>
                </w:p>
              </w:txbxContent>
            </v:textbox>
            <w10:anchorlock/>
          </v:shape>
        </w:pict>
      </w:r>
      <w:r>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גורם ישראלי שלא מסר לממונה על הרישום הודעה על שליטה, בניגוד להוראות סעיף</w:t>
      </w:r>
      <w:r>
        <w:rPr>
          <w:rStyle w:val="default"/>
          <w:rFonts w:cs="FrankRuehl" w:hint="cs"/>
          <w:rtl/>
          <w:lang w:eastAsia="en-US"/>
        </w:rPr>
        <w:t xml:space="preserve"> </w:t>
      </w:r>
      <w:r>
        <w:rPr>
          <w:rStyle w:val="default"/>
          <w:rFonts w:cs="FrankRuehl"/>
          <w:rtl/>
          <w:lang w:eastAsia="en-US"/>
        </w:rPr>
        <w:br/>
        <w:t>4(א), או שלא מסר לממונה על הרישום פרטים, מסמכים או תעודות שנדרש למסרם לפי</w:t>
      </w:r>
      <w:r>
        <w:rPr>
          <w:rStyle w:val="default"/>
          <w:rFonts w:cs="FrankRuehl" w:hint="cs"/>
          <w:rtl/>
          <w:lang w:eastAsia="en-US"/>
        </w:rPr>
        <w:t xml:space="preserve"> </w:t>
      </w:r>
      <w:r>
        <w:rPr>
          <w:rStyle w:val="default"/>
          <w:rFonts w:cs="FrankRuehl"/>
          <w:rtl/>
          <w:lang w:eastAsia="en-US"/>
        </w:rPr>
        <w:t>הוראות סעיפים 4(ב) או 5, דינו – קנס כאמור בסעיף 61(א)(3) לחוק העונשין, התשל"ז</w:t>
      </w:r>
      <w:r>
        <w:rPr>
          <w:rStyle w:val="default"/>
          <w:rFonts w:cs="FrankRuehl" w:hint="cs"/>
          <w:rtl/>
          <w:lang w:eastAsia="en-US"/>
        </w:rPr>
        <w:t>-1977</w:t>
      </w:r>
      <w:r>
        <w:rPr>
          <w:rStyle w:val="default"/>
          <w:rFonts w:cs="FrankRuehl"/>
          <w:rtl/>
          <w:lang w:eastAsia="en-US"/>
        </w:rPr>
        <w:t>,</w:t>
      </w:r>
      <w:r>
        <w:rPr>
          <w:rStyle w:val="default"/>
          <w:rFonts w:cs="FrankRuehl" w:hint="cs"/>
          <w:rtl/>
          <w:lang w:eastAsia="en-US"/>
        </w:rPr>
        <w:t xml:space="preserve"> </w:t>
      </w:r>
      <w:r>
        <w:rPr>
          <w:rStyle w:val="default"/>
          <w:rFonts w:cs="FrankRuehl"/>
          <w:rtl/>
          <w:lang w:eastAsia="en-US"/>
        </w:rPr>
        <w:t>ובעבירה נמשכת – קנס נוסף בשיעור הקבוע בסעיף 61(ג) לחוק האמור, לכל יום שבו נמשכת העבירה.</w:t>
      </w:r>
    </w:p>
    <w:p w:rsidR="00EA0792" w:rsidRDefault="00EA0792">
      <w:pPr>
        <w:pStyle w:val="P00"/>
        <w:spacing w:before="72"/>
        <w:ind w:left="0" w:right="1134"/>
        <w:rPr>
          <w:rStyle w:val="default"/>
          <w:rFonts w:cs="FrankRuehl" w:hint="cs"/>
          <w:rtl/>
          <w:lang w:eastAsia="en-US"/>
        </w:rPr>
      </w:pPr>
      <w:bookmarkStart w:id="8" w:name="Seif4"/>
      <w:bookmarkEnd w:id="8"/>
      <w:r>
        <w:rPr>
          <w:rFonts w:cs="Miriam"/>
          <w:szCs w:val="32"/>
          <w:rtl/>
          <w:lang w:val="he-IL"/>
        </w:rPr>
        <w:pict>
          <v:shape id="_x0000_s1144" type="#_x0000_t202" style="position:absolute;left:0;text-align:left;margin-left:470.25pt;margin-top:7.1pt;width:1in;height:16.1pt;z-index:251655168" filled="f" stroked="f">
            <v:textbox inset="1mm,0,1mm,0">
              <w:txbxContent>
                <w:p w:rsidR="00EA0792" w:rsidRDefault="00EA0792">
                  <w:pPr>
                    <w:spacing w:line="160" w:lineRule="exact"/>
                    <w:jc w:val="left"/>
                    <w:rPr>
                      <w:rFonts w:cs="Miriam" w:hint="cs"/>
                      <w:szCs w:val="18"/>
                      <w:rtl/>
                      <w:lang w:eastAsia="en-US"/>
                    </w:rPr>
                  </w:pPr>
                  <w:r>
                    <w:rPr>
                      <w:rFonts w:cs="Miriam" w:hint="cs"/>
                      <w:szCs w:val="18"/>
                      <w:rtl/>
                      <w:lang w:eastAsia="en-US"/>
                    </w:rPr>
                    <w:t>שמירת סמכויות וחובות</w:t>
                  </w:r>
                </w:p>
              </w:txbxContent>
            </v:textbox>
            <w10:anchorlock/>
          </v:shape>
        </w:pict>
      </w:r>
      <w:r>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סמכויות לפי חוק זה אינן גורעות מסמכויות לפי חיקוק אחר, וקיום חובה לפי חוק זה אינו פוטר מקיום חובה לפי חיקוק אחר.</w:t>
      </w:r>
    </w:p>
    <w:p w:rsidR="00EA0792" w:rsidRDefault="00EA0792">
      <w:pPr>
        <w:pStyle w:val="P00"/>
        <w:spacing w:before="72"/>
        <w:ind w:left="0" w:right="1134"/>
        <w:rPr>
          <w:rStyle w:val="default"/>
          <w:rFonts w:cs="FrankRuehl" w:hint="cs"/>
          <w:rtl/>
          <w:lang w:eastAsia="en-US"/>
        </w:rPr>
      </w:pPr>
      <w:bookmarkStart w:id="9" w:name="Seif10"/>
      <w:bookmarkEnd w:id="9"/>
      <w:r>
        <w:rPr>
          <w:rFonts w:cs="Miriam"/>
          <w:szCs w:val="32"/>
          <w:rtl/>
          <w:lang w:val="he-IL"/>
        </w:rPr>
        <w:pict>
          <v:shape id="_x0000_s1151" type="#_x0000_t202" style="position:absolute;left:0;text-align:left;margin-left:470.25pt;margin-top:7.1pt;width:1in;height:11pt;z-index:251661312" filled="f" stroked="f">
            <v:textbox inset="1mm,0,1mm,0">
              <w:txbxContent>
                <w:p w:rsidR="00EA0792" w:rsidRDefault="00EA0792">
                  <w:pPr>
                    <w:spacing w:line="160" w:lineRule="exact"/>
                    <w:jc w:val="left"/>
                    <w:rPr>
                      <w:rFonts w:cs="Miriam" w:hint="cs"/>
                      <w:szCs w:val="18"/>
                      <w:rtl/>
                      <w:lang w:eastAsia="en-US"/>
                    </w:rPr>
                  </w:pPr>
                  <w:r>
                    <w:rPr>
                      <w:rFonts w:cs="Miriam" w:hint="cs"/>
                      <w:szCs w:val="18"/>
                      <w:rtl/>
                      <w:lang w:eastAsia="en-US"/>
                    </w:rPr>
                    <w:t>ביצוע ותקנות</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t>השר ממונה על ביצוע חוק זה והוא רשאי להתקין תקנות בכל הנוגע לביצועו.</w:t>
      </w:r>
    </w:p>
    <w:p w:rsidR="00EA0792" w:rsidRDefault="00EA0792">
      <w:pPr>
        <w:pStyle w:val="P00"/>
        <w:spacing w:before="72"/>
        <w:ind w:left="0" w:right="1134"/>
        <w:rPr>
          <w:rStyle w:val="default"/>
          <w:rFonts w:cs="FrankRuehl" w:hint="cs"/>
          <w:rtl/>
          <w:lang w:eastAsia="en-US"/>
        </w:rPr>
      </w:pPr>
      <w:bookmarkStart w:id="10" w:name="Seif5"/>
      <w:bookmarkEnd w:id="10"/>
      <w:r>
        <w:rPr>
          <w:rFonts w:cs="Miriam"/>
          <w:szCs w:val="32"/>
          <w:rtl/>
          <w:lang w:val="he-IL"/>
        </w:rPr>
        <w:pict>
          <v:shape id="_x0000_s1145" type="#_x0000_t202" style="position:absolute;left:0;text-align:left;margin-left:470.25pt;margin-top:7.1pt;width:1in;height:8.55pt;z-index:251656192" filled="f" stroked="f">
            <v:textbox inset="1mm,0,1mm,0">
              <w:txbxContent>
                <w:p w:rsidR="00EA0792" w:rsidRDefault="00EA0792">
                  <w:pPr>
                    <w:spacing w:line="160" w:lineRule="exact"/>
                    <w:jc w:val="left"/>
                    <w:rPr>
                      <w:rFonts w:cs="Miriam" w:hint="cs"/>
                      <w:szCs w:val="18"/>
                      <w:rtl/>
                      <w:lang w:eastAsia="en-US"/>
                    </w:rPr>
                  </w:pPr>
                  <w:r>
                    <w:rPr>
                      <w:rFonts w:cs="Miriam" w:hint="cs"/>
                      <w:szCs w:val="18"/>
                      <w:rtl/>
                      <w:lang w:eastAsia="en-US"/>
                    </w:rPr>
                    <w:t>והוראת מעבר</w:t>
                  </w:r>
                </w:p>
              </w:txbxContent>
            </v:textbox>
            <w10:anchorlock/>
          </v:shape>
        </w:pict>
      </w:r>
      <w:r>
        <w:rPr>
          <w:rStyle w:val="big-number"/>
          <w:rFonts w:hint="cs"/>
          <w:rtl/>
          <w:lang w:eastAsia="en-US"/>
        </w:rPr>
        <w:t>11</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כלי שיט זר שהוא בשליטה של גורם ישראלי, אשר ערב תחילתו של חוק זה ניתנה</w:t>
      </w:r>
      <w:r>
        <w:rPr>
          <w:rStyle w:val="default"/>
          <w:rFonts w:cs="FrankRuehl" w:hint="cs"/>
          <w:rtl/>
          <w:lang w:eastAsia="en-US"/>
        </w:rPr>
        <w:t xml:space="preserve"> </w:t>
      </w:r>
      <w:r>
        <w:rPr>
          <w:rStyle w:val="default"/>
          <w:rFonts w:cs="FrankRuehl"/>
          <w:rtl/>
          <w:lang w:eastAsia="en-US"/>
        </w:rPr>
        <w:t>לגביו הודעה לפי תקנה 7(ב) שבתוספת לחוק להארכת תוקף של תקנות שעת חירום (פיקוח</w:t>
      </w:r>
      <w:r>
        <w:rPr>
          <w:rStyle w:val="default"/>
          <w:rFonts w:cs="FrankRuehl" w:hint="cs"/>
          <w:rtl/>
          <w:lang w:eastAsia="en-US"/>
        </w:rPr>
        <w:t xml:space="preserve"> </w:t>
      </w:r>
      <w:r>
        <w:rPr>
          <w:rStyle w:val="default"/>
          <w:rFonts w:cs="FrankRuehl"/>
          <w:rtl/>
          <w:lang w:eastAsia="en-US"/>
        </w:rPr>
        <w:t>על כלי שיט) [נוסח משולב], התשל"ג</w:t>
      </w:r>
      <w:r>
        <w:rPr>
          <w:rStyle w:val="default"/>
          <w:rFonts w:cs="FrankRuehl" w:hint="cs"/>
          <w:rtl/>
          <w:lang w:eastAsia="en-US"/>
        </w:rPr>
        <w:t>-1973</w:t>
      </w:r>
      <w:r>
        <w:rPr>
          <w:rStyle w:val="default"/>
          <w:rFonts w:cs="FrankRuehl"/>
          <w:rtl/>
          <w:lang w:eastAsia="en-US"/>
        </w:rPr>
        <w:t>, יראו אותו כאילו נרשם בפנקס הרישום לפי הוראות חוק זה.</w:t>
      </w:r>
    </w:p>
    <w:p w:rsidR="00EA0792" w:rsidRDefault="00EA0792">
      <w:pPr>
        <w:pStyle w:val="P00"/>
        <w:spacing w:before="72"/>
        <w:ind w:left="0" w:right="1134"/>
        <w:rPr>
          <w:rStyle w:val="default"/>
          <w:rFonts w:cs="FrankRuehl" w:hint="cs"/>
          <w:rtl/>
          <w:lang w:eastAsia="en-US"/>
        </w:rPr>
      </w:pPr>
      <w:bookmarkStart w:id="11" w:name="Seif11"/>
      <w:bookmarkEnd w:id="11"/>
      <w:r>
        <w:rPr>
          <w:rFonts w:cs="Miriam"/>
          <w:szCs w:val="32"/>
          <w:rtl/>
          <w:lang w:val="he-IL"/>
        </w:rPr>
        <w:pict>
          <v:shape id="_x0000_s1152" type="#_x0000_t202" style="position:absolute;left:0;text-align:left;margin-left:470.25pt;margin-top:7.1pt;width:1in;height:16.65pt;z-index:251662336" filled="f" stroked="f">
            <v:textbox inset="1mm,0,1mm,0">
              <w:txbxContent>
                <w:p w:rsidR="00EA0792" w:rsidRDefault="00EA0792">
                  <w:pPr>
                    <w:spacing w:line="160" w:lineRule="exact"/>
                    <w:jc w:val="left"/>
                    <w:rPr>
                      <w:rFonts w:cs="Miriam" w:hint="cs"/>
                      <w:szCs w:val="18"/>
                      <w:rtl/>
                      <w:lang w:eastAsia="en-US"/>
                    </w:rPr>
                  </w:pPr>
                  <w:r>
                    <w:rPr>
                      <w:rFonts w:cs="Miriam" w:hint="cs"/>
                      <w:szCs w:val="18"/>
                      <w:rtl/>
                      <w:lang w:eastAsia="en-US"/>
                    </w:rPr>
                    <w:t xml:space="preserve">תיקון חוק הספנות (ימאים) </w:t>
                  </w:r>
                  <w:r>
                    <w:rPr>
                      <w:rFonts w:cs="Miriam"/>
                      <w:szCs w:val="18"/>
                      <w:rtl/>
                      <w:lang w:eastAsia="en-US"/>
                    </w:rPr>
                    <w:t>–</w:t>
                  </w:r>
                  <w:r>
                    <w:rPr>
                      <w:rFonts w:cs="Miriam" w:hint="cs"/>
                      <w:szCs w:val="18"/>
                      <w:rtl/>
                      <w:lang w:eastAsia="en-US"/>
                    </w:rPr>
                    <w:t xml:space="preserve"> מס' 3</w:t>
                  </w:r>
                </w:p>
              </w:txbxContent>
            </v:textbox>
            <w10:anchorlock/>
          </v:shape>
        </w:pict>
      </w:r>
      <w:r>
        <w:rPr>
          <w:rStyle w:val="big-number"/>
          <w:rFonts w:hint="cs"/>
          <w:rtl/>
          <w:lang w:eastAsia="en-US"/>
        </w:rPr>
        <w:t>12</w:t>
      </w:r>
      <w:r>
        <w:rPr>
          <w:rStyle w:val="default"/>
          <w:rFonts w:cs="FrankRuehl" w:hint="cs"/>
          <w:rtl/>
          <w:lang w:eastAsia="en-US"/>
        </w:rPr>
        <w:t>.</w:t>
      </w:r>
      <w:r>
        <w:rPr>
          <w:rStyle w:val="default"/>
          <w:rFonts w:cs="FrankRuehl" w:hint="cs"/>
          <w:rtl/>
          <w:lang w:eastAsia="en-US"/>
        </w:rPr>
        <w:tab/>
        <w:t xml:space="preserve">בחוק הספנות (ימאים), התשל"ג-1973, סעיף 224 </w:t>
      </w:r>
      <w:r>
        <w:rPr>
          <w:rStyle w:val="default"/>
          <w:rFonts w:cs="FrankRuehl"/>
          <w:rtl/>
          <w:lang w:eastAsia="en-US"/>
        </w:rPr>
        <w:t>–</w:t>
      </w:r>
      <w:r>
        <w:rPr>
          <w:rStyle w:val="default"/>
          <w:rFonts w:cs="FrankRuehl" w:hint="cs"/>
          <w:rtl/>
          <w:lang w:eastAsia="en-US"/>
        </w:rPr>
        <w:t xml:space="preserve"> בטל.</w:t>
      </w:r>
    </w:p>
    <w:p w:rsidR="00EA0792" w:rsidRDefault="00EA0792">
      <w:pPr>
        <w:pStyle w:val="P00"/>
        <w:spacing w:before="72"/>
        <w:ind w:left="0" w:right="1134"/>
        <w:rPr>
          <w:rStyle w:val="default"/>
          <w:rFonts w:cs="FrankRuehl" w:hint="cs"/>
          <w:rtl/>
          <w:lang w:eastAsia="en-US"/>
        </w:rPr>
      </w:pPr>
      <w:bookmarkStart w:id="12" w:name="Seif12"/>
      <w:bookmarkEnd w:id="12"/>
      <w:r>
        <w:rPr>
          <w:rFonts w:cs="Miriam"/>
          <w:szCs w:val="32"/>
          <w:rtl/>
          <w:lang w:val="he-IL"/>
        </w:rPr>
        <w:pict>
          <v:shape id="_x0000_s1220" type="#_x0000_t202" style="position:absolute;left:0;text-align:left;margin-left:470.25pt;margin-top:7.1pt;width:1in;height:24.7pt;z-index:251663360" filled="f" stroked="f">
            <v:textbox inset="1mm,0,1mm,0">
              <w:txbxContent>
                <w:p w:rsidR="00EA0792" w:rsidRDefault="00EA0792">
                  <w:pPr>
                    <w:spacing w:line="160" w:lineRule="exact"/>
                    <w:jc w:val="left"/>
                    <w:rPr>
                      <w:rFonts w:cs="Miriam" w:hint="cs"/>
                      <w:szCs w:val="18"/>
                      <w:rtl/>
                      <w:lang w:eastAsia="en-US"/>
                    </w:rPr>
                  </w:pPr>
                  <w:r>
                    <w:rPr>
                      <w:rFonts w:cs="Miriam" w:hint="cs"/>
                      <w:szCs w:val="18"/>
                      <w:rtl/>
                      <w:lang w:eastAsia="en-US"/>
                    </w:rPr>
                    <w:t xml:space="preserve">תיקון חוק בתי משפט לענינים מינהליים </w:t>
                  </w:r>
                  <w:r>
                    <w:rPr>
                      <w:rFonts w:cs="Miriam"/>
                      <w:szCs w:val="18"/>
                      <w:rtl/>
                      <w:lang w:eastAsia="en-US"/>
                    </w:rPr>
                    <w:t>–</w:t>
                  </w:r>
                  <w:r>
                    <w:rPr>
                      <w:rFonts w:cs="Miriam" w:hint="cs"/>
                      <w:szCs w:val="18"/>
                      <w:rtl/>
                      <w:lang w:eastAsia="en-US"/>
                    </w:rPr>
                    <w:t xml:space="preserve"> מס' 18</w:t>
                  </w:r>
                </w:p>
              </w:txbxContent>
            </v:textbox>
            <w10:anchorlock/>
          </v:shape>
        </w:pict>
      </w:r>
      <w:r>
        <w:rPr>
          <w:rStyle w:val="big-number"/>
          <w:rFonts w:hint="cs"/>
          <w:rtl/>
          <w:lang w:eastAsia="en-US"/>
        </w:rPr>
        <w:t>13</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בחוק בתי משפט לענינים מינהליים, התש"ס</w:t>
      </w:r>
      <w:r>
        <w:rPr>
          <w:rStyle w:val="default"/>
          <w:rFonts w:cs="FrankRuehl" w:hint="cs"/>
          <w:rtl/>
          <w:lang w:eastAsia="en-US"/>
        </w:rPr>
        <w:t>-2000</w:t>
      </w:r>
      <w:r>
        <w:rPr>
          <w:rStyle w:val="default"/>
          <w:rFonts w:cs="FrankRuehl"/>
          <w:rtl/>
          <w:lang w:eastAsia="en-US"/>
        </w:rPr>
        <w:t>, בתוספת הראשונה, בפרט 14, הפסקה החל במילים "החלטה של רשות" תסומן "(א)" ואחריה יבוא:</w:t>
      </w:r>
    </w:p>
    <w:p w:rsidR="00EA0792" w:rsidRDefault="00EA0792">
      <w:pPr>
        <w:pStyle w:val="P00"/>
        <w:spacing w:before="72"/>
        <w:ind w:left="624" w:right="1134"/>
        <w:rPr>
          <w:rStyle w:val="default"/>
          <w:rFonts w:cs="FrankRuehl" w:hint="cs"/>
          <w:rtl/>
          <w:lang w:eastAsia="en-US"/>
        </w:rPr>
      </w:pPr>
      <w:r>
        <w:rPr>
          <w:rStyle w:val="default"/>
          <w:rFonts w:cs="FrankRuehl"/>
          <w:rtl/>
          <w:lang w:eastAsia="en-US"/>
        </w:rPr>
        <w:t>"(ב)</w:t>
      </w:r>
      <w:r>
        <w:rPr>
          <w:rStyle w:val="default"/>
          <w:rFonts w:cs="FrankRuehl" w:hint="cs"/>
          <w:rtl/>
          <w:lang w:eastAsia="en-US"/>
        </w:rPr>
        <w:tab/>
      </w:r>
      <w:r>
        <w:rPr>
          <w:rStyle w:val="default"/>
          <w:rFonts w:cs="FrankRuehl"/>
          <w:rtl/>
          <w:lang w:eastAsia="en-US"/>
        </w:rPr>
        <w:t>החלטה של הממונה על הרישום לפי סעיף 5 בחוק הספנות (כלי שיט זר בשליטה של גורם ישראלי), התשס"ה</w:t>
      </w:r>
      <w:r>
        <w:rPr>
          <w:rStyle w:val="default"/>
          <w:rFonts w:cs="FrankRuehl" w:hint="cs"/>
          <w:rtl/>
          <w:lang w:eastAsia="en-US"/>
        </w:rPr>
        <w:t>-2005."</w:t>
      </w:r>
    </w:p>
    <w:p w:rsidR="00EA0792" w:rsidRDefault="00EA0792">
      <w:pPr>
        <w:pStyle w:val="P00"/>
        <w:spacing w:before="72"/>
        <w:ind w:left="0" w:right="1134"/>
        <w:rPr>
          <w:rStyle w:val="default"/>
          <w:rFonts w:cs="FrankRuehl" w:hint="cs"/>
          <w:rtl/>
          <w:lang w:eastAsia="en-US"/>
        </w:rPr>
      </w:pPr>
      <w:bookmarkStart w:id="13" w:name="Seif13"/>
      <w:bookmarkEnd w:id="13"/>
      <w:r>
        <w:rPr>
          <w:rFonts w:cs="Miriam"/>
          <w:szCs w:val="32"/>
          <w:rtl/>
          <w:lang w:val="he-IL"/>
        </w:rPr>
        <w:pict>
          <v:shape id="_x0000_s1221" type="#_x0000_t202" style="position:absolute;left:0;text-align:left;margin-left:470.25pt;margin-top:7.1pt;width:1in;height:40.6pt;z-index:251664384" filled="f" stroked="f">
            <v:textbox inset="1mm,0,1mm,0">
              <w:txbxContent>
                <w:p w:rsidR="00EA0792" w:rsidRDefault="00EA0792">
                  <w:pPr>
                    <w:spacing w:line="160" w:lineRule="exact"/>
                    <w:jc w:val="left"/>
                    <w:rPr>
                      <w:rFonts w:cs="Miriam" w:hint="cs"/>
                      <w:szCs w:val="18"/>
                      <w:rtl/>
                      <w:lang w:eastAsia="en-US"/>
                    </w:rPr>
                  </w:pPr>
                  <w:r>
                    <w:rPr>
                      <w:rFonts w:cs="Miriam" w:hint="cs"/>
                      <w:szCs w:val="18"/>
                      <w:rtl/>
                      <w:lang w:eastAsia="en-US"/>
                    </w:rPr>
                    <w:t xml:space="preserve">תיקון חוק להארכת תוקף של תקנות שעת חירום (פיקוח על כלי שיט) </w:t>
                  </w:r>
                  <w:r>
                    <w:rPr>
                      <w:rFonts w:cs="Miriam"/>
                      <w:szCs w:val="18"/>
                      <w:rtl/>
                      <w:lang w:eastAsia="en-US"/>
                    </w:rPr>
                    <w:t>–</w:t>
                  </w:r>
                  <w:r>
                    <w:rPr>
                      <w:rFonts w:cs="Miriam" w:hint="cs"/>
                      <w:szCs w:val="18"/>
                      <w:rtl/>
                      <w:lang w:eastAsia="en-US"/>
                    </w:rPr>
                    <w:t xml:space="preserve"> מס' 3</w:t>
                  </w:r>
                </w:p>
              </w:txbxContent>
            </v:textbox>
            <w10:anchorlock/>
          </v:shape>
        </w:pict>
      </w:r>
      <w:r>
        <w:rPr>
          <w:rStyle w:val="big-number"/>
          <w:rFonts w:hint="cs"/>
          <w:rtl/>
          <w:lang w:eastAsia="en-US"/>
        </w:rPr>
        <w:t>14</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בחוק להארכת תוקף של תקנות שעת חירום (פיקוח על כלי שיט) [נוסח משולב], התשל"ג</w:t>
      </w:r>
      <w:r>
        <w:rPr>
          <w:rStyle w:val="default"/>
          <w:rFonts w:cs="FrankRuehl" w:hint="cs"/>
          <w:rtl/>
          <w:lang w:eastAsia="en-US"/>
        </w:rPr>
        <w:t>-1973</w:t>
      </w:r>
      <w:r>
        <w:rPr>
          <w:rStyle w:val="default"/>
          <w:rFonts w:cs="FrankRuehl"/>
          <w:rtl/>
          <w:lang w:eastAsia="en-US"/>
        </w:rPr>
        <w:t>, בתוספת, תקנה 7א – בטלה.</w:t>
      </w:r>
    </w:p>
    <w:p w:rsidR="00EA0792" w:rsidRDefault="00EA0792">
      <w:pPr>
        <w:pStyle w:val="P00"/>
        <w:spacing w:before="72"/>
        <w:ind w:left="0" w:right="1134"/>
        <w:rPr>
          <w:rFonts w:hint="cs"/>
          <w:rtl/>
          <w:lang w:eastAsia="en-US"/>
        </w:rPr>
      </w:pPr>
    </w:p>
    <w:p w:rsidR="00EA0792" w:rsidRDefault="00EA0792">
      <w:pPr>
        <w:pStyle w:val="P00"/>
        <w:spacing w:before="72"/>
        <w:ind w:left="0" w:right="1134"/>
        <w:rPr>
          <w:rFonts w:hint="cs"/>
          <w:rtl/>
          <w:lang w:eastAsia="en-US"/>
        </w:rPr>
      </w:pPr>
    </w:p>
    <w:p w:rsidR="00EA0792" w:rsidRDefault="00EA0792">
      <w:pPr>
        <w:pStyle w:val="P00"/>
        <w:tabs>
          <w:tab w:val="clear" w:pos="624"/>
          <w:tab w:val="clear" w:pos="1021"/>
          <w:tab w:val="clear" w:pos="1474"/>
          <w:tab w:val="clear" w:pos="1928"/>
          <w:tab w:val="clear" w:pos="2381"/>
          <w:tab w:val="clear" w:pos="2835"/>
          <w:tab w:val="clear" w:pos="6259"/>
          <w:tab w:val="center" w:pos="3402"/>
          <w:tab w:val="center" w:pos="6804"/>
        </w:tabs>
        <w:spacing w:before="72"/>
        <w:ind w:left="0" w:right="1134"/>
        <w:rPr>
          <w:rFonts w:hint="cs"/>
          <w:rtl/>
          <w:lang w:eastAsia="en-US"/>
        </w:rPr>
      </w:pPr>
      <w:r>
        <w:rPr>
          <w:rFonts w:hint="cs"/>
          <w:rtl/>
          <w:lang w:eastAsia="en-US"/>
        </w:rPr>
        <w:tab/>
        <w:t>אריאל שרון</w:t>
      </w:r>
      <w:r>
        <w:rPr>
          <w:rFonts w:hint="cs"/>
          <w:rtl/>
          <w:lang w:eastAsia="en-US"/>
        </w:rPr>
        <w:tab/>
        <w:t>שאול מופז</w:t>
      </w:r>
    </w:p>
    <w:p w:rsidR="00EA0792" w:rsidRDefault="00EA0792">
      <w:pPr>
        <w:pStyle w:val="P00"/>
        <w:tabs>
          <w:tab w:val="clear" w:pos="624"/>
          <w:tab w:val="clear" w:pos="1021"/>
          <w:tab w:val="clear" w:pos="1474"/>
          <w:tab w:val="clear" w:pos="1928"/>
          <w:tab w:val="clear" w:pos="2381"/>
          <w:tab w:val="clear" w:pos="2835"/>
          <w:tab w:val="clear" w:pos="6259"/>
          <w:tab w:val="center" w:pos="3402"/>
          <w:tab w:val="center" w:pos="6804"/>
        </w:tabs>
        <w:spacing w:before="72"/>
        <w:ind w:left="0" w:right="1134"/>
        <w:rPr>
          <w:rFonts w:hint="cs"/>
          <w:sz w:val="22"/>
          <w:szCs w:val="22"/>
          <w:rtl/>
          <w:lang w:eastAsia="en-US"/>
        </w:rPr>
      </w:pPr>
      <w:r>
        <w:rPr>
          <w:rFonts w:hint="cs"/>
          <w:sz w:val="22"/>
          <w:szCs w:val="22"/>
          <w:rtl/>
          <w:lang w:eastAsia="en-US"/>
        </w:rPr>
        <w:tab/>
        <w:t xml:space="preserve">ראש הממשלה </w:t>
      </w:r>
      <w:r>
        <w:rPr>
          <w:rFonts w:hint="cs"/>
          <w:sz w:val="22"/>
          <w:szCs w:val="22"/>
          <w:rtl/>
          <w:lang w:eastAsia="en-US"/>
        </w:rPr>
        <w:tab/>
        <w:t>שר הביטחון</w:t>
      </w:r>
    </w:p>
    <w:p w:rsidR="00EA0792" w:rsidRDefault="00EA0792">
      <w:pPr>
        <w:pStyle w:val="sig-0"/>
        <w:tabs>
          <w:tab w:val="clear" w:pos="4820"/>
          <w:tab w:val="center" w:pos="1701"/>
          <w:tab w:val="center" w:pos="5103"/>
        </w:tabs>
        <w:ind w:left="0" w:right="1134"/>
        <w:rPr>
          <w:rtl/>
          <w:lang w:eastAsia="en-US"/>
        </w:rPr>
      </w:pPr>
      <w:r>
        <w:rPr>
          <w:rFonts w:hint="cs"/>
          <w:rtl/>
          <w:lang w:eastAsia="en-US"/>
        </w:rPr>
        <w:tab/>
        <w:t>משה קצב</w:t>
      </w:r>
      <w:r>
        <w:rPr>
          <w:rFonts w:hint="cs"/>
          <w:rtl/>
          <w:lang w:eastAsia="en-US"/>
        </w:rPr>
        <w:tab/>
        <w:t>ראובן ריבלין</w:t>
      </w:r>
    </w:p>
    <w:p w:rsidR="00EA0792" w:rsidRDefault="00EA0792">
      <w:pPr>
        <w:pStyle w:val="sig-1"/>
        <w:widowControl/>
        <w:tabs>
          <w:tab w:val="clear" w:pos="851"/>
          <w:tab w:val="clear" w:pos="2835"/>
          <w:tab w:val="clear" w:pos="4820"/>
          <w:tab w:val="center" w:pos="1701"/>
          <w:tab w:val="center" w:pos="5103"/>
        </w:tabs>
        <w:ind w:left="0" w:right="1134"/>
        <w:rPr>
          <w:rFonts w:hint="cs"/>
          <w:rtl/>
          <w:lang w:eastAsia="en-US"/>
        </w:rPr>
      </w:pPr>
      <w:r>
        <w:rPr>
          <w:rFonts w:hint="cs"/>
          <w:rtl/>
          <w:lang w:eastAsia="en-US"/>
        </w:rPr>
        <w:tab/>
        <w:t>נשיא המדינה</w:t>
      </w:r>
      <w:r>
        <w:rPr>
          <w:rFonts w:hint="cs"/>
          <w:rtl/>
          <w:lang w:eastAsia="en-US"/>
        </w:rPr>
        <w:tab/>
        <w:t>יושב ראש הכנסת</w:t>
      </w:r>
    </w:p>
    <w:p w:rsidR="00EA0792" w:rsidRDefault="00EA0792">
      <w:pPr>
        <w:pStyle w:val="P00"/>
        <w:spacing w:before="72"/>
        <w:ind w:left="0" w:right="1134"/>
        <w:rPr>
          <w:rStyle w:val="default"/>
          <w:rFonts w:cs="FrankRuehl"/>
          <w:rtl/>
          <w:lang w:eastAsia="en-US"/>
        </w:rPr>
      </w:pPr>
    </w:p>
    <w:sectPr w:rsidR="00EA0792">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0792" w:rsidRDefault="00EA0792">
      <w:r>
        <w:separator/>
      </w:r>
    </w:p>
  </w:endnote>
  <w:endnote w:type="continuationSeparator" w:id="0">
    <w:p w:rsidR="00EA0792" w:rsidRDefault="00EA0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0792" w:rsidRDefault="00EA0792">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EA0792" w:rsidRDefault="00EA0792">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EA0792" w:rsidRDefault="00EA0792">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color w:val="000000"/>
        <w:sz w:val="14"/>
        <w:szCs w:val="14"/>
        <w:lang w:eastAsia="en-US"/>
      </w:rPr>
      <w:t>T:\00000000-law\yael\05-09-04\2\999_474.doc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0792" w:rsidRDefault="00EA0792">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202B56">
      <w:rPr>
        <w:noProof/>
        <w:sz w:val="24"/>
        <w:szCs w:val="24"/>
        <w:rtl/>
        <w:lang w:eastAsia="en-US"/>
      </w:rPr>
      <w:t>2</w:t>
    </w:r>
    <w:r>
      <w:rPr>
        <w:rFonts w:hAnsi="FrankRuehl"/>
        <w:sz w:val="24"/>
        <w:szCs w:val="24"/>
        <w:rtl/>
      </w:rPr>
      <w:fldChar w:fldCharType="end"/>
    </w:r>
  </w:p>
  <w:p w:rsidR="00EA0792" w:rsidRDefault="00EA0792">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EA0792" w:rsidRDefault="00EA0792">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color w:val="000000"/>
        <w:sz w:val="14"/>
        <w:szCs w:val="14"/>
        <w:lang w:eastAsia="en-US"/>
      </w:rPr>
      <w:t>T:\00000000-law\yael\05-09-04\2\999_474.doc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0792" w:rsidRDefault="00EA0792">
      <w:r>
        <w:separator/>
      </w:r>
    </w:p>
  </w:footnote>
  <w:footnote w:type="continuationSeparator" w:id="0">
    <w:p w:rsidR="00EA0792" w:rsidRDefault="00EA0792">
      <w:r>
        <w:continuationSeparator/>
      </w:r>
    </w:p>
  </w:footnote>
  <w:footnote w:id="1">
    <w:p w:rsidR="00EA0792" w:rsidRDefault="00EA0792">
      <w:pPr>
        <w:pStyle w:val="footnote"/>
        <w:tabs>
          <w:tab w:val="left" w:pos="624"/>
          <w:tab w:val="left" w:pos="1021"/>
          <w:tab w:val="left" w:pos="1474"/>
          <w:tab w:val="left" w:pos="1928"/>
          <w:tab w:val="left" w:pos="2381"/>
          <w:tab w:val="left" w:pos="2835"/>
          <w:tab w:val="right" w:leader="dot" w:pos="6259"/>
        </w:tabs>
        <w:spacing w:before="72"/>
        <w:ind w:left="0" w:right="1134"/>
        <w:rPr>
          <w:sz w:val="20"/>
          <w:rtl/>
          <w:lang w:eastAsia="en-US"/>
        </w:rPr>
      </w:pPr>
      <w:r>
        <w:rPr>
          <w:sz w:val="20"/>
          <w:szCs w:val="20"/>
          <w:lang w:eastAsia="en-US"/>
        </w:rPr>
        <w:t>*</w:t>
      </w:r>
      <w:r>
        <w:rPr>
          <w:rFonts w:hint="cs"/>
          <w:sz w:val="20"/>
          <w:rtl/>
          <w:lang w:eastAsia="en-US"/>
        </w:rPr>
        <w:t xml:space="preserve"> פורסם </w:t>
      </w:r>
      <w:hyperlink r:id="rId1" w:history="1">
        <w:r>
          <w:rPr>
            <w:rStyle w:val="Hyperlink"/>
            <w:rFonts w:hint="cs"/>
            <w:sz w:val="20"/>
            <w:rtl/>
            <w:lang w:eastAsia="en-US"/>
          </w:rPr>
          <w:t>ס"ח תשס"ה מס' 2028</w:t>
        </w:r>
      </w:hyperlink>
      <w:r>
        <w:rPr>
          <w:rFonts w:hint="cs"/>
          <w:sz w:val="20"/>
          <w:rtl/>
          <w:lang w:eastAsia="en-US"/>
        </w:rPr>
        <w:t xml:space="preserve"> מיום 21.8.2005 עמ' 989 (</w:t>
      </w:r>
      <w:hyperlink r:id="rId2" w:history="1">
        <w:r>
          <w:rPr>
            <w:rStyle w:val="Hyperlink"/>
            <w:rFonts w:hint="cs"/>
            <w:sz w:val="20"/>
            <w:rtl/>
            <w:lang w:eastAsia="en-US"/>
          </w:rPr>
          <w:t>ה"ח הממשלה תשס"ה מס' 135</w:t>
        </w:r>
      </w:hyperlink>
      <w:r>
        <w:rPr>
          <w:rFonts w:hint="cs"/>
          <w:sz w:val="20"/>
          <w:rtl/>
          <w:lang w:eastAsia="en-US"/>
        </w:rPr>
        <w:t xml:space="preserve"> עמ' 214).</w:t>
      </w:r>
    </w:p>
    <w:p w:rsidR="00EA0792" w:rsidRDefault="00EA0792">
      <w:pPr>
        <w:pStyle w:val="footnote"/>
        <w:tabs>
          <w:tab w:val="left" w:pos="624"/>
          <w:tab w:val="left" w:pos="1021"/>
          <w:tab w:val="left" w:pos="1474"/>
          <w:tab w:val="left" w:pos="1928"/>
          <w:tab w:val="left" w:pos="2381"/>
          <w:tab w:val="left" w:pos="2835"/>
          <w:tab w:val="right" w:leader="dot" w:pos="6259"/>
        </w:tabs>
        <w:bidi w:val="0"/>
        <w:spacing w:before="72"/>
        <w:ind w:left="0" w:right="1134"/>
        <w:rPr>
          <w:sz w:val="20"/>
          <w:rtl/>
          <w:lang w:eastAsia="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0792" w:rsidRDefault="00EA0792">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EA0792" w:rsidRDefault="00EA0792">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EA0792" w:rsidRDefault="00EA0792">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0792" w:rsidRDefault="00EA0792">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חוק הספנות (כלי שיט זר בשליטה של גורם ישראלי)</w:t>
    </w:r>
    <w:r>
      <w:rPr>
        <w:color w:val="000000"/>
        <w:sz w:val="28"/>
        <w:szCs w:val="28"/>
        <w:rtl/>
        <w:lang w:eastAsia="en-US"/>
      </w:rPr>
      <w:t>, תשס"</w:t>
    </w:r>
    <w:r>
      <w:rPr>
        <w:rFonts w:hint="cs"/>
        <w:color w:val="000000"/>
        <w:sz w:val="28"/>
        <w:szCs w:val="28"/>
        <w:rtl/>
        <w:lang w:eastAsia="en-US"/>
      </w:rPr>
      <w:t>ה</w:t>
    </w:r>
    <w:r>
      <w:rPr>
        <w:color w:val="000000"/>
        <w:sz w:val="28"/>
        <w:szCs w:val="28"/>
        <w:rtl/>
        <w:lang w:eastAsia="en-US"/>
      </w:rPr>
      <w:t>-200</w:t>
    </w:r>
    <w:r>
      <w:rPr>
        <w:rFonts w:hint="cs"/>
        <w:color w:val="000000"/>
        <w:sz w:val="28"/>
        <w:szCs w:val="28"/>
        <w:rtl/>
        <w:lang w:eastAsia="en-US"/>
      </w:rPr>
      <w:t>5</w:t>
    </w:r>
  </w:p>
  <w:p w:rsidR="00EA0792" w:rsidRDefault="00EA0792">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EA0792" w:rsidRDefault="00EA0792">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2B56"/>
    <w:rsid w:val="00202B56"/>
    <w:rsid w:val="00AF1668"/>
    <w:rsid w:val="00EA079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9BF03D8-1140-41C6-9F06-DB817EF19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135.pdf" TargetMode="External"/><Relationship Id="rId1" Type="http://schemas.openxmlformats.org/officeDocument/2006/relationships/hyperlink" Target="http://www.nevo.co.il/Law_word/law14/LAW-20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7660</CharactersWithSpaces>
  <SharedDoc>false</SharedDoc>
  <HLinks>
    <vt:vector size="96" baseType="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196634</vt:i4>
      </vt:variant>
      <vt:variant>
        <vt:i4>63</vt:i4>
      </vt:variant>
      <vt:variant>
        <vt:i4>0</vt:i4>
      </vt:variant>
      <vt:variant>
        <vt:i4>5</vt:i4>
      </vt:variant>
      <vt:variant>
        <vt:lpwstr/>
      </vt:variant>
      <vt:variant>
        <vt:lpwstr>Seif5</vt:lpwstr>
      </vt:variant>
      <vt:variant>
        <vt:i4>3342379</vt:i4>
      </vt:variant>
      <vt:variant>
        <vt:i4>57</vt:i4>
      </vt:variant>
      <vt:variant>
        <vt:i4>0</vt:i4>
      </vt:variant>
      <vt:variant>
        <vt:i4>5</vt:i4>
      </vt:variant>
      <vt:variant>
        <vt:lpwstr/>
      </vt:variant>
      <vt:variant>
        <vt:lpwstr>Seif10</vt:lpwstr>
      </vt:variant>
      <vt:variant>
        <vt:i4>196634</vt:i4>
      </vt:variant>
      <vt:variant>
        <vt:i4>51</vt:i4>
      </vt:variant>
      <vt:variant>
        <vt:i4>0</vt:i4>
      </vt:variant>
      <vt:variant>
        <vt:i4>5</vt:i4>
      </vt:variant>
      <vt:variant>
        <vt:lpwstr/>
      </vt:variant>
      <vt:variant>
        <vt:lpwstr>Seif4</vt:lpwstr>
      </vt:variant>
      <vt:variant>
        <vt:i4>196634</vt:i4>
      </vt:variant>
      <vt:variant>
        <vt:i4>45</vt:i4>
      </vt:variant>
      <vt:variant>
        <vt:i4>0</vt:i4>
      </vt:variant>
      <vt:variant>
        <vt:i4>5</vt:i4>
      </vt:variant>
      <vt:variant>
        <vt:lpwstr/>
      </vt:variant>
      <vt:variant>
        <vt:lpwstr>Seif3</vt:lpwstr>
      </vt:variant>
      <vt:variant>
        <vt:i4>196634</vt:i4>
      </vt:variant>
      <vt:variant>
        <vt:i4>39</vt:i4>
      </vt:variant>
      <vt:variant>
        <vt:i4>0</vt:i4>
      </vt:variant>
      <vt:variant>
        <vt:i4>5</vt:i4>
      </vt:variant>
      <vt:variant>
        <vt:lpwstr/>
      </vt:variant>
      <vt:variant>
        <vt:lpwstr>Seif9</vt:lpwstr>
      </vt:variant>
      <vt:variant>
        <vt:i4>196634</vt:i4>
      </vt:variant>
      <vt:variant>
        <vt:i4>33</vt:i4>
      </vt:variant>
      <vt:variant>
        <vt:i4>0</vt:i4>
      </vt:variant>
      <vt:variant>
        <vt:i4>5</vt:i4>
      </vt:variant>
      <vt:variant>
        <vt:lpwstr/>
      </vt:variant>
      <vt:variant>
        <vt:lpwstr>Seif8</vt:lpwstr>
      </vt:variant>
      <vt:variant>
        <vt:i4>196634</vt:i4>
      </vt:variant>
      <vt:variant>
        <vt:i4>27</vt:i4>
      </vt:variant>
      <vt:variant>
        <vt:i4>0</vt:i4>
      </vt:variant>
      <vt:variant>
        <vt:i4>5</vt:i4>
      </vt:variant>
      <vt:variant>
        <vt:lpwstr/>
      </vt:variant>
      <vt:variant>
        <vt:lpwstr>Seif2</vt:lpwstr>
      </vt:variant>
      <vt:variant>
        <vt:i4>196634</vt:i4>
      </vt:variant>
      <vt:variant>
        <vt:i4>21</vt:i4>
      </vt:variant>
      <vt:variant>
        <vt:i4>0</vt:i4>
      </vt:variant>
      <vt:variant>
        <vt:i4>5</vt:i4>
      </vt:variant>
      <vt:variant>
        <vt:lpwstr/>
      </vt:variant>
      <vt:variant>
        <vt:lpwstr>Seif7</vt:lpwstr>
      </vt:variant>
      <vt:variant>
        <vt:i4>196634</vt:i4>
      </vt:variant>
      <vt:variant>
        <vt:i4>15</vt:i4>
      </vt:variant>
      <vt:variant>
        <vt:i4>0</vt:i4>
      </vt:variant>
      <vt:variant>
        <vt:i4>5</vt:i4>
      </vt:variant>
      <vt:variant>
        <vt:lpwstr/>
      </vt:variant>
      <vt:variant>
        <vt:lpwstr>Seif1</vt:lpwstr>
      </vt:variant>
      <vt:variant>
        <vt:i4>196634</vt:i4>
      </vt:variant>
      <vt:variant>
        <vt:i4>9</vt:i4>
      </vt:variant>
      <vt:variant>
        <vt:i4>0</vt:i4>
      </vt:variant>
      <vt:variant>
        <vt:i4>5</vt:i4>
      </vt:variant>
      <vt:variant>
        <vt:lpwstr/>
      </vt:variant>
      <vt:variant>
        <vt:lpwstr>Seif6</vt:lpwstr>
      </vt:variant>
      <vt:variant>
        <vt:i4>196634</vt:i4>
      </vt:variant>
      <vt:variant>
        <vt:i4>3</vt:i4>
      </vt:variant>
      <vt:variant>
        <vt:i4>0</vt:i4>
      </vt:variant>
      <vt:variant>
        <vt:i4>5</vt:i4>
      </vt:variant>
      <vt:variant>
        <vt:lpwstr/>
      </vt:variant>
      <vt:variant>
        <vt:lpwstr>Seif0</vt:lpwstr>
      </vt:variant>
      <vt:variant>
        <vt:i4>8323159</vt:i4>
      </vt:variant>
      <vt:variant>
        <vt:i4>3</vt:i4>
      </vt:variant>
      <vt:variant>
        <vt:i4>0</vt:i4>
      </vt:variant>
      <vt:variant>
        <vt:i4>5</vt:i4>
      </vt:variant>
      <vt:variant>
        <vt:lpwstr>http://www.nevo.co.il/Law_word/law15/MEMSHALA-135.pdf</vt:lpwstr>
      </vt:variant>
      <vt:variant>
        <vt:lpwstr/>
      </vt:variant>
      <vt:variant>
        <vt:i4>8323073</vt:i4>
      </vt:variant>
      <vt:variant>
        <vt:i4>0</vt:i4>
      </vt:variant>
      <vt:variant>
        <vt:i4>0</vt:i4>
      </vt:variant>
      <vt:variant>
        <vt:i4>5</vt:i4>
      </vt:variant>
      <vt:variant>
        <vt:lpwstr>http://www.nevo.co.il/Law_word/law14/LAW-2028.pdf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ספנות</vt:lpwstr>
  </property>
  <property fmtid="{D5CDD505-2E9C-101B-9397-08002B2CF9AE}" pid="4" name="LAWNAME">
    <vt:lpwstr>חוק הספנות (כלי שיט זר בשליטה של גורם ישראלי), תשס"ה-2005</vt:lpwstr>
  </property>
  <property fmtid="{D5CDD505-2E9C-101B-9397-08002B2CF9AE}" pid="5" name="LAWNUMBER">
    <vt:lpwstr>0474</vt:lpwstr>
  </property>
  <property fmtid="{D5CDD505-2E9C-101B-9397-08002B2CF9AE}" pid="6" name="TYPE">
    <vt:lpwstr>01</vt:lpwstr>
  </property>
  <property fmtid="{D5CDD505-2E9C-101B-9397-08002B2CF9AE}" pid="7" name="LINKK2">
    <vt:lpwstr>http://www.nevo.co.il/Law_word/law15/MEMSHALA-135.pdf;רשומות – הצעות חוק ממשלה ודברי הסבר#ה"ח הממשלה תשס"ה מס' 135#עמ' 214</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http://www.nevo.co.il/Law_word/law14/LAW-2028.pdf;רשומות – ספר חוקים#פורסם ס"ח תשס"ה מס' 2028#מיום 21.8.2005#עמ' 989</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ספנות ונמלים</vt:lpwstr>
  </property>
  <property fmtid="{D5CDD505-2E9C-101B-9397-08002B2CF9AE}" pid="25" name="NOSE41">
    <vt:lpwstr>כלי שיט</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