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63D97" w:rsidP="00C148F8">
      <w:pPr>
        <w:pStyle w:val="big-header"/>
        <w:ind w:left="0" w:right="1134"/>
        <w:rPr>
          <w:rFonts w:cs="FrankRuehl"/>
          <w:sz w:val="32"/>
        </w:rPr>
      </w:pPr>
      <w:r>
        <w:rPr>
          <w:rFonts w:cs="FrankRuehl" w:hint="cs"/>
          <w:sz w:val="32"/>
          <w:rtl/>
        </w:rPr>
        <w:t>חוק הספנות (עבירות נגד ביטחון השיט הבין-לאומי ומיתקנים ימיים)</w:t>
      </w:r>
      <w:r w:rsidR="00290BE9">
        <w:rPr>
          <w:rFonts w:cs="FrankRuehl" w:hint="cs"/>
          <w:sz w:val="32"/>
          <w:rtl/>
        </w:rPr>
        <w:t xml:space="preserve">, </w:t>
      </w:r>
      <w:r>
        <w:rPr>
          <w:rFonts w:cs="FrankRuehl"/>
          <w:sz w:val="32"/>
          <w:rtl/>
        </w:rPr>
        <w:br/>
      </w:r>
      <w:r w:rsidR="00290BE9">
        <w:rPr>
          <w:rFonts w:cs="FrankRuehl" w:hint="cs"/>
          <w:sz w:val="32"/>
          <w:rtl/>
        </w:rPr>
        <w:t>תשס"ח-2008</w:t>
      </w:r>
    </w:p>
    <w:p w:rsidR="00FD3BFC" w:rsidRPr="00FD3BFC" w:rsidRDefault="00FD3BFC" w:rsidP="00FD3BFC">
      <w:pPr>
        <w:spacing w:line="320" w:lineRule="auto"/>
        <w:rPr>
          <w:rFonts w:cs="FrankRuehl"/>
          <w:szCs w:val="26"/>
          <w:rtl/>
        </w:rPr>
      </w:pPr>
    </w:p>
    <w:p w:rsidR="00FD3BFC" w:rsidRDefault="00FD3BFC" w:rsidP="00FD3BFC">
      <w:pPr>
        <w:spacing w:line="320" w:lineRule="auto"/>
        <w:rPr>
          <w:rtl/>
        </w:rPr>
      </w:pPr>
    </w:p>
    <w:p w:rsidR="00FD3BFC" w:rsidRDefault="00FD3BFC" w:rsidP="00FD3BFC">
      <w:pPr>
        <w:spacing w:line="320" w:lineRule="auto"/>
        <w:rPr>
          <w:rFonts w:cs="FrankRuehl"/>
          <w:szCs w:val="26"/>
          <w:rtl/>
        </w:rPr>
      </w:pPr>
      <w:r w:rsidRPr="00FD3BFC">
        <w:rPr>
          <w:rFonts w:cs="Miriam"/>
          <w:szCs w:val="22"/>
          <w:rtl/>
        </w:rPr>
        <w:t>עונשין ומשפט פלילי</w:t>
      </w:r>
      <w:r w:rsidRPr="00FD3BFC">
        <w:rPr>
          <w:rFonts w:cs="FrankRuehl"/>
          <w:szCs w:val="26"/>
          <w:rtl/>
        </w:rPr>
        <w:t xml:space="preserve"> – עבירות</w:t>
      </w:r>
    </w:p>
    <w:p w:rsidR="009F387F" w:rsidRPr="00FD3BFC" w:rsidRDefault="00FD3BFC" w:rsidP="00FD3BFC">
      <w:pPr>
        <w:spacing w:line="320" w:lineRule="auto"/>
        <w:rPr>
          <w:rFonts w:cs="Miriam"/>
          <w:szCs w:val="22"/>
          <w:rtl/>
        </w:rPr>
      </w:pPr>
      <w:r w:rsidRPr="00FD3BFC">
        <w:rPr>
          <w:rFonts w:cs="Miriam"/>
          <w:szCs w:val="22"/>
          <w:rtl/>
        </w:rPr>
        <w:t>רשויות ומשפט מנהלי</w:t>
      </w:r>
      <w:r w:rsidRPr="00FD3BFC">
        <w:rPr>
          <w:rFonts w:cs="FrankRuehl"/>
          <w:szCs w:val="26"/>
          <w:rtl/>
        </w:rPr>
        <w:t xml:space="preserve"> – תשתיות – ספנות ונמלים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א': הגדרות ותחולה</w:t>
            </w:r>
          </w:p>
        </w:tc>
        <w:tc>
          <w:tcPr>
            <w:tcW w:w="567" w:type="dxa"/>
          </w:tcPr>
          <w:p w:rsidR="00FC4239" w:rsidRPr="00FC4239" w:rsidRDefault="00FC4239" w:rsidP="00FC4239">
            <w:pPr>
              <w:rPr>
                <w:rStyle w:val="Hyperlink"/>
                <w:rFonts w:hint="cs"/>
                <w:rtl/>
              </w:rPr>
            </w:pPr>
            <w:hyperlink w:anchor="med0" w:tooltip="פרק א: הגדרות ותחולה"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 </w:t>
            </w:r>
          </w:p>
        </w:tc>
        <w:tc>
          <w:tcPr>
            <w:tcW w:w="5669" w:type="dxa"/>
          </w:tcPr>
          <w:p w:rsidR="00FC4239" w:rsidRPr="00FC4239" w:rsidRDefault="00FC4239" w:rsidP="00FC4239">
            <w:pPr>
              <w:rPr>
                <w:rFonts w:cs="Frankruhel" w:hint="cs"/>
                <w:rtl/>
              </w:rPr>
            </w:pPr>
            <w:r>
              <w:rPr>
                <w:rtl/>
              </w:rPr>
              <w:t>הגדרות</w:t>
            </w:r>
          </w:p>
        </w:tc>
        <w:tc>
          <w:tcPr>
            <w:tcW w:w="567" w:type="dxa"/>
          </w:tcPr>
          <w:p w:rsidR="00FC4239" w:rsidRPr="00FC4239" w:rsidRDefault="00FC4239" w:rsidP="00FC4239">
            <w:pPr>
              <w:rPr>
                <w:rStyle w:val="Hyperlink"/>
                <w:rFonts w:hint="cs"/>
                <w:rtl/>
              </w:rPr>
            </w:pPr>
            <w:hyperlink w:anchor="Seif1" w:tooltip="הגדר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2 </w:t>
            </w:r>
          </w:p>
        </w:tc>
        <w:tc>
          <w:tcPr>
            <w:tcW w:w="5669" w:type="dxa"/>
          </w:tcPr>
          <w:p w:rsidR="00FC4239" w:rsidRPr="00FC4239" w:rsidRDefault="00FC4239" w:rsidP="00FC4239">
            <w:pPr>
              <w:rPr>
                <w:rFonts w:cs="Frankruhel" w:hint="cs"/>
                <w:rtl/>
              </w:rPr>
            </w:pPr>
            <w:r>
              <w:rPr>
                <w:rtl/>
              </w:rPr>
              <w:t>תחולה</w:t>
            </w:r>
          </w:p>
        </w:tc>
        <w:tc>
          <w:tcPr>
            <w:tcW w:w="567" w:type="dxa"/>
          </w:tcPr>
          <w:p w:rsidR="00FC4239" w:rsidRPr="00FC4239" w:rsidRDefault="00FC4239" w:rsidP="00FC4239">
            <w:pPr>
              <w:rPr>
                <w:rStyle w:val="Hyperlink"/>
                <w:rFonts w:hint="cs"/>
                <w:rtl/>
              </w:rPr>
            </w:pPr>
            <w:hyperlink w:anchor="Seif2" w:tooltip="תחולה"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ב': עבירות</w:t>
            </w:r>
          </w:p>
        </w:tc>
        <w:tc>
          <w:tcPr>
            <w:tcW w:w="567" w:type="dxa"/>
          </w:tcPr>
          <w:p w:rsidR="00FC4239" w:rsidRPr="00FC4239" w:rsidRDefault="00FC4239" w:rsidP="00FC4239">
            <w:pPr>
              <w:rPr>
                <w:rStyle w:val="Hyperlink"/>
                <w:rFonts w:hint="cs"/>
                <w:rtl/>
              </w:rPr>
            </w:pPr>
            <w:hyperlink w:anchor="med1" w:tooltip="פרק ב: עביר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3 </w:t>
            </w:r>
          </w:p>
        </w:tc>
        <w:tc>
          <w:tcPr>
            <w:tcW w:w="5669" w:type="dxa"/>
          </w:tcPr>
          <w:p w:rsidR="00FC4239" w:rsidRPr="00FC4239" w:rsidRDefault="00FC4239" w:rsidP="00FC4239">
            <w:pPr>
              <w:rPr>
                <w:rFonts w:cs="Frankruhel" w:hint="cs"/>
                <w:rtl/>
              </w:rPr>
            </w:pPr>
            <w:r>
              <w:rPr>
                <w:rtl/>
              </w:rPr>
              <w:t>השתלטות על כלי שיט או מיתקן ימי</w:t>
            </w:r>
          </w:p>
        </w:tc>
        <w:tc>
          <w:tcPr>
            <w:tcW w:w="567" w:type="dxa"/>
          </w:tcPr>
          <w:p w:rsidR="00FC4239" w:rsidRPr="00FC4239" w:rsidRDefault="00FC4239" w:rsidP="00FC4239">
            <w:pPr>
              <w:rPr>
                <w:rStyle w:val="Hyperlink"/>
                <w:rFonts w:hint="cs"/>
                <w:rtl/>
              </w:rPr>
            </w:pPr>
            <w:hyperlink w:anchor="Seif3" w:tooltip="השתלטות על כלי שיט או מיתקן ימי"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4 </w:t>
            </w:r>
          </w:p>
        </w:tc>
        <w:tc>
          <w:tcPr>
            <w:tcW w:w="5669" w:type="dxa"/>
          </w:tcPr>
          <w:p w:rsidR="00FC4239" w:rsidRPr="00FC4239" w:rsidRDefault="00FC4239" w:rsidP="00FC4239">
            <w:pPr>
              <w:rPr>
                <w:rFonts w:cs="Frankruhel" w:hint="cs"/>
                <w:rtl/>
              </w:rPr>
            </w:pPr>
            <w:r>
              <w:rPr>
                <w:rtl/>
              </w:rPr>
              <w:t>סיכון כלי שיט</w:t>
            </w:r>
          </w:p>
        </w:tc>
        <w:tc>
          <w:tcPr>
            <w:tcW w:w="567" w:type="dxa"/>
          </w:tcPr>
          <w:p w:rsidR="00FC4239" w:rsidRPr="00FC4239" w:rsidRDefault="00FC4239" w:rsidP="00FC4239">
            <w:pPr>
              <w:rPr>
                <w:rStyle w:val="Hyperlink"/>
                <w:rFonts w:hint="cs"/>
                <w:rtl/>
              </w:rPr>
            </w:pPr>
            <w:hyperlink w:anchor="Seif4" w:tooltip="סיכון כלי שיט"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5 </w:t>
            </w:r>
          </w:p>
        </w:tc>
        <w:tc>
          <w:tcPr>
            <w:tcW w:w="5669" w:type="dxa"/>
          </w:tcPr>
          <w:p w:rsidR="00FC4239" w:rsidRPr="00FC4239" w:rsidRDefault="00FC4239" w:rsidP="00FC4239">
            <w:pPr>
              <w:rPr>
                <w:rFonts w:cs="Frankruhel" w:hint="cs"/>
                <w:rtl/>
              </w:rPr>
            </w:pPr>
            <w:r>
              <w:rPr>
                <w:rtl/>
              </w:rPr>
              <w:t>סיכון מיתקן ימי</w:t>
            </w:r>
          </w:p>
        </w:tc>
        <w:tc>
          <w:tcPr>
            <w:tcW w:w="567" w:type="dxa"/>
          </w:tcPr>
          <w:p w:rsidR="00FC4239" w:rsidRPr="00FC4239" w:rsidRDefault="00FC4239" w:rsidP="00FC4239">
            <w:pPr>
              <w:rPr>
                <w:rStyle w:val="Hyperlink"/>
                <w:rFonts w:hint="cs"/>
                <w:rtl/>
              </w:rPr>
            </w:pPr>
            <w:hyperlink w:anchor="Seif5" w:tooltip="סיכון מיתקן ימי"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ג': סמכויות אכיפה בכלי שיט ישראלי</w:t>
            </w:r>
          </w:p>
        </w:tc>
        <w:tc>
          <w:tcPr>
            <w:tcW w:w="567" w:type="dxa"/>
          </w:tcPr>
          <w:p w:rsidR="00FC4239" w:rsidRPr="00FC4239" w:rsidRDefault="00FC4239" w:rsidP="00FC4239">
            <w:pPr>
              <w:rPr>
                <w:rStyle w:val="Hyperlink"/>
                <w:rFonts w:hint="cs"/>
                <w:rtl/>
              </w:rPr>
            </w:pPr>
            <w:hyperlink w:anchor="med2" w:tooltip="פרק ג: סמכויות אכיפה בכלי שיט ישראלי"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6 </w:t>
            </w:r>
          </w:p>
        </w:tc>
        <w:tc>
          <w:tcPr>
            <w:tcW w:w="5669" w:type="dxa"/>
          </w:tcPr>
          <w:p w:rsidR="00FC4239" w:rsidRPr="00FC4239" w:rsidRDefault="00FC4239" w:rsidP="00FC4239">
            <w:pPr>
              <w:rPr>
                <w:rFonts w:cs="Frankruhel" w:hint="cs"/>
                <w:rtl/>
              </w:rPr>
            </w:pPr>
            <w:r>
              <w:rPr>
                <w:rtl/>
              </w:rPr>
              <w:t>סמכויות הקברניט כלפי מי שמסכן את כלי השיט</w:t>
            </w:r>
          </w:p>
        </w:tc>
        <w:tc>
          <w:tcPr>
            <w:tcW w:w="567" w:type="dxa"/>
          </w:tcPr>
          <w:p w:rsidR="00FC4239" w:rsidRPr="00FC4239" w:rsidRDefault="00FC4239" w:rsidP="00FC4239">
            <w:pPr>
              <w:rPr>
                <w:rStyle w:val="Hyperlink"/>
                <w:rFonts w:hint="cs"/>
                <w:rtl/>
              </w:rPr>
            </w:pPr>
            <w:hyperlink w:anchor="Seif6" w:tooltip="סמכויות הקברניט כלפי מי שמסכן את כלי השיט"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7 </w:t>
            </w:r>
          </w:p>
        </w:tc>
        <w:tc>
          <w:tcPr>
            <w:tcW w:w="5669" w:type="dxa"/>
          </w:tcPr>
          <w:p w:rsidR="00FC4239" w:rsidRPr="00FC4239" w:rsidRDefault="00FC4239" w:rsidP="00FC4239">
            <w:pPr>
              <w:rPr>
                <w:rFonts w:cs="Frankruhel" w:hint="cs"/>
                <w:rtl/>
              </w:rPr>
            </w:pPr>
            <w:r>
              <w:rPr>
                <w:rtl/>
              </w:rPr>
              <w:t>חובות הקברניט כלפי מעוכב או עצור</w:t>
            </w:r>
          </w:p>
        </w:tc>
        <w:tc>
          <w:tcPr>
            <w:tcW w:w="567" w:type="dxa"/>
          </w:tcPr>
          <w:p w:rsidR="00FC4239" w:rsidRPr="00FC4239" w:rsidRDefault="00FC4239" w:rsidP="00FC4239">
            <w:pPr>
              <w:rPr>
                <w:rStyle w:val="Hyperlink"/>
                <w:rFonts w:hint="cs"/>
                <w:rtl/>
              </w:rPr>
            </w:pPr>
            <w:hyperlink w:anchor="Seif7" w:tooltip="חובות הקברניט כלפי מעוכב או עצור"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8 </w:t>
            </w:r>
          </w:p>
        </w:tc>
        <w:tc>
          <w:tcPr>
            <w:tcW w:w="5669" w:type="dxa"/>
          </w:tcPr>
          <w:p w:rsidR="00FC4239" w:rsidRPr="00FC4239" w:rsidRDefault="00FC4239" w:rsidP="00FC4239">
            <w:pPr>
              <w:rPr>
                <w:rFonts w:cs="Frankruhel" w:hint="cs"/>
                <w:rtl/>
              </w:rPr>
            </w:pPr>
            <w:r>
              <w:rPr>
                <w:rtl/>
              </w:rPr>
              <w:t>סיוע של אנשי צוות ואחרים</w:t>
            </w:r>
          </w:p>
        </w:tc>
        <w:tc>
          <w:tcPr>
            <w:tcW w:w="567" w:type="dxa"/>
          </w:tcPr>
          <w:p w:rsidR="00FC4239" w:rsidRPr="00FC4239" w:rsidRDefault="00FC4239" w:rsidP="00FC4239">
            <w:pPr>
              <w:rPr>
                <w:rStyle w:val="Hyperlink"/>
                <w:rFonts w:hint="cs"/>
                <w:rtl/>
              </w:rPr>
            </w:pPr>
            <w:hyperlink w:anchor="Seif8" w:tooltip="סיוע של אנשי צוות ואחרים"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9 </w:t>
            </w:r>
          </w:p>
        </w:tc>
        <w:tc>
          <w:tcPr>
            <w:tcW w:w="5669" w:type="dxa"/>
          </w:tcPr>
          <w:p w:rsidR="00FC4239" w:rsidRPr="00FC4239" w:rsidRDefault="00FC4239" w:rsidP="00FC4239">
            <w:pPr>
              <w:rPr>
                <w:rFonts w:cs="Frankruhel" w:hint="cs"/>
                <w:rtl/>
              </w:rPr>
            </w:pPr>
            <w:r>
              <w:rPr>
                <w:rtl/>
              </w:rPr>
              <w:t>שמירת סמכויות הקברניט</w:t>
            </w:r>
          </w:p>
        </w:tc>
        <w:tc>
          <w:tcPr>
            <w:tcW w:w="567" w:type="dxa"/>
          </w:tcPr>
          <w:p w:rsidR="00FC4239" w:rsidRPr="00FC4239" w:rsidRDefault="00FC4239" w:rsidP="00FC4239">
            <w:pPr>
              <w:rPr>
                <w:rStyle w:val="Hyperlink"/>
                <w:rFonts w:hint="cs"/>
                <w:rtl/>
              </w:rPr>
            </w:pPr>
            <w:hyperlink w:anchor="Seif9" w:tooltip="שמירת סמכויות הקברניט"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ד': מסירת חשוד העצור בכלי שיט ישראלי</w:t>
            </w:r>
          </w:p>
        </w:tc>
        <w:tc>
          <w:tcPr>
            <w:tcW w:w="567" w:type="dxa"/>
          </w:tcPr>
          <w:p w:rsidR="00FC4239" w:rsidRPr="00FC4239" w:rsidRDefault="00FC4239" w:rsidP="00FC4239">
            <w:pPr>
              <w:rPr>
                <w:rStyle w:val="Hyperlink"/>
                <w:rFonts w:hint="cs"/>
                <w:rtl/>
              </w:rPr>
            </w:pPr>
            <w:hyperlink w:anchor="med3" w:tooltip="פרק ד: מסירת חשוד העצור בכלי שיט ישראלי"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10 </w:t>
            </w:r>
          </w:p>
        </w:tc>
        <w:tc>
          <w:tcPr>
            <w:tcW w:w="5669" w:type="dxa"/>
          </w:tcPr>
          <w:p w:rsidR="00FC4239" w:rsidRPr="00FC4239" w:rsidRDefault="00FC4239" w:rsidP="00FC4239">
            <w:pPr>
              <w:rPr>
                <w:rFonts w:cs="Frankruhel" w:hint="cs"/>
                <w:rtl/>
              </w:rPr>
            </w:pPr>
            <w:r>
              <w:rPr>
                <w:rtl/>
              </w:rPr>
              <w:t>הוראות קצין משטרה ממונה</w:t>
            </w:r>
          </w:p>
        </w:tc>
        <w:tc>
          <w:tcPr>
            <w:tcW w:w="567" w:type="dxa"/>
          </w:tcPr>
          <w:p w:rsidR="00FC4239" w:rsidRPr="00FC4239" w:rsidRDefault="00FC4239" w:rsidP="00FC4239">
            <w:pPr>
              <w:rPr>
                <w:rStyle w:val="Hyperlink"/>
                <w:rFonts w:hint="cs"/>
                <w:rtl/>
              </w:rPr>
            </w:pPr>
            <w:hyperlink w:anchor="Seif10" w:tooltip="הוראות קצין משטרה ממונה"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11 </w:t>
            </w:r>
          </w:p>
        </w:tc>
        <w:tc>
          <w:tcPr>
            <w:tcW w:w="5669" w:type="dxa"/>
          </w:tcPr>
          <w:p w:rsidR="00FC4239" w:rsidRPr="00FC4239" w:rsidRDefault="00FC4239" w:rsidP="00FC4239">
            <w:pPr>
              <w:rPr>
                <w:rFonts w:cs="Frankruhel" w:hint="cs"/>
                <w:rtl/>
              </w:rPr>
            </w:pPr>
            <w:r>
              <w:rPr>
                <w:rtl/>
              </w:rPr>
              <w:t>הוראות נציג משרד החוץ</w:t>
            </w:r>
          </w:p>
        </w:tc>
        <w:tc>
          <w:tcPr>
            <w:tcW w:w="567" w:type="dxa"/>
          </w:tcPr>
          <w:p w:rsidR="00FC4239" w:rsidRPr="00FC4239" w:rsidRDefault="00FC4239" w:rsidP="00FC4239">
            <w:pPr>
              <w:rPr>
                <w:rStyle w:val="Hyperlink"/>
                <w:rFonts w:hint="cs"/>
                <w:rtl/>
              </w:rPr>
            </w:pPr>
            <w:hyperlink w:anchor="Seif11" w:tooltip="הוראות נציג משרד החוץ"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12 </w:t>
            </w:r>
          </w:p>
        </w:tc>
        <w:tc>
          <w:tcPr>
            <w:tcW w:w="5669" w:type="dxa"/>
          </w:tcPr>
          <w:p w:rsidR="00FC4239" w:rsidRPr="00FC4239" w:rsidRDefault="00FC4239" w:rsidP="00FC4239">
            <w:pPr>
              <w:rPr>
                <w:rFonts w:cs="Frankruhel" w:hint="cs"/>
                <w:rtl/>
              </w:rPr>
            </w:pPr>
            <w:r>
              <w:rPr>
                <w:rtl/>
              </w:rPr>
              <w:t>ציות להוראות</w:t>
            </w:r>
          </w:p>
        </w:tc>
        <w:tc>
          <w:tcPr>
            <w:tcW w:w="567" w:type="dxa"/>
          </w:tcPr>
          <w:p w:rsidR="00FC4239" w:rsidRPr="00FC4239" w:rsidRDefault="00FC4239" w:rsidP="00FC4239">
            <w:pPr>
              <w:rPr>
                <w:rStyle w:val="Hyperlink"/>
                <w:rFonts w:hint="cs"/>
                <w:rtl/>
              </w:rPr>
            </w:pPr>
            <w:hyperlink w:anchor="Seif12" w:tooltip="ציות להורא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13 </w:t>
            </w:r>
          </w:p>
        </w:tc>
        <w:tc>
          <w:tcPr>
            <w:tcW w:w="5669" w:type="dxa"/>
          </w:tcPr>
          <w:p w:rsidR="00FC4239" w:rsidRPr="00FC4239" w:rsidRDefault="00FC4239" w:rsidP="00FC4239">
            <w:pPr>
              <w:rPr>
                <w:rFonts w:cs="Frankruhel" w:hint="cs"/>
                <w:rtl/>
              </w:rPr>
            </w:pPr>
            <w:r>
              <w:rPr>
                <w:rtl/>
              </w:rPr>
              <w:t>מסירת חשוד למדינה חברה</w:t>
            </w:r>
          </w:p>
        </w:tc>
        <w:tc>
          <w:tcPr>
            <w:tcW w:w="567" w:type="dxa"/>
          </w:tcPr>
          <w:p w:rsidR="00FC4239" w:rsidRPr="00FC4239" w:rsidRDefault="00FC4239" w:rsidP="00FC4239">
            <w:pPr>
              <w:rPr>
                <w:rStyle w:val="Hyperlink"/>
                <w:rFonts w:hint="cs"/>
                <w:rtl/>
              </w:rPr>
            </w:pPr>
            <w:hyperlink w:anchor="Seif13" w:tooltip="מסירת חשוד למדינה חברה"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14 </w:t>
            </w:r>
          </w:p>
        </w:tc>
        <w:tc>
          <w:tcPr>
            <w:tcW w:w="5669" w:type="dxa"/>
          </w:tcPr>
          <w:p w:rsidR="00FC4239" w:rsidRPr="00FC4239" w:rsidRDefault="00FC4239" w:rsidP="00FC4239">
            <w:pPr>
              <w:rPr>
                <w:rFonts w:cs="Frankruhel" w:hint="cs"/>
                <w:rtl/>
              </w:rPr>
            </w:pPr>
            <w:r>
              <w:rPr>
                <w:rtl/>
              </w:rPr>
              <w:t>מסירת ראיות</w:t>
            </w:r>
          </w:p>
        </w:tc>
        <w:tc>
          <w:tcPr>
            <w:tcW w:w="567" w:type="dxa"/>
          </w:tcPr>
          <w:p w:rsidR="00FC4239" w:rsidRPr="00FC4239" w:rsidRDefault="00FC4239" w:rsidP="00FC4239">
            <w:pPr>
              <w:rPr>
                <w:rStyle w:val="Hyperlink"/>
                <w:rFonts w:hint="cs"/>
                <w:rtl/>
              </w:rPr>
            </w:pPr>
            <w:hyperlink w:anchor="Seif14" w:tooltip="מסירת ראי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15 </w:t>
            </w:r>
          </w:p>
        </w:tc>
        <w:tc>
          <w:tcPr>
            <w:tcW w:w="5669" w:type="dxa"/>
          </w:tcPr>
          <w:p w:rsidR="00FC4239" w:rsidRPr="00FC4239" w:rsidRDefault="00FC4239" w:rsidP="00FC4239">
            <w:pPr>
              <w:rPr>
                <w:rFonts w:cs="Frankruhel" w:hint="cs"/>
                <w:rtl/>
              </w:rPr>
            </w:pPr>
            <w:r>
              <w:rPr>
                <w:rtl/>
              </w:rPr>
              <w:t>סייג לעניין מעצר בכלי שיט צבאי</w:t>
            </w:r>
          </w:p>
        </w:tc>
        <w:tc>
          <w:tcPr>
            <w:tcW w:w="567" w:type="dxa"/>
          </w:tcPr>
          <w:p w:rsidR="00FC4239" w:rsidRPr="00FC4239" w:rsidRDefault="00FC4239" w:rsidP="00FC4239">
            <w:pPr>
              <w:rPr>
                <w:rStyle w:val="Hyperlink"/>
                <w:rFonts w:hint="cs"/>
                <w:rtl/>
              </w:rPr>
            </w:pPr>
            <w:hyperlink w:anchor="Seif15" w:tooltip="סייג לעניין מעצר בכלי שיט צבאי"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ה': סמכויות לגבי אדם שנמסר לישראל</w:t>
            </w:r>
          </w:p>
        </w:tc>
        <w:tc>
          <w:tcPr>
            <w:tcW w:w="567" w:type="dxa"/>
          </w:tcPr>
          <w:p w:rsidR="00FC4239" w:rsidRPr="00FC4239" w:rsidRDefault="00FC4239" w:rsidP="00FC4239">
            <w:pPr>
              <w:rPr>
                <w:rStyle w:val="Hyperlink"/>
                <w:rFonts w:hint="cs"/>
                <w:rtl/>
              </w:rPr>
            </w:pPr>
            <w:hyperlink w:anchor="med4" w:tooltip="פרק ה: סמכויות לגבי אדם שנמסר לישראל"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16 </w:t>
            </w:r>
          </w:p>
        </w:tc>
        <w:tc>
          <w:tcPr>
            <w:tcW w:w="5669" w:type="dxa"/>
          </w:tcPr>
          <w:p w:rsidR="00FC4239" w:rsidRPr="00FC4239" w:rsidRDefault="00FC4239" w:rsidP="00FC4239">
            <w:pPr>
              <w:rPr>
                <w:rFonts w:cs="Frankruhel" w:hint="cs"/>
                <w:rtl/>
              </w:rPr>
            </w:pPr>
            <w:r>
              <w:rPr>
                <w:rtl/>
              </w:rPr>
              <w:t>מסירת חשוד לישראל</w:t>
            </w:r>
          </w:p>
        </w:tc>
        <w:tc>
          <w:tcPr>
            <w:tcW w:w="567" w:type="dxa"/>
          </w:tcPr>
          <w:p w:rsidR="00FC4239" w:rsidRPr="00FC4239" w:rsidRDefault="00FC4239" w:rsidP="00FC4239">
            <w:pPr>
              <w:rPr>
                <w:rStyle w:val="Hyperlink"/>
                <w:rFonts w:hint="cs"/>
                <w:rtl/>
              </w:rPr>
            </w:pPr>
            <w:hyperlink w:anchor="Seif16" w:tooltip="מסירת חשוד לישראל"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17 </w:t>
            </w:r>
          </w:p>
        </w:tc>
        <w:tc>
          <w:tcPr>
            <w:tcW w:w="5669" w:type="dxa"/>
          </w:tcPr>
          <w:p w:rsidR="00FC4239" w:rsidRPr="00FC4239" w:rsidRDefault="00FC4239" w:rsidP="00FC4239">
            <w:pPr>
              <w:rPr>
                <w:rFonts w:cs="Frankruhel" w:hint="cs"/>
                <w:rtl/>
              </w:rPr>
            </w:pPr>
            <w:r>
              <w:rPr>
                <w:rtl/>
              </w:rPr>
              <w:t>סמכות גירוש והרחקה</w:t>
            </w:r>
          </w:p>
        </w:tc>
        <w:tc>
          <w:tcPr>
            <w:tcW w:w="567" w:type="dxa"/>
          </w:tcPr>
          <w:p w:rsidR="00FC4239" w:rsidRPr="00FC4239" w:rsidRDefault="00FC4239" w:rsidP="00FC4239">
            <w:pPr>
              <w:rPr>
                <w:rStyle w:val="Hyperlink"/>
                <w:rFonts w:hint="cs"/>
                <w:rtl/>
              </w:rPr>
            </w:pPr>
            <w:hyperlink w:anchor="Seif17" w:tooltip="סמכות גירוש והרחקה"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18 </w:t>
            </w:r>
          </w:p>
        </w:tc>
        <w:tc>
          <w:tcPr>
            <w:tcW w:w="5669" w:type="dxa"/>
          </w:tcPr>
          <w:p w:rsidR="00FC4239" w:rsidRPr="00FC4239" w:rsidRDefault="00FC4239" w:rsidP="00FC4239">
            <w:pPr>
              <w:rPr>
                <w:rFonts w:cs="Frankruhel" w:hint="cs"/>
                <w:rtl/>
              </w:rPr>
            </w:pPr>
            <w:r>
              <w:rPr>
                <w:rtl/>
              </w:rPr>
              <w:t>סייגים לעיכוב יציאה של אדם שנמסר לישראל</w:t>
            </w:r>
          </w:p>
        </w:tc>
        <w:tc>
          <w:tcPr>
            <w:tcW w:w="567" w:type="dxa"/>
          </w:tcPr>
          <w:p w:rsidR="00FC4239" w:rsidRPr="00FC4239" w:rsidRDefault="00FC4239" w:rsidP="00FC4239">
            <w:pPr>
              <w:rPr>
                <w:rStyle w:val="Hyperlink"/>
                <w:rFonts w:hint="cs"/>
                <w:rtl/>
              </w:rPr>
            </w:pPr>
            <w:hyperlink w:anchor="Seif18" w:tooltip="סייגים לעיכוב יציאה של אדם שנמסר לישראל"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p>
        </w:tc>
        <w:tc>
          <w:tcPr>
            <w:tcW w:w="5669" w:type="dxa"/>
          </w:tcPr>
          <w:p w:rsidR="00FC4239" w:rsidRPr="00FC4239" w:rsidRDefault="00FC4239" w:rsidP="00FC4239">
            <w:pPr>
              <w:rPr>
                <w:rFonts w:cs="Frankruhel" w:hint="cs"/>
                <w:rtl/>
              </w:rPr>
            </w:pPr>
            <w:r>
              <w:rPr>
                <w:rtl/>
              </w:rPr>
              <w:t>פרק ו': הוראות שונות</w:t>
            </w:r>
          </w:p>
        </w:tc>
        <w:tc>
          <w:tcPr>
            <w:tcW w:w="567" w:type="dxa"/>
          </w:tcPr>
          <w:p w:rsidR="00FC4239" w:rsidRPr="00FC4239" w:rsidRDefault="00FC4239" w:rsidP="00FC4239">
            <w:pPr>
              <w:rPr>
                <w:rStyle w:val="Hyperlink"/>
                <w:rFonts w:hint="cs"/>
                <w:rtl/>
              </w:rPr>
            </w:pPr>
            <w:hyperlink w:anchor="med5" w:tooltip="פרק ו: הוראות שונ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19 </w:t>
            </w:r>
          </w:p>
        </w:tc>
        <w:tc>
          <w:tcPr>
            <w:tcW w:w="5669" w:type="dxa"/>
          </w:tcPr>
          <w:p w:rsidR="00FC4239" w:rsidRPr="00FC4239" w:rsidRDefault="00FC4239" w:rsidP="00FC4239">
            <w:pPr>
              <w:rPr>
                <w:rFonts w:cs="Frankruhel" w:hint="cs"/>
                <w:rtl/>
              </w:rPr>
            </w:pPr>
            <w:r>
              <w:rPr>
                <w:rtl/>
              </w:rPr>
              <w:t>סמכויות שוטר</w:t>
            </w:r>
          </w:p>
        </w:tc>
        <w:tc>
          <w:tcPr>
            <w:tcW w:w="567" w:type="dxa"/>
          </w:tcPr>
          <w:p w:rsidR="00FC4239" w:rsidRPr="00FC4239" w:rsidRDefault="00FC4239" w:rsidP="00FC4239">
            <w:pPr>
              <w:rPr>
                <w:rStyle w:val="Hyperlink"/>
                <w:rFonts w:hint="cs"/>
                <w:rtl/>
              </w:rPr>
            </w:pPr>
            <w:hyperlink w:anchor="Seif19" w:tooltip="סמכויות שוטר"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20 </w:t>
            </w:r>
          </w:p>
        </w:tc>
        <w:tc>
          <w:tcPr>
            <w:tcW w:w="5669" w:type="dxa"/>
          </w:tcPr>
          <w:p w:rsidR="00FC4239" w:rsidRPr="00FC4239" w:rsidRDefault="00FC4239" w:rsidP="00FC4239">
            <w:pPr>
              <w:rPr>
                <w:rFonts w:cs="Frankruhel" w:hint="cs"/>
                <w:rtl/>
              </w:rPr>
            </w:pPr>
            <w:r>
              <w:rPr>
                <w:rtl/>
              </w:rPr>
              <w:t>חסינות</w:t>
            </w:r>
          </w:p>
        </w:tc>
        <w:tc>
          <w:tcPr>
            <w:tcW w:w="567" w:type="dxa"/>
          </w:tcPr>
          <w:p w:rsidR="00FC4239" w:rsidRPr="00FC4239" w:rsidRDefault="00FC4239" w:rsidP="00FC4239">
            <w:pPr>
              <w:rPr>
                <w:rStyle w:val="Hyperlink"/>
                <w:rFonts w:hint="cs"/>
                <w:rtl/>
              </w:rPr>
            </w:pPr>
            <w:hyperlink w:anchor="Seif20" w:tooltip="חסינ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21 </w:t>
            </w:r>
          </w:p>
        </w:tc>
        <w:tc>
          <w:tcPr>
            <w:tcW w:w="5669" w:type="dxa"/>
          </w:tcPr>
          <w:p w:rsidR="00FC4239" w:rsidRPr="00FC4239" w:rsidRDefault="00FC4239" w:rsidP="00FC4239">
            <w:pPr>
              <w:rPr>
                <w:rFonts w:cs="Frankruhel" w:hint="cs"/>
                <w:rtl/>
              </w:rPr>
            </w:pPr>
            <w:r>
              <w:rPr>
                <w:rtl/>
              </w:rPr>
              <w:t>שמירת דינים</w:t>
            </w:r>
          </w:p>
        </w:tc>
        <w:tc>
          <w:tcPr>
            <w:tcW w:w="567" w:type="dxa"/>
          </w:tcPr>
          <w:p w:rsidR="00FC4239" w:rsidRPr="00FC4239" w:rsidRDefault="00FC4239" w:rsidP="00FC4239">
            <w:pPr>
              <w:rPr>
                <w:rStyle w:val="Hyperlink"/>
                <w:rFonts w:hint="cs"/>
                <w:rtl/>
              </w:rPr>
            </w:pPr>
            <w:hyperlink w:anchor="Seif21" w:tooltip="שמירת דינים"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FC4239" w:rsidRPr="00FC4239">
        <w:tblPrEx>
          <w:tblCellMar>
            <w:top w:w="0" w:type="dxa"/>
            <w:bottom w:w="0" w:type="dxa"/>
          </w:tblCellMar>
        </w:tblPrEx>
        <w:tc>
          <w:tcPr>
            <w:tcW w:w="1247" w:type="dxa"/>
          </w:tcPr>
          <w:p w:rsidR="00FC4239" w:rsidRPr="00FC4239" w:rsidRDefault="00FC4239" w:rsidP="00FC4239">
            <w:pPr>
              <w:rPr>
                <w:rFonts w:cs="Frankruhel" w:hint="cs"/>
                <w:rtl/>
              </w:rPr>
            </w:pPr>
            <w:r>
              <w:rPr>
                <w:rtl/>
              </w:rPr>
              <w:t xml:space="preserve">סעיף 22 </w:t>
            </w:r>
          </w:p>
        </w:tc>
        <w:tc>
          <w:tcPr>
            <w:tcW w:w="5669" w:type="dxa"/>
          </w:tcPr>
          <w:p w:rsidR="00FC4239" w:rsidRPr="00FC4239" w:rsidRDefault="00FC4239" w:rsidP="00FC4239">
            <w:pPr>
              <w:rPr>
                <w:rFonts w:cs="Frankruhel" w:hint="cs"/>
                <w:rtl/>
              </w:rPr>
            </w:pPr>
            <w:r>
              <w:rPr>
                <w:rtl/>
              </w:rPr>
              <w:t>ביצוע ותקנות</w:t>
            </w:r>
          </w:p>
        </w:tc>
        <w:tc>
          <w:tcPr>
            <w:tcW w:w="567" w:type="dxa"/>
          </w:tcPr>
          <w:p w:rsidR="00FC4239" w:rsidRPr="00FC4239" w:rsidRDefault="00FC4239" w:rsidP="00FC4239">
            <w:pPr>
              <w:rPr>
                <w:rStyle w:val="Hyperlink"/>
                <w:rFonts w:hint="cs"/>
                <w:rtl/>
              </w:rPr>
            </w:pPr>
            <w:hyperlink w:anchor="Seif22" w:tooltip="ביצוע ותקנות" w:history="1">
              <w:r w:rsidRPr="00FC4239">
                <w:rPr>
                  <w:rStyle w:val="Hyperlink"/>
                </w:rPr>
                <w:t>Go</w:t>
              </w:r>
            </w:hyperlink>
          </w:p>
        </w:tc>
        <w:tc>
          <w:tcPr>
            <w:tcW w:w="850" w:type="dxa"/>
          </w:tcPr>
          <w:p w:rsidR="00FC4239" w:rsidRPr="00FC4239" w:rsidRDefault="00FC4239" w:rsidP="00FC423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9F387F">
      <w:pPr>
        <w:pStyle w:val="big-header"/>
        <w:ind w:left="0" w:right="1134"/>
        <w:rPr>
          <w:rStyle w:val="default"/>
          <w:rFonts w:hint="cs"/>
          <w:sz w:val="22"/>
          <w:szCs w:val="22"/>
          <w:rtl/>
        </w:rPr>
      </w:pPr>
      <w:r>
        <w:rPr>
          <w:rFonts w:cs="FrankRuehl"/>
          <w:sz w:val="32"/>
          <w:rtl/>
        </w:rPr>
        <w:br w:type="page"/>
      </w:r>
      <w:r w:rsidR="00163D97">
        <w:rPr>
          <w:rFonts w:cs="FrankRuehl" w:hint="cs"/>
          <w:sz w:val="32"/>
          <w:rtl/>
        </w:rPr>
        <w:lastRenderedPageBreak/>
        <w:t xml:space="preserve">חוק הספנות (עבירות נגד ביטחון השיט הבין-לאומי ומיתקנים ימיים), </w:t>
      </w:r>
      <w:r w:rsidR="00163D97">
        <w:rPr>
          <w:rFonts w:cs="FrankRuehl"/>
          <w:sz w:val="32"/>
          <w:rtl/>
        </w:rPr>
        <w:br/>
      </w:r>
      <w:r w:rsidR="00163D97">
        <w:rPr>
          <w:rFonts w:cs="FrankRuehl" w:hint="cs"/>
          <w:sz w:val="32"/>
          <w:rtl/>
        </w:rPr>
        <w:t>תשס"ח-2008</w:t>
      </w:r>
      <w:r>
        <w:rPr>
          <w:rStyle w:val="default"/>
          <w:sz w:val="22"/>
          <w:szCs w:val="22"/>
          <w:rtl/>
        </w:rPr>
        <w:footnoteReference w:customMarkFollows="1" w:id="1"/>
        <w:t>*</w:t>
      </w:r>
    </w:p>
    <w:p w:rsidR="0071493B" w:rsidRPr="0071493B" w:rsidRDefault="0071493B" w:rsidP="0071493B">
      <w:pPr>
        <w:pStyle w:val="medium2-header"/>
        <w:keepLines w:val="0"/>
        <w:spacing w:before="72"/>
        <w:ind w:left="0" w:right="1134"/>
        <w:rPr>
          <w:rFonts w:cs="FrankRuehl" w:hint="cs"/>
          <w:noProof/>
          <w:rtl/>
        </w:rPr>
      </w:pPr>
      <w:bookmarkStart w:id="0" w:name="med0"/>
      <w:bookmarkEnd w:id="0"/>
      <w:r w:rsidRPr="0071493B">
        <w:rPr>
          <w:rFonts w:cs="FrankRuehl" w:hint="cs"/>
          <w:noProof/>
          <w:rtl/>
        </w:rPr>
        <w:t>פרק א': הגדרות</w:t>
      </w:r>
      <w:r w:rsidR="00010B12">
        <w:rPr>
          <w:rFonts w:cs="FrankRuehl" w:hint="cs"/>
          <w:noProof/>
          <w:rtl/>
        </w:rPr>
        <w:t xml:space="preserve"> ותחולה</w:t>
      </w:r>
    </w:p>
    <w:p w:rsidR="002A24E2" w:rsidRDefault="002A24E2" w:rsidP="00010B12">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6464" o:allowincell="f" filled="f" stroked="f" strokecolor="lime" strokeweight=".25pt">
            <v:textbox style="mso-next-textbox:#_x0000_s1026" inset="0,0,0,0">
              <w:txbxContent>
                <w:p w:rsidR="00B4351C" w:rsidRDefault="00B4351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10B12">
        <w:rPr>
          <w:rStyle w:val="default"/>
          <w:rFonts w:cs="FrankRuehl" w:hint="cs"/>
          <w:rtl/>
        </w:rPr>
        <w:t xml:space="preserve">בחוק זה </w:t>
      </w:r>
      <w:r w:rsidR="00010B12">
        <w:rPr>
          <w:rStyle w:val="default"/>
          <w:rFonts w:cs="FrankRuehl"/>
          <w:rtl/>
        </w:rPr>
        <w:t>–</w:t>
      </w:r>
    </w:p>
    <w:p w:rsidR="00010B12" w:rsidRDefault="00010B12" w:rsidP="00010B12">
      <w:pPr>
        <w:pStyle w:val="P00"/>
        <w:spacing w:before="72"/>
        <w:ind w:left="0" w:right="1134"/>
        <w:rPr>
          <w:rStyle w:val="default"/>
          <w:rFonts w:cs="FrankRuehl" w:hint="cs"/>
          <w:rtl/>
        </w:rPr>
      </w:pPr>
      <w:r>
        <w:rPr>
          <w:rStyle w:val="default"/>
          <w:rFonts w:cs="FrankRuehl" w:hint="cs"/>
          <w:rtl/>
        </w:rPr>
        <w:tab/>
        <w:t xml:space="preserve">"איש צוות" </w:t>
      </w:r>
      <w:r>
        <w:rPr>
          <w:rStyle w:val="default"/>
          <w:rFonts w:cs="FrankRuehl"/>
          <w:rtl/>
        </w:rPr>
        <w:t>–</w:t>
      </w:r>
      <w:r>
        <w:rPr>
          <w:rStyle w:val="default"/>
          <w:rFonts w:cs="FrankRuehl" w:hint="cs"/>
          <w:rtl/>
        </w:rPr>
        <w:t xml:space="preserve"> עובד של בעל כלי שיט הממלא תפקיד בכלי השיט, לרבות חייל בכלי שיט צבאי;</w:t>
      </w:r>
    </w:p>
    <w:p w:rsidR="00010B12" w:rsidRDefault="00010B12" w:rsidP="00010B12">
      <w:pPr>
        <w:pStyle w:val="P00"/>
        <w:spacing w:before="72"/>
        <w:ind w:left="0" w:right="1134"/>
        <w:rPr>
          <w:rStyle w:val="default"/>
          <w:rFonts w:cs="FrankRuehl" w:hint="cs"/>
          <w:rtl/>
        </w:rPr>
      </w:pPr>
      <w:r>
        <w:rPr>
          <w:rStyle w:val="default"/>
          <w:rFonts w:cs="FrankRuehl" w:hint="cs"/>
          <w:rtl/>
        </w:rPr>
        <w:tab/>
        <w:t xml:space="preserve">"בעל כלי שיט", לגבי כלי שיט ישראלי </w:t>
      </w:r>
      <w:r>
        <w:rPr>
          <w:rStyle w:val="default"/>
          <w:rFonts w:cs="FrankRuehl"/>
          <w:rtl/>
        </w:rPr>
        <w:t>–</w:t>
      </w:r>
    </w:p>
    <w:p w:rsidR="00010B12" w:rsidRDefault="00010B12" w:rsidP="00010B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לפסקה (1) בהגדרה "כלי שיט ישראלי" </w:t>
      </w:r>
      <w:r>
        <w:rPr>
          <w:rStyle w:val="default"/>
          <w:rFonts w:cs="FrankRuehl"/>
          <w:rtl/>
        </w:rPr>
        <w:t>–</w:t>
      </w:r>
      <w:r>
        <w:rPr>
          <w:rStyle w:val="default"/>
          <w:rFonts w:cs="FrankRuehl" w:hint="cs"/>
          <w:rtl/>
        </w:rPr>
        <w:t xml:space="preserve"> מי שרשום במרשם הישראלי לכלי שיט כבעל כלי שיט;</w:t>
      </w:r>
    </w:p>
    <w:p w:rsidR="00010B12" w:rsidRDefault="00010B12" w:rsidP="00010B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לפסקה (2) בהגדרה "כלי שיט ישראלי" </w:t>
      </w:r>
      <w:r>
        <w:rPr>
          <w:rStyle w:val="default"/>
          <w:rFonts w:cs="FrankRuehl"/>
          <w:rtl/>
        </w:rPr>
        <w:t>–</w:t>
      </w:r>
      <w:r>
        <w:rPr>
          <w:rStyle w:val="default"/>
          <w:rFonts w:cs="FrankRuehl" w:hint="cs"/>
          <w:rtl/>
        </w:rPr>
        <w:t xml:space="preserve"> הגורם הישראלי בעל השליטה בכלי השיט כמשמעותו בחוק הספנות (כלי שיט זר בשליטה של גורם ישראלי), התשס"ה-2005;</w:t>
      </w:r>
    </w:p>
    <w:p w:rsidR="00010B12" w:rsidRDefault="00010B12" w:rsidP="00010B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לפסקה (3) בהגדרה "כלי שיט ישראלי" </w:t>
      </w:r>
      <w:r>
        <w:rPr>
          <w:rStyle w:val="default"/>
          <w:rFonts w:cs="FrankRuehl"/>
          <w:rtl/>
        </w:rPr>
        <w:t>–</w:t>
      </w:r>
      <w:r>
        <w:rPr>
          <w:rStyle w:val="default"/>
          <w:rFonts w:cs="FrankRuehl" w:hint="cs"/>
          <w:rtl/>
        </w:rPr>
        <w:t xml:space="preserve"> צבא הגנה לישראל;</w:t>
      </w:r>
    </w:p>
    <w:p w:rsidR="00010B12" w:rsidRDefault="00010B12" w:rsidP="00010B12">
      <w:pPr>
        <w:pStyle w:val="P00"/>
        <w:spacing w:before="72"/>
        <w:ind w:left="0" w:right="1134"/>
        <w:rPr>
          <w:rStyle w:val="default"/>
          <w:rFonts w:cs="FrankRuehl" w:hint="cs"/>
          <w:rtl/>
        </w:rPr>
      </w:pPr>
      <w:r>
        <w:rPr>
          <w:rStyle w:val="default"/>
          <w:rFonts w:cs="FrankRuehl" w:hint="cs"/>
          <w:rtl/>
        </w:rPr>
        <w:tab/>
        <w:t xml:space="preserve">"האמנה" </w:t>
      </w:r>
      <w:r>
        <w:rPr>
          <w:rStyle w:val="default"/>
          <w:rFonts w:cs="FrankRuehl"/>
          <w:rtl/>
        </w:rPr>
        <w:t>–</w:t>
      </w:r>
      <w:r>
        <w:rPr>
          <w:rStyle w:val="default"/>
          <w:rFonts w:cs="FrankRuehl" w:hint="cs"/>
          <w:rtl/>
        </w:rPr>
        <w:t xml:space="preserve"> אחד מאלה:</w:t>
      </w:r>
    </w:p>
    <w:p w:rsidR="00010B12" w:rsidRDefault="00010B12" w:rsidP="003D14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אמנת רומא בדבר דיכוי פעולות בלתי חוקיות נגד ביטחון השיט, משנת 1988</w:t>
      </w:r>
      <w:r>
        <w:rPr>
          <w:rStyle w:val="a6"/>
          <w:rFonts w:cs="FrankRuehl"/>
          <w:sz w:val="26"/>
          <w:rtl/>
        </w:rPr>
        <w:footnoteReference w:id="2"/>
      </w:r>
      <w:r>
        <w:rPr>
          <w:rStyle w:val="default"/>
          <w:rFonts w:cs="FrankRuehl" w:hint="cs"/>
          <w:rtl/>
        </w:rPr>
        <w:t>;</w:t>
      </w:r>
    </w:p>
    <w:p w:rsidR="00010B12" w:rsidRDefault="00010B12" w:rsidP="003D14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הפרוטוקול בדבר דיכוי פעולות בלתי חוקיות נגד ביטחון מיתקנים ימיים המוצבים במדף היבשת, שנערך ברומא בשנת 1988 </w:t>
      </w:r>
      <w:r w:rsidRPr="00010B12">
        <w:rPr>
          <w:rStyle w:val="a6"/>
          <w:rFonts w:cs="FrankRuehl" w:hint="cs"/>
          <w:rtl/>
        </w:rPr>
        <w:t>1</w:t>
      </w:r>
      <w:r>
        <w:rPr>
          <w:rStyle w:val="default"/>
          <w:rFonts w:cs="FrankRuehl" w:hint="cs"/>
          <w:rtl/>
        </w:rPr>
        <w:t>;</w:t>
      </w:r>
    </w:p>
    <w:p w:rsidR="003D14F8" w:rsidRDefault="003D14F8" w:rsidP="00010B12">
      <w:pPr>
        <w:pStyle w:val="P00"/>
        <w:spacing w:before="72"/>
        <w:ind w:left="0" w:right="1134"/>
        <w:rPr>
          <w:rStyle w:val="default"/>
          <w:rFonts w:cs="FrankRuehl" w:hint="cs"/>
          <w:rtl/>
        </w:rPr>
      </w:pPr>
      <w:r>
        <w:rPr>
          <w:rStyle w:val="default"/>
          <w:rFonts w:cs="FrankRuehl" w:hint="cs"/>
          <w:rtl/>
        </w:rPr>
        <w:tab/>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rsidR="003D14F8" w:rsidRDefault="003D14F8" w:rsidP="00010B12">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כהגדרתו בחוק הספנות (כלי שיט), התש"ך-1960;</w:t>
      </w:r>
    </w:p>
    <w:p w:rsidR="003D14F8" w:rsidRDefault="003D14F8" w:rsidP="00010B12">
      <w:pPr>
        <w:pStyle w:val="P00"/>
        <w:spacing w:before="72"/>
        <w:ind w:left="0" w:right="1134"/>
        <w:rPr>
          <w:rStyle w:val="default"/>
          <w:rFonts w:cs="FrankRuehl" w:hint="cs"/>
          <w:rtl/>
        </w:rPr>
      </w:pPr>
      <w:r>
        <w:rPr>
          <w:rStyle w:val="default"/>
          <w:rFonts w:cs="FrankRuehl" w:hint="cs"/>
          <w:rtl/>
        </w:rPr>
        <w:tab/>
        <w:t xml:space="preserve">"כלי שיט ישראלי" </w:t>
      </w:r>
      <w:r>
        <w:rPr>
          <w:rStyle w:val="default"/>
          <w:rFonts w:cs="FrankRuehl"/>
          <w:rtl/>
        </w:rPr>
        <w:t>–</w:t>
      </w:r>
      <w:r>
        <w:rPr>
          <w:rStyle w:val="default"/>
          <w:rFonts w:cs="FrankRuehl" w:hint="cs"/>
          <w:rtl/>
        </w:rPr>
        <w:t xml:space="preserve"> אחד מאלה:</w:t>
      </w:r>
    </w:p>
    <w:p w:rsidR="00817139" w:rsidRDefault="00817139" w:rsidP="008171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ישראלי כהגדרתו בחוק הספנות (כלי שיט), התש"ך-1960;</w:t>
      </w:r>
    </w:p>
    <w:p w:rsidR="00817139" w:rsidRDefault="00817139" w:rsidP="008171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שיט המצוות באנשי צוות ישראלים כהגדרתם בחוק הספנות (ימאים), התשל"ג-1973;</w:t>
      </w:r>
    </w:p>
    <w:p w:rsidR="00817139" w:rsidRDefault="00817139" w:rsidP="008171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כלי שיט צבאי;</w:t>
      </w:r>
    </w:p>
    <w:p w:rsidR="00817139" w:rsidRDefault="00817139" w:rsidP="00010B12">
      <w:pPr>
        <w:pStyle w:val="P00"/>
        <w:spacing w:before="72"/>
        <w:ind w:left="0" w:right="1134"/>
        <w:rPr>
          <w:rStyle w:val="default"/>
          <w:rFonts w:cs="FrankRuehl" w:hint="cs"/>
          <w:rtl/>
        </w:rPr>
      </w:pPr>
      <w:r>
        <w:rPr>
          <w:rStyle w:val="default"/>
          <w:rFonts w:cs="FrankRuehl" w:hint="cs"/>
          <w:rtl/>
        </w:rPr>
        <w:tab/>
        <w:t xml:space="preserve">"כלי שיט צבאי" </w:t>
      </w:r>
      <w:r>
        <w:rPr>
          <w:rStyle w:val="default"/>
          <w:rFonts w:cs="FrankRuehl"/>
          <w:rtl/>
        </w:rPr>
        <w:t>–</w:t>
      </w:r>
      <w:r>
        <w:rPr>
          <w:rStyle w:val="default"/>
          <w:rFonts w:cs="FrankRuehl" w:hint="cs"/>
          <w:rtl/>
        </w:rPr>
        <w:t xml:space="preserve"> כלי שיט של צבא הגנה לישראל או כלי שיט המסור לשליטתו של אדם בשירות צבא הגנה לישראל, המופקד עליו;</w:t>
      </w:r>
    </w:p>
    <w:p w:rsidR="00817139" w:rsidRDefault="00817139" w:rsidP="00010B12">
      <w:pPr>
        <w:pStyle w:val="P00"/>
        <w:spacing w:before="72"/>
        <w:ind w:left="0" w:right="1134"/>
        <w:rPr>
          <w:rStyle w:val="default"/>
          <w:rFonts w:cs="FrankRuehl" w:hint="cs"/>
          <w:rtl/>
        </w:rPr>
      </w:pPr>
      <w:r>
        <w:rPr>
          <w:rStyle w:val="default"/>
          <w:rFonts w:cs="FrankRuehl" w:hint="cs"/>
          <w:rtl/>
        </w:rPr>
        <w:tab/>
        <w:t xml:space="preserve">"מדינה חברה" </w:t>
      </w:r>
      <w:r>
        <w:rPr>
          <w:rStyle w:val="default"/>
          <w:rFonts w:cs="FrankRuehl"/>
          <w:rtl/>
        </w:rPr>
        <w:t>–</w:t>
      </w:r>
      <w:r>
        <w:rPr>
          <w:rStyle w:val="default"/>
          <w:rFonts w:cs="FrankRuehl" w:hint="cs"/>
          <w:rtl/>
        </w:rPr>
        <w:t xml:space="preserve"> מדינה שהיא צד לאמנה;</w:t>
      </w:r>
    </w:p>
    <w:p w:rsidR="00817139" w:rsidRDefault="00817139" w:rsidP="00010B12">
      <w:pPr>
        <w:pStyle w:val="P00"/>
        <w:spacing w:before="72"/>
        <w:ind w:left="0" w:right="1134"/>
        <w:rPr>
          <w:rStyle w:val="default"/>
          <w:rFonts w:cs="FrankRuehl" w:hint="cs"/>
          <w:rtl/>
        </w:rPr>
      </w:pPr>
      <w:r>
        <w:rPr>
          <w:rStyle w:val="default"/>
          <w:rFonts w:cs="FrankRuehl" w:hint="cs"/>
          <w:rtl/>
        </w:rPr>
        <w:tab/>
        <w:t xml:space="preserve">"מדף יבשתי" </w:t>
      </w:r>
      <w:r>
        <w:rPr>
          <w:rStyle w:val="default"/>
          <w:rFonts w:cs="FrankRuehl"/>
          <w:rtl/>
        </w:rPr>
        <w:t>–</w:t>
      </w:r>
      <w:r>
        <w:rPr>
          <w:rStyle w:val="default"/>
          <w:rFonts w:cs="FrankRuehl" w:hint="cs"/>
          <w:rtl/>
        </w:rPr>
        <w:t xml:space="preserve"> קרקע הים ותת-קרקע הים של השטחים התת-ימיים שמעבר לשטח המים הטריטוריאליים של מדינה, שהם ההמשך הטבעי של שטח אותה מדינה, </w:t>
      </w:r>
      <w:r w:rsidR="001D083B">
        <w:rPr>
          <w:rStyle w:val="default"/>
          <w:rFonts w:cs="FrankRuehl" w:hint="cs"/>
          <w:rtl/>
        </w:rPr>
        <w:t>עד לקצה שולי היבשת;</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"מיתקן ימי" </w:t>
      </w:r>
      <w:r>
        <w:rPr>
          <w:rStyle w:val="default"/>
          <w:rFonts w:cs="FrankRuehl"/>
          <w:rtl/>
        </w:rPr>
        <w:t>–</w:t>
      </w:r>
      <w:r>
        <w:rPr>
          <w:rStyle w:val="default"/>
          <w:rFonts w:cs="FrankRuehl" w:hint="cs"/>
          <w:rtl/>
        </w:rPr>
        <w:t xml:space="preserve"> אי מלאכותי וכן כל מיתקן או מבנה המחובר לקרקעית הים באופן קבוע, המשמש למטרת מחקר או ניצול משאבים או למטרה כלכלית אחרת;</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"המרשם הישראלי" </w:t>
      </w:r>
      <w:r>
        <w:rPr>
          <w:rStyle w:val="default"/>
          <w:rFonts w:cs="FrankRuehl"/>
          <w:rtl/>
        </w:rPr>
        <w:t>–</w:t>
      </w:r>
      <w:r>
        <w:rPr>
          <w:rStyle w:val="default"/>
          <w:rFonts w:cs="FrankRuehl" w:hint="cs"/>
          <w:rtl/>
        </w:rPr>
        <w:t xml:space="preserve"> כהגדרתו בחוק הספנות (כלי שיט), התש"ך-1960;</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כהגדרתו בפקודת הנמלים [נוסח חדש], התשל"א-1971;</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"נציג ישראלי" </w:t>
      </w:r>
      <w:r>
        <w:rPr>
          <w:rStyle w:val="default"/>
          <w:rFonts w:cs="FrankRuehl"/>
          <w:rtl/>
        </w:rPr>
        <w:t>–</w:t>
      </w:r>
      <w:r>
        <w:rPr>
          <w:rStyle w:val="default"/>
          <w:rFonts w:cs="FrankRuehl" w:hint="cs"/>
          <w:rtl/>
        </w:rPr>
        <w:t xml:space="preserve"> נציג דיפלומטי או קונסולרי של ישראל במדינת חוץ;</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"נציג משרד החוץ" </w:t>
      </w:r>
      <w:r>
        <w:rPr>
          <w:rStyle w:val="default"/>
          <w:rFonts w:cs="FrankRuehl"/>
          <w:rtl/>
        </w:rPr>
        <w:t>–</w:t>
      </w:r>
      <w:r>
        <w:rPr>
          <w:rStyle w:val="default"/>
          <w:rFonts w:cs="FrankRuehl" w:hint="cs"/>
          <w:rtl/>
        </w:rPr>
        <w:t xml:space="preserve"> ראש החטיבה הקונסולרית במשרד החוץ;</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"פקודת סדר הדין הפלילי" </w:t>
      </w:r>
      <w:r>
        <w:rPr>
          <w:rStyle w:val="default"/>
          <w:rFonts w:cs="FrankRuehl"/>
          <w:rtl/>
        </w:rPr>
        <w:t>–</w:t>
      </w:r>
      <w:r>
        <w:rPr>
          <w:rStyle w:val="default"/>
          <w:rFonts w:cs="FrankRuehl" w:hint="cs"/>
          <w:rtl/>
        </w:rPr>
        <w:t xml:space="preserve"> פקודת סדר הדין הפלילי (מעצר וחיפוש) [נוסח חדש], התשכ"ט-1969;</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"קברניט" </w:t>
      </w:r>
      <w:r>
        <w:rPr>
          <w:rStyle w:val="default"/>
          <w:rFonts w:cs="FrankRuehl"/>
          <w:rtl/>
        </w:rPr>
        <w:t>–</w:t>
      </w:r>
      <w:r>
        <w:rPr>
          <w:rStyle w:val="default"/>
          <w:rFonts w:cs="FrankRuehl" w:hint="cs"/>
          <w:rtl/>
        </w:rPr>
        <w:t xml:space="preserve"> מי שבידו הפיקוד החוקי על כלי השיט;</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"קצין משטרה ממונה" </w:t>
      </w:r>
      <w:r>
        <w:rPr>
          <w:rStyle w:val="default"/>
          <w:rFonts w:cs="FrankRuehl"/>
          <w:rtl/>
        </w:rPr>
        <w:t>–</w:t>
      </w:r>
      <w:r>
        <w:rPr>
          <w:rStyle w:val="default"/>
          <w:rFonts w:cs="FrankRuehl" w:hint="cs"/>
          <w:rtl/>
        </w:rPr>
        <w:t xml:space="preserve"> קצין ממונה כמשמעותו בסעיף 25(א) לחוק המעצרים, בתחנת </w:t>
      </w:r>
      <w:r>
        <w:rPr>
          <w:rStyle w:val="default"/>
          <w:rFonts w:cs="FrankRuehl" w:hint="cs"/>
          <w:rtl/>
        </w:rPr>
        <w:lastRenderedPageBreak/>
        <w:t>המשטרה שבתחום אחריותה מצוי הנמל שאותו עתיד כלי השיט לפקוד;</w:t>
      </w:r>
    </w:p>
    <w:p w:rsidR="001D083B" w:rsidRDefault="001D083B" w:rsidP="00010B12">
      <w:pPr>
        <w:pStyle w:val="P00"/>
        <w:spacing w:before="72"/>
        <w:ind w:left="0" w:right="1134"/>
        <w:rPr>
          <w:rStyle w:val="default"/>
          <w:rFonts w:cs="FrankRuehl" w:hint="cs"/>
          <w:rtl/>
        </w:rPr>
      </w:pPr>
      <w:r>
        <w:rPr>
          <w:rStyle w:val="default"/>
          <w:rFonts w:cs="FrankRuehl" w:hint="cs"/>
          <w:rtl/>
        </w:rPr>
        <w:tab/>
        <w:t xml:space="preserve">"קצין צבא ממונה" </w:t>
      </w:r>
      <w:r>
        <w:rPr>
          <w:rStyle w:val="default"/>
          <w:rFonts w:cs="FrankRuehl"/>
          <w:rtl/>
        </w:rPr>
        <w:t>–</w:t>
      </w:r>
      <w:r>
        <w:rPr>
          <w:rStyle w:val="default"/>
          <w:rFonts w:cs="FrankRuehl" w:hint="cs"/>
          <w:rtl/>
        </w:rPr>
        <w:t xml:space="preserve"> קצין בצבא הגנה לישראל בדרגת סגן אלוף ומעלה, שראש המטה הכללי בצבא הגנה לישראל מינהו לעניין חוק זה.</w:t>
      </w:r>
    </w:p>
    <w:p w:rsidR="008D2E61" w:rsidRDefault="00E21924" w:rsidP="001D083B">
      <w:pPr>
        <w:pStyle w:val="P00"/>
        <w:spacing w:before="72"/>
        <w:ind w:left="0" w:right="1134"/>
        <w:rPr>
          <w:rStyle w:val="default"/>
          <w:rFonts w:cs="FrankRuehl" w:hint="cs"/>
          <w:rtl/>
        </w:rPr>
      </w:pPr>
      <w:bookmarkStart w:id="2" w:name="Seif2"/>
      <w:bookmarkEnd w:id="2"/>
      <w:r>
        <w:rPr>
          <w:rFonts w:cs="Miriam"/>
          <w:lang w:val="he-IL"/>
        </w:rPr>
        <w:pict>
          <v:rect id="_x0000_s1388" style="position:absolute;left:0;text-align:left;margin-left:464.35pt;margin-top:7.1pt;width:75.05pt;height:16.45pt;z-index:251647488" o:allowincell="f" filled="f" stroked="f" strokecolor="lime" strokeweight=".25pt">
            <v:textbox style="mso-next-textbox:#_x0000_s1388" inset="0,0,0,0">
              <w:txbxContent>
                <w:p w:rsidR="00B4351C" w:rsidRDefault="001D083B" w:rsidP="00E21924">
                  <w:pPr>
                    <w:spacing w:line="160" w:lineRule="exact"/>
                    <w:rPr>
                      <w:rFonts w:cs="Miriam" w:hint="cs"/>
                      <w:noProof/>
                      <w:sz w:val="18"/>
                      <w:szCs w:val="18"/>
                      <w:rtl/>
                    </w:rPr>
                  </w:pPr>
                  <w:r>
                    <w:rPr>
                      <w:rFonts w:cs="Miriam" w:hint="cs"/>
                      <w:sz w:val="18"/>
                      <w:szCs w:val="18"/>
                      <w:rtl/>
                    </w:rPr>
                    <w:t>תחולה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r>
      <w:r w:rsidR="001D083B">
        <w:rPr>
          <w:rStyle w:val="default"/>
          <w:rFonts w:cs="FrankRuehl" w:hint="cs"/>
          <w:rtl/>
        </w:rPr>
        <w:t>הוראות חוק זה יחולו לגבי כלי שיט ישראלי המפליג או המתוכנן להפליג בהפלגה שאינה מוגבלת לשטח המים הטריטוריאליים של מדינה אחת.</w:t>
      </w:r>
    </w:p>
    <w:p w:rsidR="001D083B" w:rsidRDefault="001D083B" w:rsidP="001D08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קטן (א), הוראות פרקים ב' ו-ה' יחולו גם על כלי שיט שאינו כלי שיט ישראלי ועל מיתקן ימי כמפורט להלן:</w:t>
      </w:r>
    </w:p>
    <w:p w:rsidR="001D083B" w:rsidRDefault="001D083B" w:rsidP="00A23A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שיט המפליג או המתוכנן להפליג בהפלגה שאינה מוגבלת לשטח המים הטריטוריאליים של מדינה אחת;</w:t>
      </w:r>
    </w:p>
    <w:p w:rsidR="001D083B" w:rsidRDefault="001D083B" w:rsidP="00A23A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מיתקן ימי הנמצא במדף היבשתי של ישראל או של מדינה חברה אחרת.</w:t>
      </w:r>
    </w:p>
    <w:p w:rsidR="001D083B" w:rsidRPr="00A23AFC" w:rsidRDefault="001D083B" w:rsidP="00A23AFC">
      <w:pPr>
        <w:pStyle w:val="medium2-header"/>
        <w:keepLines w:val="0"/>
        <w:spacing w:before="72"/>
        <w:ind w:left="0" w:right="1134"/>
        <w:rPr>
          <w:rFonts w:cs="FrankRuehl" w:hint="cs"/>
          <w:noProof/>
          <w:rtl/>
        </w:rPr>
      </w:pPr>
      <w:bookmarkStart w:id="3" w:name="med1"/>
      <w:bookmarkEnd w:id="3"/>
      <w:r w:rsidRPr="00A23AFC">
        <w:rPr>
          <w:rFonts w:cs="FrankRuehl" w:hint="cs"/>
          <w:noProof/>
          <w:rtl/>
        </w:rPr>
        <w:t>פרק ב': עבירות</w:t>
      </w:r>
    </w:p>
    <w:p w:rsidR="00987356" w:rsidRDefault="00987356" w:rsidP="00A23AFC">
      <w:pPr>
        <w:pStyle w:val="P00"/>
        <w:spacing w:before="72"/>
        <w:ind w:left="0" w:right="1134"/>
        <w:rPr>
          <w:rStyle w:val="default"/>
          <w:rFonts w:cs="FrankRuehl" w:hint="cs"/>
          <w:rtl/>
        </w:rPr>
      </w:pPr>
      <w:bookmarkStart w:id="4" w:name="Seif3"/>
      <w:bookmarkEnd w:id="4"/>
      <w:r>
        <w:rPr>
          <w:rFonts w:cs="Miriam"/>
          <w:lang w:val="he-IL"/>
        </w:rPr>
        <w:pict>
          <v:rect id="_x0000_s1602" style="position:absolute;left:0;text-align:left;margin-left:464.35pt;margin-top:7.1pt;width:75.05pt;height:16.45pt;z-index:251648512" o:allowincell="f" filled="f" stroked="f" strokecolor="lime" strokeweight=".25pt">
            <v:textbox style="mso-next-textbox:#_x0000_s1602" inset="0,0,0,0">
              <w:txbxContent>
                <w:p w:rsidR="00B4351C" w:rsidRDefault="00A23AFC" w:rsidP="00987356">
                  <w:pPr>
                    <w:spacing w:line="160" w:lineRule="exact"/>
                    <w:rPr>
                      <w:rFonts w:cs="Miriam" w:hint="cs"/>
                      <w:noProof/>
                      <w:sz w:val="18"/>
                      <w:szCs w:val="18"/>
                      <w:rtl/>
                    </w:rPr>
                  </w:pPr>
                  <w:r>
                    <w:rPr>
                      <w:rFonts w:cs="Miriam" w:hint="cs"/>
                      <w:sz w:val="18"/>
                      <w:szCs w:val="18"/>
                      <w:rtl/>
                    </w:rPr>
                    <w:t>השתלטות על כלי שיט או מיתקן ימי</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A23AFC">
        <w:rPr>
          <w:rStyle w:val="default"/>
          <w:rFonts w:cs="FrankRuehl" w:hint="cs"/>
          <w:rtl/>
        </w:rPr>
        <w:t xml:space="preserve">העושה אחד מאלה, דינו </w:t>
      </w:r>
      <w:r w:rsidR="00A23AFC">
        <w:rPr>
          <w:rStyle w:val="default"/>
          <w:rFonts w:cs="FrankRuehl"/>
          <w:rtl/>
        </w:rPr>
        <w:t>–</w:t>
      </w:r>
      <w:r w:rsidR="00A23AFC">
        <w:rPr>
          <w:rStyle w:val="default"/>
          <w:rFonts w:cs="FrankRuehl" w:hint="cs"/>
          <w:rtl/>
        </w:rPr>
        <w:t xml:space="preserve"> מאסר עשרים שנים:</w:t>
      </w:r>
    </w:p>
    <w:p w:rsidR="00A23AFC" w:rsidRDefault="00A23AFC" w:rsidP="00A23AF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משתלט בכוח או תוך איום להפעיל כוח על כלי שיט או על מיתקן ימי;</w:t>
      </w:r>
    </w:p>
    <w:p w:rsidR="00A23AFC" w:rsidRDefault="00A23AFC" w:rsidP="00A23AF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תופס בכוח או תוך איום להפעיל כוח כלי שיט או מיתקן ימי.</w:t>
      </w:r>
    </w:p>
    <w:p w:rsidR="00E154A9" w:rsidRDefault="00987356" w:rsidP="00A23AFC">
      <w:pPr>
        <w:pStyle w:val="P00"/>
        <w:spacing w:before="72"/>
        <w:ind w:left="0" w:right="1134"/>
        <w:rPr>
          <w:rStyle w:val="default"/>
          <w:rFonts w:cs="FrankRuehl" w:hint="cs"/>
          <w:rtl/>
        </w:rPr>
      </w:pPr>
      <w:bookmarkStart w:id="5" w:name="Seif4"/>
      <w:bookmarkEnd w:id="5"/>
      <w:r>
        <w:rPr>
          <w:rFonts w:cs="Miriam"/>
          <w:lang w:val="he-IL"/>
        </w:rPr>
        <w:pict>
          <v:rect id="_x0000_s1603" style="position:absolute;left:0;text-align:left;margin-left:464.35pt;margin-top:7.1pt;width:75.05pt;height:16.45pt;z-index:251649536" o:allowincell="f" filled="f" stroked="f" strokecolor="lime" strokeweight=".25pt">
            <v:textbox style="mso-next-textbox:#_x0000_s1603" inset="0,0,0,0">
              <w:txbxContent>
                <w:p w:rsidR="00B4351C" w:rsidRDefault="00A23AFC" w:rsidP="00987356">
                  <w:pPr>
                    <w:spacing w:line="160" w:lineRule="exact"/>
                    <w:rPr>
                      <w:rFonts w:cs="Miriam" w:hint="cs"/>
                      <w:noProof/>
                      <w:sz w:val="18"/>
                      <w:szCs w:val="18"/>
                      <w:rtl/>
                    </w:rPr>
                  </w:pPr>
                  <w:r>
                    <w:rPr>
                      <w:rFonts w:cs="Miriam" w:hint="cs"/>
                      <w:sz w:val="18"/>
                      <w:szCs w:val="18"/>
                      <w:rtl/>
                    </w:rPr>
                    <w:t>סיכון כלי שיט</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r>
      <w:r w:rsidR="00A23AFC">
        <w:rPr>
          <w:rStyle w:val="default"/>
          <w:rFonts w:cs="FrankRuehl" w:hint="cs"/>
          <w:rtl/>
        </w:rPr>
        <w:t xml:space="preserve">העושה אחד מאלה ומסכן בכך או עלול לסכן בכך את ביטחון הפלגת כלי השיט או את ביטחון כלי השיט, דינו </w:t>
      </w:r>
      <w:r w:rsidR="00A23AFC">
        <w:rPr>
          <w:rStyle w:val="default"/>
          <w:rFonts w:cs="FrankRuehl"/>
          <w:rtl/>
        </w:rPr>
        <w:t>–</w:t>
      </w:r>
      <w:r w:rsidR="00A23AFC">
        <w:rPr>
          <w:rStyle w:val="default"/>
          <w:rFonts w:cs="FrankRuehl" w:hint="cs"/>
          <w:rtl/>
        </w:rPr>
        <w:t xml:space="preserve"> מאסר 15 שנים:</w:t>
      </w:r>
    </w:p>
    <w:p w:rsidR="00A23AFC" w:rsidRDefault="00A23AFC" w:rsidP="00A23AF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תוקף אדם הנמצא על כלי השיט;</w:t>
      </w:r>
    </w:p>
    <w:p w:rsidR="00A23AFC" w:rsidRDefault="00A23AFC" w:rsidP="00A23AF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גורם נזק לכלי שיט או למטענו;</w:t>
      </w:r>
    </w:p>
    <w:p w:rsidR="00A23AFC" w:rsidRDefault="00A23AFC" w:rsidP="00A23AF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מכניס לכלי השיט, בדרך כל שהיא, מכשיר או חומר העלול לגרום נזק לכלי השיט או למטענו;</w:t>
      </w:r>
    </w:p>
    <w:p w:rsidR="00A23AFC" w:rsidRDefault="00A23AFC" w:rsidP="00A23AF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גורם נזק לעזרי ניווט או משבש את פעולתם התקינה;</w:t>
      </w:r>
    </w:p>
    <w:p w:rsidR="00A23AFC" w:rsidRDefault="00A23AFC" w:rsidP="00A23AF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מוסר מידע כוזב.</w:t>
      </w:r>
    </w:p>
    <w:p w:rsidR="00A23AFC" w:rsidRDefault="00A23AFC" w:rsidP="00A23A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עשה כאמור בסעיף קטן (א) וגרם למותו של אדם או גרם לאדם חבלה חמורה, דינו </w:t>
      </w:r>
      <w:r>
        <w:rPr>
          <w:rStyle w:val="default"/>
          <w:rFonts w:cs="FrankRuehl"/>
          <w:rtl/>
        </w:rPr>
        <w:t>–</w:t>
      </w:r>
      <w:r>
        <w:rPr>
          <w:rStyle w:val="default"/>
          <w:rFonts w:cs="FrankRuehl" w:hint="cs"/>
          <w:rtl/>
        </w:rPr>
        <w:t xml:space="preserve"> מאסר עשרים שנים.</w:t>
      </w:r>
    </w:p>
    <w:p w:rsidR="00236C63" w:rsidRDefault="00236C63" w:rsidP="00A23AFC">
      <w:pPr>
        <w:pStyle w:val="P00"/>
        <w:spacing w:before="72"/>
        <w:ind w:left="0" w:right="1134"/>
        <w:rPr>
          <w:rStyle w:val="default"/>
          <w:rFonts w:cs="FrankRuehl" w:hint="cs"/>
          <w:rtl/>
        </w:rPr>
      </w:pPr>
      <w:bookmarkStart w:id="6" w:name="Seif5"/>
      <w:bookmarkEnd w:id="6"/>
      <w:r>
        <w:rPr>
          <w:rFonts w:cs="Miriam"/>
          <w:lang w:val="he-IL"/>
        </w:rPr>
        <w:pict>
          <v:rect id="_x0000_s1604" style="position:absolute;left:0;text-align:left;margin-left:464.35pt;margin-top:7.1pt;width:75.05pt;height:16.45pt;z-index:251650560" o:allowincell="f" filled="f" stroked="f" strokecolor="lime" strokeweight=".25pt">
            <v:textbox style="mso-next-textbox:#_x0000_s1604" inset="0,0,0,0">
              <w:txbxContent>
                <w:p w:rsidR="00B4351C" w:rsidRDefault="00A23AFC" w:rsidP="00236C63">
                  <w:pPr>
                    <w:spacing w:line="160" w:lineRule="exact"/>
                    <w:rPr>
                      <w:rFonts w:cs="Miriam" w:hint="cs"/>
                      <w:noProof/>
                      <w:sz w:val="18"/>
                      <w:szCs w:val="18"/>
                      <w:rtl/>
                    </w:rPr>
                  </w:pPr>
                  <w:r>
                    <w:rPr>
                      <w:rFonts w:cs="Miriam" w:hint="cs"/>
                      <w:sz w:val="18"/>
                      <w:szCs w:val="18"/>
                      <w:rtl/>
                    </w:rPr>
                    <w:t>סיכון מיתקן ימי</w:t>
                  </w:r>
                </w:p>
              </w:txbxContent>
            </v:textbox>
            <w10:anchorlock/>
          </v:rect>
        </w:pict>
      </w:r>
      <w:r w:rsidR="00A62D61">
        <w:rPr>
          <w:rStyle w:val="big-number"/>
          <w:rFonts w:cs="Miriam" w:hint="cs"/>
          <w:rtl/>
        </w:rPr>
        <w:t>5</w:t>
      </w:r>
      <w:r>
        <w:rPr>
          <w:rStyle w:val="big-number"/>
          <w:rFonts w:cs="FrankRuehl"/>
          <w:sz w:val="26"/>
          <w:szCs w:val="26"/>
          <w:rtl/>
        </w:rPr>
        <w:t>.</w:t>
      </w:r>
      <w:r>
        <w:rPr>
          <w:rStyle w:val="big-number"/>
          <w:rFonts w:cs="FrankRuehl"/>
          <w:sz w:val="26"/>
          <w:szCs w:val="26"/>
          <w:rtl/>
        </w:rPr>
        <w:tab/>
      </w:r>
      <w:r w:rsidR="00A23AFC">
        <w:rPr>
          <w:rStyle w:val="default"/>
          <w:rFonts w:cs="FrankRuehl" w:hint="cs"/>
          <w:rtl/>
        </w:rPr>
        <w:t>(א)</w:t>
      </w:r>
      <w:r w:rsidR="00A23AFC">
        <w:rPr>
          <w:rStyle w:val="default"/>
          <w:rFonts w:cs="FrankRuehl" w:hint="cs"/>
          <w:rtl/>
        </w:rPr>
        <w:tab/>
        <w:t xml:space="preserve">העושה אחד מאלה ומסכן בכך או עלול לסכן בכך את ביטחונו של מיתקן ימי, דינו </w:t>
      </w:r>
      <w:r w:rsidR="00A23AFC">
        <w:rPr>
          <w:rStyle w:val="default"/>
          <w:rFonts w:cs="FrankRuehl"/>
          <w:rtl/>
        </w:rPr>
        <w:t>–</w:t>
      </w:r>
      <w:r w:rsidR="00A23AFC">
        <w:rPr>
          <w:rStyle w:val="default"/>
          <w:rFonts w:cs="FrankRuehl" w:hint="cs"/>
          <w:rtl/>
        </w:rPr>
        <w:t xml:space="preserve"> מאסר 15 שנים:</w:t>
      </w:r>
    </w:p>
    <w:p w:rsidR="00A23AFC" w:rsidRDefault="00A23AFC" w:rsidP="00B200DB">
      <w:pPr>
        <w:pStyle w:val="P00"/>
        <w:spacing w:before="72"/>
        <w:ind w:left="1021" w:right="1134"/>
        <w:rPr>
          <w:rStyle w:val="default"/>
          <w:rFonts w:cs="FrankRuehl" w:hint="cs"/>
          <w:rtl/>
        </w:rPr>
      </w:pPr>
      <w:r>
        <w:rPr>
          <w:rStyle w:val="default"/>
          <w:rFonts w:cs="FrankRuehl" w:hint="cs"/>
          <w:rtl/>
        </w:rPr>
        <w:t>(1)</w:t>
      </w:r>
      <w:r w:rsidR="00B200DB">
        <w:rPr>
          <w:rStyle w:val="default"/>
          <w:rFonts w:cs="FrankRuehl" w:hint="cs"/>
          <w:rtl/>
        </w:rPr>
        <w:tab/>
        <w:t>תוקף אדם הנמצא על המיתקן הימי;</w:t>
      </w:r>
    </w:p>
    <w:p w:rsidR="00B200DB" w:rsidRDefault="00B200DB" w:rsidP="00B200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גורם נזק למיתקן הימי;</w:t>
      </w:r>
    </w:p>
    <w:p w:rsidR="00B200DB" w:rsidRDefault="00B200DB" w:rsidP="00B200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מכניס למיתקן הימי, בכל דרך שהיא, מכשיר או חומר העלול לגרום נזק למיתקן הימי.</w:t>
      </w:r>
    </w:p>
    <w:p w:rsidR="00B200DB" w:rsidRDefault="00B200DB" w:rsidP="00A23AF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עשה כאמור בסעיף קטן (א) וגרם למותו של אדם או גרם לאדם חבלה חמורה, דינו </w:t>
      </w:r>
      <w:r>
        <w:rPr>
          <w:rStyle w:val="default"/>
          <w:rFonts w:cs="FrankRuehl"/>
          <w:rtl/>
        </w:rPr>
        <w:t>–</w:t>
      </w:r>
      <w:r>
        <w:rPr>
          <w:rStyle w:val="default"/>
          <w:rFonts w:cs="FrankRuehl" w:hint="cs"/>
          <w:rtl/>
        </w:rPr>
        <w:t xml:space="preserve"> מאסר עשרים שנים.</w:t>
      </w:r>
    </w:p>
    <w:p w:rsidR="00B200DB" w:rsidRPr="00B200DB" w:rsidRDefault="00B200DB" w:rsidP="00B200DB">
      <w:pPr>
        <w:pStyle w:val="medium2-header"/>
        <w:keepLines w:val="0"/>
        <w:spacing w:before="72"/>
        <w:ind w:left="0" w:right="1134"/>
        <w:rPr>
          <w:rFonts w:cs="FrankRuehl" w:hint="cs"/>
          <w:noProof/>
          <w:rtl/>
        </w:rPr>
      </w:pPr>
      <w:bookmarkStart w:id="7" w:name="med2"/>
      <w:bookmarkEnd w:id="7"/>
      <w:r w:rsidRPr="00B200DB">
        <w:rPr>
          <w:rFonts w:cs="FrankRuehl" w:hint="cs"/>
          <w:noProof/>
          <w:rtl/>
        </w:rPr>
        <w:t>פרק ג': סמכויות אכיפה בכלי שיט ישראלי</w:t>
      </w:r>
    </w:p>
    <w:p w:rsidR="00236C63" w:rsidRDefault="00236C63" w:rsidP="00B200DB">
      <w:pPr>
        <w:pStyle w:val="P00"/>
        <w:spacing w:before="72"/>
        <w:ind w:left="0" w:right="1134"/>
        <w:rPr>
          <w:rStyle w:val="default"/>
          <w:rFonts w:cs="FrankRuehl" w:hint="cs"/>
          <w:rtl/>
        </w:rPr>
      </w:pPr>
      <w:bookmarkStart w:id="8" w:name="Seif6"/>
      <w:bookmarkEnd w:id="8"/>
      <w:r>
        <w:rPr>
          <w:rFonts w:cs="Miriam"/>
          <w:lang w:val="he-IL"/>
        </w:rPr>
        <w:pict>
          <v:rect id="_x0000_s1605" style="position:absolute;left:0;text-align:left;margin-left:464.35pt;margin-top:7.1pt;width:75.05pt;height:30.25pt;z-index:251651584" o:allowincell="f" filled="f" stroked="f" strokecolor="lime" strokeweight=".25pt">
            <v:textbox style="mso-next-textbox:#_x0000_s1605" inset="0,0,0,0">
              <w:txbxContent>
                <w:p w:rsidR="00B4351C" w:rsidRDefault="00B200DB" w:rsidP="00236C63">
                  <w:pPr>
                    <w:spacing w:line="160" w:lineRule="exact"/>
                    <w:rPr>
                      <w:rFonts w:cs="Miriam" w:hint="cs"/>
                      <w:noProof/>
                      <w:sz w:val="18"/>
                      <w:szCs w:val="18"/>
                      <w:rtl/>
                    </w:rPr>
                  </w:pPr>
                  <w:r>
                    <w:rPr>
                      <w:rFonts w:cs="Miriam" w:hint="cs"/>
                      <w:sz w:val="18"/>
                      <w:szCs w:val="18"/>
                      <w:rtl/>
                    </w:rPr>
                    <w:t>סמכויות הקברניט כלפי מי שמסכן את כלי השיט</w:t>
                  </w:r>
                </w:p>
              </w:txbxContent>
            </v:textbox>
            <w10:anchorlock/>
          </v:rect>
        </w:pict>
      </w:r>
      <w:r w:rsidR="00A62D61">
        <w:rPr>
          <w:rStyle w:val="big-number"/>
          <w:rFonts w:cs="Miriam" w:hint="cs"/>
          <w:rtl/>
        </w:rPr>
        <w:t>6</w:t>
      </w:r>
      <w:r>
        <w:rPr>
          <w:rStyle w:val="big-number"/>
          <w:rFonts w:cs="FrankRuehl"/>
          <w:sz w:val="26"/>
          <w:szCs w:val="26"/>
          <w:rtl/>
        </w:rPr>
        <w:t>.</w:t>
      </w:r>
      <w:r>
        <w:rPr>
          <w:rStyle w:val="big-number"/>
          <w:rFonts w:cs="FrankRuehl"/>
          <w:sz w:val="26"/>
          <w:szCs w:val="26"/>
          <w:rtl/>
        </w:rPr>
        <w:tab/>
      </w:r>
      <w:r w:rsidR="00B200DB">
        <w:rPr>
          <w:rStyle w:val="default"/>
          <w:rFonts w:cs="FrankRuehl" w:hint="cs"/>
          <w:rtl/>
        </w:rPr>
        <w:t>(א)</w:t>
      </w:r>
      <w:r w:rsidR="00B200DB">
        <w:rPr>
          <w:rStyle w:val="default"/>
          <w:rFonts w:cs="FrankRuehl" w:hint="cs"/>
          <w:rtl/>
        </w:rPr>
        <w:tab/>
        <w:t xml:space="preserve">היה לקברניט </w:t>
      </w:r>
      <w:r w:rsidR="0091680D">
        <w:rPr>
          <w:rStyle w:val="default"/>
          <w:rFonts w:cs="FrankRuehl" w:hint="cs"/>
          <w:rtl/>
        </w:rPr>
        <w:t>כלי שיט יסוד סביר לחשד כי אדם הנמצא בכלי השיט עבר עבירה לפי הוראות פרק ב' או כי הוא עומד לעבור עבירה כאמור, או כי הוא מסכן או עלול לסכן את ביטחון כלי השיט, בני האדם או הרכוש שבו, רשאי הקברניט:</w:t>
      </w:r>
    </w:p>
    <w:p w:rsidR="0091680D" w:rsidRDefault="0091680D" w:rsidP="001B6F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מאותו אדם למסור לו את שמו ומענו ולהציג לפניו תעודה מזהה;</w:t>
      </w:r>
    </w:p>
    <w:p w:rsidR="0091680D" w:rsidRDefault="0091680D" w:rsidP="001B6F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לחקור את אותו אדם; לשם חקירה כאמור יהיו לקברניט הסמכויות הנתונות לקצין משטרה לפי סעיף 2 לפקודת הפרוצדורה הפלילית (עדות), והוראות הסעיף האמור וסעיף 3 לאותה פקודה יחולו על החקירה;</w:t>
      </w:r>
    </w:p>
    <w:p w:rsidR="0091680D" w:rsidRDefault="0091680D" w:rsidP="001B6F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לעכב את אותו אדם כדי לברר את זהותו ומענו, כדי לחקור אותו במקום הימצאו או כדי למנוע סכנה לשלומו או לביטחונו של אדם; על עיכוב כאמור יחולו הוראות סעיפים 73 ו-74 לחוק המעצרים;</w:t>
      </w:r>
    </w:p>
    <w:p w:rsidR="0091680D" w:rsidRDefault="0091680D" w:rsidP="001B6F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לעצור את אותו אדם, ולהחזיקו במעצר בכלי השיט במקום שיקבע לכך, ובלבד שסבר כי המעצר דרוש לשם מסירתו לקצין משטרה ממונה או לנציג ישראלי לפי הוראות פרק ד' וכי לא ניתן להסתפק בעיכוב, ואם התקיים אחד מאלה:</w:t>
      </w:r>
    </w:p>
    <w:p w:rsidR="0091680D" w:rsidRDefault="0091680D" w:rsidP="001B6F5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001B6F56">
        <w:rPr>
          <w:rStyle w:val="default"/>
          <w:rFonts w:cs="FrankRuehl" w:hint="cs"/>
          <w:rtl/>
        </w:rPr>
        <w:t>יש לו יסוד סביר לחשש שאותו אדם יסכן את ביטחון כלי השיט או את ביטחונו של אדם בכלי השיט;</w:t>
      </w:r>
    </w:p>
    <w:p w:rsidR="001B6F56" w:rsidRDefault="001B6F56" w:rsidP="001B6F56">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יש לו יסוד סביר לחשש שאותו אדם ינסה להימלט מכלי השיט;</w:t>
      </w:r>
    </w:p>
    <w:p w:rsidR="001B6F56" w:rsidRDefault="001B6F56" w:rsidP="001B6F56">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(1)</w:t>
      </w:r>
      <w:r>
        <w:rPr>
          <w:rStyle w:val="default"/>
          <w:rFonts w:cs="FrankRuehl" w:hint="cs"/>
          <w:rtl/>
        </w:rPr>
        <w:tab/>
        <w:t xml:space="preserve">לערוך חיפוש על גופו של אותו אדם; בסעיף זה, "חיפוש על גוף האדם" </w:t>
      </w:r>
      <w:r>
        <w:rPr>
          <w:rStyle w:val="default"/>
          <w:rFonts w:cs="FrankRuehl"/>
          <w:rtl/>
        </w:rPr>
        <w:t>–</w:t>
      </w:r>
      <w:r>
        <w:rPr>
          <w:rStyle w:val="default"/>
          <w:rFonts w:cs="FrankRuehl" w:hint="cs"/>
          <w:rtl/>
        </w:rPr>
        <w:t xml:space="preserve"> כהגדרתו בסעיף 22 לפקודת סדר הדין הפלילי; על חיפוש כאמור יחולו הוראות סעיף 22(ג) לפקודת סדר הדין הפלילי, והוא ייערך, במידת האפשר, על ידי בן מינו של אותו אדם ובדרך שתבטיח שמירה מרבית על כבודו ופרטיותו;</w:t>
      </w:r>
    </w:p>
    <w:p w:rsidR="001B6F56" w:rsidRDefault="001B6F56" w:rsidP="0061214E">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אם סבר כי נשקפת </w:t>
      </w:r>
      <w:r w:rsidR="0061214E">
        <w:rPr>
          <w:rStyle w:val="default"/>
          <w:rFonts w:cs="FrankRuehl" w:hint="cs"/>
          <w:rtl/>
        </w:rPr>
        <w:t xml:space="preserve">סכנה לפגיעה בביטחון כלי השיט או בני אדם שבו, או אם הדבר נחוץ כדי להבטיח הצגת חפץ לצורך כל חקירה, משפט או הליך אחר </w:t>
      </w:r>
      <w:r w:rsidR="0061214E">
        <w:rPr>
          <w:rStyle w:val="default"/>
          <w:rFonts w:cs="FrankRuehl"/>
          <w:rtl/>
        </w:rPr>
        <w:t>–</w:t>
      </w:r>
      <w:r w:rsidR="0061214E">
        <w:rPr>
          <w:rStyle w:val="default"/>
          <w:rFonts w:cs="FrankRuehl" w:hint="cs"/>
          <w:rtl/>
        </w:rPr>
        <w:t xml:space="preserve"> להיכנס ולחפש בכל מקום בכלי השיט; על חיפוש כאמור יחולו הוראות סעיפים 27 ו-28 לפקודת סדר הדין הפלילי;</w:t>
      </w:r>
    </w:p>
    <w:p w:rsidR="0061214E" w:rsidRDefault="0061214E" w:rsidP="00A3134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לתפוס חפץהעלול לפגוע בביטחון כלי השיט, או חפץ שנתגלה בחיפוש כאמור בפסקה (5) הקשור בביצוע עבירה לפי חוק זה;</w:t>
      </w:r>
    </w:p>
    <w:p w:rsidR="0061214E" w:rsidRDefault="0061214E" w:rsidP="00A3134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למנוע את בריחתו של אדם ממשמורת חוקית בכלי השיט, שבה הוא נתון לפי הוראות סעיף זה.</w:t>
      </w:r>
    </w:p>
    <w:p w:rsidR="0061214E" w:rsidRDefault="0061214E" w:rsidP="00D643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643D6">
        <w:rPr>
          <w:rStyle w:val="default"/>
          <w:rFonts w:cs="FrankRuehl" w:hint="cs"/>
          <w:rtl/>
        </w:rPr>
        <w:t>היה לקברניט כלי שיט יסוד סביר לחשד כי אדם העומד להיכנס לכלי השיט או להכניס אליו מטען, עומד לעבור עבירה לפי הוראות פרק ב', או עומד לסכן את ביטחון כלי השיט, בני האדם או הרכוש שבו, רשאי הוא למנוע את כניסתו של אותו אדם או את הכנסת המטען לכלי השיט; מנע הקברניט כניסה כאמור יודיע על כך מיד לרשויות המוסמכות בנמל שבו עוגן כלי השיט.</w:t>
      </w:r>
    </w:p>
    <w:p w:rsidR="00D643D6" w:rsidRDefault="00D643D6" w:rsidP="00B200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hint="cs"/>
          <w:rtl/>
        </w:rPr>
        <w:tab/>
        <w:t>סירב אדם להפעלת סמכויות הקברניט לפי סעיף זה, רשאי הקברניט להשתמש בכוח סביר במידה הדרושה לשם הפעלת סמכויותיו.</w:t>
      </w:r>
    </w:p>
    <w:p w:rsidR="00D643D6" w:rsidRDefault="00D643D6" w:rsidP="00B200D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הסמכויות לפי סעיף זה לא יהיו נתונות לקברניט לגבי כלי שיט העוגן בנמל בישראל.</w:t>
      </w:r>
    </w:p>
    <w:p w:rsidR="00236C63" w:rsidRDefault="00236C63" w:rsidP="00A31343">
      <w:pPr>
        <w:pStyle w:val="P00"/>
        <w:spacing w:before="72"/>
        <w:ind w:left="0" w:right="1134"/>
        <w:rPr>
          <w:rStyle w:val="default"/>
          <w:rFonts w:cs="FrankRuehl" w:hint="cs"/>
          <w:rtl/>
        </w:rPr>
      </w:pPr>
      <w:bookmarkStart w:id="9" w:name="Seif7"/>
      <w:bookmarkEnd w:id="9"/>
      <w:r>
        <w:rPr>
          <w:rFonts w:cs="Miriam"/>
          <w:lang w:val="he-IL"/>
        </w:rPr>
        <w:pict>
          <v:rect id="_x0000_s1606" style="position:absolute;left:0;text-align:left;margin-left:464.35pt;margin-top:7.1pt;width:75.05pt;height:16.45pt;z-index:251652608" o:allowincell="f" filled="f" stroked="f" strokecolor="lime" strokeweight=".25pt">
            <v:textbox style="mso-next-textbox:#_x0000_s1606" inset="0,0,0,0">
              <w:txbxContent>
                <w:p w:rsidR="00B4351C" w:rsidRDefault="00A31343" w:rsidP="00236C63">
                  <w:pPr>
                    <w:spacing w:line="160" w:lineRule="exact"/>
                    <w:rPr>
                      <w:rFonts w:cs="Miriam" w:hint="cs"/>
                      <w:noProof/>
                      <w:sz w:val="18"/>
                      <w:szCs w:val="18"/>
                      <w:rtl/>
                    </w:rPr>
                  </w:pPr>
                  <w:r>
                    <w:rPr>
                      <w:rFonts w:cs="Miriam" w:hint="cs"/>
                      <w:sz w:val="18"/>
                      <w:szCs w:val="18"/>
                      <w:rtl/>
                    </w:rPr>
                    <w:t>חובות הקברניט כלפי מעוכב או עצור</w:t>
                  </w:r>
                </w:p>
              </w:txbxContent>
            </v:textbox>
            <w10:anchorlock/>
          </v:rect>
        </w:pict>
      </w:r>
      <w:r w:rsidR="00A62D61">
        <w:rPr>
          <w:rStyle w:val="big-number"/>
          <w:rFonts w:cs="Miriam" w:hint="cs"/>
          <w:rtl/>
        </w:rPr>
        <w:t>7</w:t>
      </w:r>
      <w:r>
        <w:rPr>
          <w:rStyle w:val="big-number"/>
          <w:rFonts w:cs="FrankRuehl"/>
          <w:sz w:val="26"/>
          <w:szCs w:val="26"/>
          <w:rtl/>
        </w:rPr>
        <w:t>.</w:t>
      </w:r>
      <w:r>
        <w:rPr>
          <w:rStyle w:val="big-number"/>
          <w:rFonts w:cs="FrankRuehl"/>
          <w:sz w:val="26"/>
          <w:szCs w:val="26"/>
          <w:rtl/>
        </w:rPr>
        <w:tab/>
      </w:r>
      <w:r w:rsidR="007A779A">
        <w:rPr>
          <w:rStyle w:val="default"/>
          <w:rFonts w:cs="FrankRuehl" w:hint="cs"/>
          <w:rtl/>
        </w:rPr>
        <w:t>(א)</w:t>
      </w:r>
      <w:r w:rsidR="007A779A">
        <w:rPr>
          <w:rStyle w:val="default"/>
          <w:rFonts w:cs="FrankRuehl" w:hint="cs"/>
          <w:rtl/>
        </w:rPr>
        <w:tab/>
      </w:r>
      <w:r w:rsidR="00A31343">
        <w:rPr>
          <w:rStyle w:val="default"/>
          <w:rFonts w:cs="FrankRuehl" w:hint="cs"/>
          <w:rtl/>
        </w:rPr>
        <w:t>קברניט המעכב או עוצר אדם לפי הוראות סעיף 6(א)(3) או (4), יזהה את עצמו תחילה לפני החשוד בציון שמו או כינויו הרשמי והיותו קברניט כלי השיט, יודיע לו מיד שהוא מעוכב או עצור, לפי העניין, ויבהיר לו את סיבת העיכוב או המעצר בהקדם האפשרי במהלך ביצועם.</w:t>
      </w:r>
    </w:p>
    <w:p w:rsidR="00A31343" w:rsidRDefault="00A31343" w:rsidP="00A313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עצר הקברניט אדם לפי הוראות סעיף 6(א)(4), יעשה כל שביכולתו כדי להבטיח שתנאי המעצר יהיו כאמור בסעיף 9(א) ו-(ב) לחוק המעצרים.</w:t>
      </w:r>
    </w:p>
    <w:p w:rsidR="00236C63" w:rsidRDefault="00236C63" w:rsidP="00A31343">
      <w:pPr>
        <w:pStyle w:val="P00"/>
        <w:spacing w:before="72"/>
        <w:ind w:left="0" w:right="1134"/>
        <w:rPr>
          <w:rStyle w:val="default"/>
          <w:rFonts w:cs="FrankRuehl" w:hint="cs"/>
          <w:rtl/>
        </w:rPr>
      </w:pPr>
      <w:bookmarkStart w:id="10" w:name="Seif8"/>
      <w:bookmarkEnd w:id="10"/>
      <w:r>
        <w:rPr>
          <w:rFonts w:cs="Miriam"/>
          <w:lang w:val="he-IL"/>
        </w:rPr>
        <w:pict>
          <v:rect id="_x0000_s1607" style="position:absolute;left:0;text-align:left;margin-left:464.35pt;margin-top:7.1pt;width:75.05pt;height:16.45pt;z-index:251653632" o:allowincell="f" filled="f" stroked="f" strokecolor="lime" strokeweight=".25pt">
            <v:textbox style="mso-next-textbox:#_x0000_s1607" inset="0,0,0,0">
              <w:txbxContent>
                <w:p w:rsidR="00B4351C" w:rsidRDefault="00A31343" w:rsidP="00236C63">
                  <w:pPr>
                    <w:spacing w:line="160" w:lineRule="exact"/>
                    <w:rPr>
                      <w:rFonts w:cs="Miriam" w:hint="cs"/>
                      <w:noProof/>
                      <w:sz w:val="18"/>
                      <w:szCs w:val="18"/>
                      <w:rtl/>
                    </w:rPr>
                  </w:pPr>
                  <w:r>
                    <w:rPr>
                      <w:rFonts w:cs="Miriam" w:hint="cs"/>
                      <w:sz w:val="18"/>
                      <w:szCs w:val="18"/>
                      <w:rtl/>
                    </w:rPr>
                    <w:t>סיוע של אנשי צוות ואחרים</w:t>
                  </w:r>
                </w:p>
              </w:txbxContent>
            </v:textbox>
            <w10:anchorlock/>
          </v:rect>
        </w:pict>
      </w:r>
      <w:r w:rsidR="007A779A">
        <w:rPr>
          <w:rStyle w:val="big-number"/>
          <w:rFonts w:cs="Miriam" w:hint="cs"/>
          <w:rtl/>
        </w:rPr>
        <w:t>8</w:t>
      </w:r>
      <w:r>
        <w:rPr>
          <w:rStyle w:val="big-number"/>
          <w:rFonts w:cs="FrankRuehl"/>
          <w:sz w:val="26"/>
          <w:szCs w:val="26"/>
          <w:rtl/>
        </w:rPr>
        <w:t>.</w:t>
      </w:r>
      <w:r>
        <w:rPr>
          <w:rStyle w:val="big-number"/>
          <w:rFonts w:cs="FrankRuehl"/>
          <w:sz w:val="26"/>
          <w:szCs w:val="26"/>
          <w:rtl/>
        </w:rPr>
        <w:tab/>
      </w:r>
      <w:r w:rsidR="0071493B">
        <w:rPr>
          <w:rStyle w:val="default"/>
          <w:rFonts w:cs="FrankRuehl" w:hint="cs"/>
          <w:rtl/>
        </w:rPr>
        <w:t>(א)</w:t>
      </w:r>
      <w:r w:rsidR="0071493B">
        <w:rPr>
          <w:rStyle w:val="default"/>
          <w:rFonts w:cs="FrankRuehl" w:hint="cs"/>
          <w:rtl/>
        </w:rPr>
        <w:tab/>
      </w:r>
      <w:r w:rsidR="00A31343">
        <w:rPr>
          <w:rStyle w:val="default"/>
          <w:rFonts w:cs="FrankRuehl" w:hint="cs"/>
          <w:rtl/>
        </w:rPr>
        <w:t>כל איש צוות חייב לסייע לקברניט בהפעלת סמכויותיו לפי הוראות סעיף 6, לפי דרישתו, וכן לפעול לפי הוראות מחייבות אחרות, לרבות הוראות קבע, תוך ציות להוראות הקברניט.</w:t>
      </w:r>
    </w:p>
    <w:p w:rsidR="00A31343" w:rsidRDefault="00A31343" w:rsidP="00A313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אדם בכלי השיט, אף שאינו איש צוות, חייב לסייע לקברניט או לאיש צוות הדורש באופן סביר את עזרתו לצורך הפעלת הסמכויות לפי סעיף 6.</w:t>
      </w:r>
    </w:p>
    <w:p w:rsidR="00236C63" w:rsidRDefault="00236C63" w:rsidP="00FD5420">
      <w:pPr>
        <w:pStyle w:val="P00"/>
        <w:spacing w:before="72"/>
        <w:ind w:left="0" w:right="1134"/>
        <w:rPr>
          <w:rStyle w:val="default"/>
          <w:rFonts w:cs="FrankRuehl" w:hint="cs"/>
          <w:rtl/>
        </w:rPr>
      </w:pPr>
      <w:bookmarkStart w:id="11" w:name="Seif9"/>
      <w:bookmarkEnd w:id="11"/>
      <w:r>
        <w:rPr>
          <w:rFonts w:cs="Miriam"/>
          <w:lang w:val="he-IL"/>
        </w:rPr>
        <w:pict>
          <v:rect id="_x0000_s1608" style="position:absolute;left:0;text-align:left;margin-left:464.35pt;margin-top:7.1pt;width:75.05pt;height:18.45pt;z-index:251654656" o:allowincell="f" filled="f" stroked="f" strokecolor="lime" strokeweight=".25pt">
            <v:textbox style="mso-next-textbox:#_x0000_s1608" inset="0,0,0,0">
              <w:txbxContent>
                <w:p w:rsidR="00B4351C" w:rsidRDefault="00FD5420" w:rsidP="00236C63">
                  <w:pPr>
                    <w:spacing w:line="160" w:lineRule="exact"/>
                    <w:rPr>
                      <w:rFonts w:cs="Miriam" w:hint="cs"/>
                      <w:noProof/>
                      <w:sz w:val="18"/>
                      <w:szCs w:val="18"/>
                      <w:rtl/>
                    </w:rPr>
                  </w:pPr>
                  <w:r>
                    <w:rPr>
                      <w:rFonts w:cs="Miriam" w:hint="cs"/>
                      <w:sz w:val="18"/>
                      <w:szCs w:val="18"/>
                      <w:rtl/>
                    </w:rPr>
                    <w:t>שמירת סמכויות הקברניט</w:t>
                  </w:r>
                </w:p>
              </w:txbxContent>
            </v:textbox>
            <w10:anchorlock/>
          </v:rect>
        </w:pict>
      </w:r>
      <w:r w:rsidR="00866DE6">
        <w:rPr>
          <w:rStyle w:val="big-number"/>
          <w:rFonts w:cs="Miriam" w:hint="cs"/>
          <w:rtl/>
        </w:rPr>
        <w:t>9</w:t>
      </w:r>
      <w:r>
        <w:rPr>
          <w:rStyle w:val="big-number"/>
          <w:rFonts w:cs="FrankRuehl"/>
          <w:sz w:val="26"/>
          <w:szCs w:val="26"/>
          <w:rtl/>
        </w:rPr>
        <w:t>.</w:t>
      </w:r>
      <w:r>
        <w:rPr>
          <w:rStyle w:val="big-number"/>
          <w:rFonts w:cs="FrankRuehl"/>
          <w:sz w:val="26"/>
          <w:szCs w:val="26"/>
          <w:rtl/>
        </w:rPr>
        <w:tab/>
      </w:r>
      <w:r w:rsidR="00FD5420">
        <w:rPr>
          <w:rStyle w:val="default"/>
          <w:rFonts w:cs="FrankRuehl" w:hint="cs"/>
          <w:rtl/>
        </w:rPr>
        <w:t>סמכויות הקברניט לפי הוראות פרק זה אינן גורעות מסמכויות אחרות הנתונות לו לפי הוראות כל דין אחר.</w:t>
      </w:r>
    </w:p>
    <w:p w:rsidR="00FD5420" w:rsidRPr="0054653C" w:rsidRDefault="00FD5420" w:rsidP="0054653C">
      <w:pPr>
        <w:pStyle w:val="medium2-header"/>
        <w:keepLines w:val="0"/>
        <w:spacing w:before="72"/>
        <w:ind w:left="0" w:right="1134"/>
        <w:rPr>
          <w:rFonts w:cs="FrankRuehl" w:hint="cs"/>
          <w:noProof/>
          <w:rtl/>
        </w:rPr>
      </w:pPr>
      <w:bookmarkStart w:id="12" w:name="med3"/>
      <w:bookmarkEnd w:id="12"/>
      <w:r w:rsidRPr="0054653C">
        <w:rPr>
          <w:rFonts w:cs="FrankRuehl" w:hint="cs"/>
          <w:noProof/>
          <w:rtl/>
        </w:rPr>
        <w:t>פרק ד': מסירת חשוד העצור בכלי שיט ישראלי</w:t>
      </w:r>
    </w:p>
    <w:p w:rsidR="00236C63" w:rsidRDefault="00236C63" w:rsidP="0054653C">
      <w:pPr>
        <w:pStyle w:val="P00"/>
        <w:spacing w:before="72"/>
        <w:ind w:left="0" w:right="1134"/>
        <w:rPr>
          <w:rStyle w:val="default"/>
          <w:rFonts w:cs="FrankRuehl" w:hint="cs"/>
          <w:rtl/>
        </w:rPr>
      </w:pPr>
      <w:bookmarkStart w:id="13" w:name="Seif10"/>
      <w:bookmarkEnd w:id="13"/>
      <w:r>
        <w:rPr>
          <w:rFonts w:cs="Miriam"/>
          <w:lang w:val="he-IL"/>
        </w:rPr>
        <w:pict>
          <v:rect id="_x0000_s1609" style="position:absolute;left:0;text-align:left;margin-left:464.35pt;margin-top:7.1pt;width:75.05pt;height:16.45pt;z-index:251655680" o:allowincell="f" filled="f" stroked="f" strokecolor="lime" strokeweight=".25pt">
            <v:textbox style="mso-next-textbox:#_x0000_s1609" inset="0,0,0,0">
              <w:txbxContent>
                <w:p w:rsidR="00B4351C" w:rsidRDefault="0054653C" w:rsidP="0054653C">
                  <w:pPr>
                    <w:spacing w:line="160" w:lineRule="exact"/>
                    <w:rPr>
                      <w:rFonts w:cs="Miriam" w:hint="cs"/>
                      <w:noProof/>
                      <w:sz w:val="18"/>
                      <w:szCs w:val="18"/>
                      <w:rtl/>
                    </w:rPr>
                  </w:pPr>
                  <w:r>
                    <w:rPr>
                      <w:rFonts w:cs="Miriam" w:hint="cs"/>
                      <w:sz w:val="18"/>
                      <w:szCs w:val="18"/>
                      <w:rtl/>
                    </w:rPr>
                    <w:t>הוראות קצין משטרה ממונה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4653C">
        <w:rPr>
          <w:rStyle w:val="default"/>
          <w:rFonts w:cs="FrankRuehl" w:hint="cs"/>
          <w:rtl/>
        </w:rPr>
        <w:t>(א)</w:t>
      </w:r>
      <w:r w:rsidR="0054653C">
        <w:rPr>
          <w:rStyle w:val="default"/>
          <w:rFonts w:cs="FrankRuehl" w:hint="cs"/>
          <w:rtl/>
        </w:rPr>
        <w:tab/>
        <w:t>הפעיל קברניט כלי שיט סמכויות לפי הוראות פרק ג', יודיע על כך ועל הסיבות להפעלת הסמכויות, בהקדם האפשרי, לבעל כלי השיט; הודיע הקברניט לבעל כלי השיט כי עצר אדם לפי הוראות סעיף 6(א)(4), יודיע בעל כלי השיט על כך ועל סיבת המעצר, בהקדם האפשרי, לקצין משטרה ממונה.</w:t>
      </w:r>
    </w:p>
    <w:p w:rsidR="0071430C" w:rsidRDefault="0054653C" w:rsidP="007143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1430C">
        <w:rPr>
          <w:rStyle w:val="default"/>
          <w:rFonts w:cs="FrankRuehl" w:hint="cs"/>
          <w:rtl/>
        </w:rPr>
        <w:t>סבר קצין משטרה ממונה שנמסרה לו הודעה על מעצר אדם לפי הוראות סעיף קטן (א) כי לא התקיים האמור בסעיף 6(א)(4)(1) או (2) יורה על שחרורו ממעצר; סבר קצין המשטרה הממונה כי התקיים האמור באותו סעיף, ייתן כל הוראה הנחוצה לדעתו להסדרת מעצר החשוד ובכלל זה הוראות לעניין תנאי המעצר.</w:t>
      </w:r>
    </w:p>
    <w:p w:rsidR="00236C63" w:rsidRDefault="00236C63" w:rsidP="00AD1F62">
      <w:pPr>
        <w:pStyle w:val="P00"/>
        <w:spacing w:before="72"/>
        <w:ind w:left="0" w:right="1134"/>
        <w:rPr>
          <w:rStyle w:val="default"/>
          <w:rFonts w:cs="FrankRuehl" w:hint="cs"/>
          <w:rtl/>
        </w:rPr>
      </w:pPr>
      <w:bookmarkStart w:id="14" w:name="Seif11"/>
      <w:bookmarkEnd w:id="14"/>
      <w:r>
        <w:rPr>
          <w:rFonts w:cs="Miriam"/>
          <w:lang w:val="he-IL"/>
        </w:rPr>
        <w:pict>
          <v:rect id="_x0000_s1610" style="position:absolute;left:0;text-align:left;margin-left:464.35pt;margin-top:7.1pt;width:75.05pt;height:16.45pt;z-index:251656704" o:allowincell="f" filled="f" stroked="f" strokecolor="lime" strokeweight=".25pt">
            <v:textbox style="mso-next-textbox:#_x0000_s1610" inset="0,0,0,0">
              <w:txbxContent>
                <w:p w:rsidR="00B4351C" w:rsidRDefault="00AD1F62" w:rsidP="00236C63">
                  <w:pPr>
                    <w:spacing w:line="160" w:lineRule="exact"/>
                    <w:rPr>
                      <w:rFonts w:cs="Miriam" w:hint="cs"/>
                      <w:noProof/>
                      <w:sz w:val="18"/>
                      <w:szCs w:val="18"/>
                      <w:rtl/>
                    </w:rPr>
                  </w:pPr>
                  <w:r>
                    <w:rPr>
                      <w:rFonts w:cs="Miriam" w:hint="cs"/>
                      <w:sz w:val="18"/>
                      <w:szCs w:val="18"/>
                      <w:rtl/>
                    </w:rPr>
                    <w:t>הוראות נציג משרד החוץ</w:t>
                  </w:r>
                </w:p>
              </w:txbxContent>
            </v:textbox>
            <w10:anchorlock/>
          </v:rect>
        </w:pict>
      </w:r>
      <w:r>
        <w:rPr>
          <w:rStyle w:val="big-number"/>
          <w:rFonts w:cs="Miriam" w:hint="cs"/>
          <w:rtl/>
        </w:rPr>
        <w:t>1</w:t>
      </w:r>
      <w:r w:rsidR="00965B15">
        <w:rPr>
          <w:rStyle w:val="big-number"/>
          <w:rFonts w:cs="Miriam" w:hint="cs"/>
          <w:rtl/>
        </w:rPr>
        <w:t>1</w:t>
      </w:r>
      <w:r>
        <w:rPr>
          <w:rStyle w:val="big-number"/>
          <w:rFonts w:cs="FrankRuehl"/>
          <w:sz w:val="26"/>
          <w:szCs w:val="26"/>
          <w:rtl/>
        </w:rPr>
        <w:t>.</w:t>
      </w:r>
      <w:r>
        <w:rPr>
          <w:rStyle w:val="big-number"/>
          <w:rFonts w:cs="FrankRuehl"/>
          <w:sz w:val="26"/>
          <w:szCs w:val="26"/>
          <w:rtl/>
        </w:rPr>
        <w:tab/>
      </w:r>
      <w:r w:rsidR="00431295">
        <w:rPr>
          <w:rStyle w:val="default"/>
          <w:rFonts w:cs="FrankRuehl" w:hint="cs"/>
          <w:rtl/>
        </w:rPr>
        <w:t>(א)</w:t>
      </w:r>
      <w:r w:rsidR="00431295">
        <w:rPr>
          <w:rStyle w:val="default"/>
          <w:rFonts w:cs="FrankRuehl" w:hint="cs"/>
          <w:rtl/>
        </w:rPr>
        <w:tab/>
      </w:r>
      <w:r w:rsidR="00AD1F62">
        <w:rPr>
          <w:rStyle w:val="default"/>
          <w:rFonts w:cs="FrankRuehl" w:hint="cs"/>
          <w:rtl/>
        </w:rPr>
        <w:t>הורה קצין משטרה ממונה על המשך מעצרו של חשוד לפי הוראות סעי 10(ב), יודיע בעל כלי השיט על המעצר ועל סיבת המעצר, בהקדם האפשרי, לנציג משרד החוץ.</w:t>
      </w:r>
    </w:p>
    <w:p w:rsidR="00AD1F62" w:rsidRDefault="00AD1F62" w:rsidP="00AD1F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נציג משרד החוץ שנמסרה לו הודעה על מעצר חשוד לפי הוראות סעיף קטן (א) </w:t>
      </w:r>
      <w:r>
        <w:rPr>
          <w:rStyle w:val="default"/>
          <w:rFonts w:cs="FrankRuehl"/>
          <w:rtl/>
        </w:rPr>
        <w:t>–</w:t>
      </w:r>
    </w:p>
    <w:p w:rsidR="00AD1F62" w:rsidRDefault="00AD1F62" w:rsidP="00AD1F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יודיע על המעצר כאמור, בהקדם האפשרי, למדינת אזרחותו של החשוד, ואם אין לו אזרחות </w:t>
      </w:r>
      <w:r>
        <w:rPr>
          <w:rStyle w:val="default"/>
          <w:rFonts w:cs="FrankRuehl"/>
          <w:rtl/>
        </w:rPr>
        <w:t>–</w:t>
      </w:r>
      <w:r>
        <w:rPr>
          <w:rStyle w:val="default"/>
          <w:rFonts w:cs="FrankRuehl" w:hint="cs"/>
          <w:rtl/>
        </w:rPr>
        <w:t xml:space="preserve"> למדינה שבה הוא תושב, ובלבד שהיא מדינה חברה, וכן לכל מדינה חברה אחרת שהיא בעלת סמכות שיפוט כלפי החשוד;</w:t>
      </w:r>
    </w:p>
    <w:p w:rsidR="00AD1F62" w:rsidRDefault="00AD1F62" w:rsidP="00AD1F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 יורה לבעל כלי השיט למסור את החשוד למדינה חברה או להביא את החשוד לישראל ולמוסרו לקצין משטרה ממונה; בבואו להורות כאמור יעשה נציג משרד החוץ כל שניתן כדי לקצר את תקופת מעצרו של החשוד בכלי השיט ולמנוע סטייה ניכרת של כלי השיט מנתיב הפלגתו המתוכנן.</w:t>
      </w:r>
    </w:p>
    <w:p w:rsidR="00236C63" w:rsidRDefault="00236C63" w:rsidP="00AD1F62">
      <w:pPr>
        <w:pStyle w:val="P00"/>
        <w:spacing w:before="72"/>
        <w:ind w:left="0" w:right="1134"/>
        <w:rPr>
          <w:rStyle w:val="default"/>
          <w:rFonts w:cs="FrankRuehl" w:hint="cs"/>
          <w:rtl/>
        </w:rPr>
      </w:pPr>
      <w:bookmarkStart w:id="15" w:name="Seif12"/>
      <w:bookmarkEnd w:id="15"/>
      <w:r>
        <w:rPr>
          <w:rFonts w:cs="Miriam"/>
          <w:lang w:val="he-IL"/>
        </w:rPr>
        <w:pict>
          <v:rect id="_x0000_s1611" style="position:absolute;left:0;text-align:left;margin-left:464.35pt;margin-top:7.1pt;width:75.05pt;height:16.45pt;z-index:251657728" o:allowincell="f" filled="f" stroked="f" strokecolor="lime" strokeweight=".25pt">
            <v:textbox style="mso-next-textbox:#_x0000_s1611" inset="0,0,0,0">
              <w:txbxContent>
                <w:p w:rsidR="00B4351C" w:rsidRDefault="00AD1F62" w:rsidP="00236C63">
                  <w:pPr>
                    <w:spacing w:line="160" w:lineRule="exact"/>
                    <w:rPr>
                      <w:rFonts w:cs="Miriam" w:hint="cs"/>
                      <w:noProof/>
                      <w:sz w:val="18"/>
                      <w:szCs w:val="18"/>
                      <w:rtl/>
                    </w:rPr>
                  </w:pPr>
                  <w:r>
                    <w:rPr>
                      <w:rFonts w:cs="Miriam" w:hint="cs"/>
                      <w:sz w:val="18"/>
                      <w:szCs w:val="18"/>
                      <w:rtl/>
                    </w:rPr>
                    <w:t>ציות להוראות</w:t>
                  </w:r>
                </w:p>
              </w:txbxContent>
            </v:textbox>
            <w10:anchorlock/>
          </v:rect>
        </w:pict>
      </w:r>
      <w:r>
        <w:rPr>
          <w:rStyle w:val="big-number"/>
          <w:rFonts w:cs="Miriam" w:hint="cs"/>
          <w:rtl/>
        </w:rPr>
        <w:t>1</w:t>
      </w:r>
      <w:r w:rsidR="00965B15">
        <w:rPr>
          <w:rStyle w:val="big-number"/>
          <w:rFonts w:cs="Miriam" w:hint="cs"/>
          <w:rtl/>
        </w:rPr>
        <w:t>2</w:t>
      </w:r>
      <w:r>
        <w:rPr>
          <w:rStyle w:val="big-number"/>
          <w:rFonts w:cs="FrankRuehl"/>
          <w:sz w:val="26"/>
          <w:szCs w:val="26"/>
          <w:rtl/>
        </w:rPr>
        <w:t>.</w:t>
      </w:r>
      <w:r>
        <w:rPr>
          <w:rStyle w:val="big-number"/>
          <w:rFonts w:cs="FrankRuehl"/>
          <w:sz w:val="26"/>
          <w:szCs w:val="26"/>
          <w:rtl/>
        </w:rPr>
        <w:tab/>
      </w:r>
      <w:r w:rsidR="00AD1F62">
        <w:rPr>
          <w:rStyle w:val="default"/>
          <w:rFonts w:cs="FrankRuehl" w:hint="cs"/>
          <w:rtl/>
        </w:rPr>
        <w:t>קברניט שעצר אדם לפי סעיף 6(א)(4), ינהג בהתאם להוראות שניתנו בידי קצין משטרה ממונה ונציג משרד החוץ לפי סעיפים 10 ו-11; כל עוד לא ניתנו הוראות כאמור רשאי הוא להמשיך במעצרו של אותו אדם.</w:t>
      </w:r>
    </w:p>
    <w:p w:rsidR="00236C63" w:rsidRDefault="00236C63" w:rsidP="00AD1F62">
      <w:pPr>
        <w:pStyle w:val="P00"/>
        <w:spacing w:before="72"/>
        <w:ind w:left="0" w:right="1134"/>
        <w:rPr>
          <w:rStyle w:val="default"/>
          <w:rFonts w:cs="FrankRuehl" w:hint="cs"/>
          <w:rtl/>
        </w:rPr>
      </w:pPr>
      <w:bookmarkStart w:id="16" w:name="Seif13"/>
      <w:bookmarkEnd w:id="16"/>
      <w:r>
        <w:rPr>
          <w:rFonts w:cs="Miriam"/>
          <w:lang w:val="he-IL"/>
        </w:rPr>
        <w:pict>
          <v:rect id="_x0000_s1612" style="position:absolute;left:0;text-align:left;margin-left:464.35pt;margin-top:7.1pt;width:75.05pt;height:16.45pt;z-index:251658752" o:allowincell="f" filled="f" stroked="f" strokecolor="lime" strokeweight=".25pt">
            <v:textbox style="mso-next-textbox:#_x0000_s1612" inset="0,0,0,0">
              <w:txbxContent>
                <w:p w:rsidR="00B4351C" w:rsidRDefault="00AD1F62" w:rsidP="00236C63">
                  <w:pPr>
                    <w:spacing w:line="160" w:lineRule="exact"/>
                    <w:rPr>
                      <w:rFonts w:cs="Miriam" w:hint="cs"/>
                      <w:noProof/>
                      <w:sz w:val="18"/>
                      <w:szCs w:val="18"/>
                      <w:rtl/>
                    </w:rPr>
                  </w:pPr>
                  <w:r>
                    <w:rPr>
                      <w:rFonts w:cs="Miriam" w:hint="cs"/>
                      <w:sz w:val="18"/>
                      <w:szCs w:val="18"/>
                      <w:rtl/>
                    </w:rPr>
                    <w:t>מסירת חשוד למדינה חברה</w:t>
                  </w:r>
                </w:p>
              </w:txbxContent>
            </v:textbox>
            <w10:anchorlock/>
          </v:rect>
        </w:pict>
      </w:r>
      <w:r>
        <w:rPr>
          <w:rStyle w:val="big-number"/>
          <w:rFonts w:cs="Miriam" w:hint="cs"/>
          <w:rtl/>
        </w:rPr>
        <w:t>1</w:t>
      </w:r>
      <w:r w:rsidR="00DE6C13">
        <w:rPr>
          <w:rStyle w:val="big-number"/>
          <w:rFonts w:cs="Miriam" w:hint="cs"/>
          <w:rtl/>
        </w:rPr>
        <w:t>3</w:t>
      </w:r>
      <w:r>
        <w:rPr>
          <w:rStyle w:val="big-number"/>
          <w:rFonts w:cs="FrankRuehl"/>
          <w:sz w:val="26"/>
          <w:szCs w:val="26"/>
          <w:rtl/>
        </w:rPr>
        <w:t>.</w:t>
      </w:r>
      <w:r>
        <w:rPr>
          <w:rStyle w:val="big-number"/>
          <w:rFonts w:cs="FrankRuehl"/>
          <w:sz w:val="26"/>
          <w:szCs w:val="26"/>
          <w:rtl/>
        </w:rPr>
        <w:tab/>
      </w:r>
      <w:r w:rsidR="00AD1F62">
        <w:rPr>
          <w:rStyle w:val="default"/>
          <w:rFonts w:cs="FrankRuehl" w:hint="cs"/>
          <w:rtl/>
        </w:rPr>
        <w:t>הורה נציג משרד החוץ לפי הוראות סעיף 11, למסור חשוד למדינה חברה, יתאם הנציג הישראלי במדינה האמורה עם רשות האכיפה המוסמכת לעניין זה באותה מדינה, את מסירת החשוד לידיה בנמל השטח אותה מדינה.</w:t>
      </w:r>
    </w:p>
    <w:p w:rsidR="00236C63" w:rsidRDefault="00236C63" w:rsidP="00AD1F62">
      <w:pPr>
        <w:pStyle w:val="P00"/>
        <w:spacing w:before="72"/>
        <w:ind w:left="0" w:right="1134"/>
        <w:rPr>
          <w:rStyle w:val="default"/>
          <w:rFonts w:cs="FrankRuehl" w:hint="cs"/>
          <w:rtl/>
        </w:rPr>
      </w:pPr>
      <w:bookmarkStart w:id="17" w:name="Seif14"/>
      <w:bookmarkEnd w:id="17"/>
      <w:r>
        <w:rPr>
          <w:rFonts w:cs="Miriam"/>
          <w:lang w:val="he-IL"/>
        </w:rPr>
        <w:pict>
          <v:rect id="_x0000_s1613" style="position:absolute;left:0;text-align:left;margin-left:464.35pt;margin-top:7.1pt;width:75.05pt;height:12pt;z-index:251659776" o:allowincell="f" filled="f" stroked="f" strokecolor="lime" strokeweight=".25pt">
            <v:textbox style="mso-next-textbox:#_x0000_s1613" inset="0,0,0,0">
              <w:txbxContent>
                <w:p w:rsidR="00B4351C" w:rsidRDefault="00AD1F62" w:rsidP="00236C63">
                  <w:pPr>
                    <w:spacing w:line="160" w:lineRule="exact"/>
                    <w:rPr>
                      <w:rFonts w:cs="Miriam" w:hint="cs"/>
                      <w:noProof/>
                      <w:sz w:val="18"/>
                      <w:szCs w:val="18"/>
                      <w:rtl/>
                    </w:rPr>
                  </w:pPr>
                  <w:r>
                    <w:rPr>
                      <w:rFonts w:cs="Miriam" w:hint="cs"/>
                      <w:sz w:val="18"/>
                      <w:szCs w:val="18"/>
                      <w:rtl/>
                    </w:rPr>
                    <w:t>מסירת ראיות</w:t>
                  </w:r>
                </w:p>
              </w:txbxContent>
            </v:textbox>
            <w10:anchorlock/>
          </v:rect>
        </w:pict>
      </w:r>
      <w:r>
        <w:rPr>
          <w:rStyle w:val="big-number"/>
          <w:rFonts w:cs="Miriam" w:hint="cs"/>
          <w:rtl/>
        </w:rPr>
        <w:t>1</w:t>
      </w:r>
      <w:r w:rsidR="000B020E">
        <w:rPr>
          <w:rStyle w:val="big-number"/>
          <w:rFonts w:cs="Miriam" w:hint="cs"/>
          <w:rtl/>
        </w:rPr>
        <w:t>4</w:t>
      </w:r>
      <w:r>
        <w:rPr>
          <w:rStyle w:val="big-number"/>
          <w:rFonts w:cs="FrankRuehl"/>
          <w:sz w:val="26"/>
          <w:szCs w:val="26"/>
          <w:rtl/>
        </w:rPr>
        <w:t>.</w:t>
      </w:r>
      <w:r>
        <w:rPr>
          <w:rStyle w:val="big-number"/>
          <w:rFonts w:cs="FrankRuehl"/>
          <w:sz w:val="26"/>
          <w:szCs w:val="26"/>
          <w:rtl/>
        </w:rPr>
        <w:tab/>
      </w:r>
      <w:r w:rsidR="00AD1F62">
        <w:rPr>
          <w:rStyle w:val="default"/>
          <w:rFonts w:cs="FrankRuehl" w:hint="cs"/>
          <w:rtl/>
        </w:rPr>
        <w:t>בעת מסירת חשוד למדינה חברה או בעת הבאתו לישראל ומסירתו לקצין המשטרה הממונה, ימסור קברניט כלי השיט הישראלי לרשויות האכיפה המוסמכות באותה מדינה, או לקצין המשטרה הממונה או לפי הוראותיו, לפי העניין, את מלוא הראיות המצויות בידו הקשורות לביצוע עבירה לפי הוראות פרק ב', לרבות חפצים שנתפסו לפי הוראות סעיף 6(א)(6).</w:t>
      </w:r>
    </w:p>
    <w:p w:rsidR="0071493B" w:rsidRDefault="0071493B" w:rsidP="00AD1F62">
      <w:pPr>
        <w:pStyle w:val="P00"/>
        <w:spacing w:before="72"/>
        <w:ind w:left="0" w:right="1134"/>
        <w:rPr>
          <w:rStyle w:val="default"/>
          <w:rFonts w:cs="FrankRuehl" w:hint="cs"/>
          <w:rtl/>
        </w:rPr>
      </w:pPr>
      <w:bookmarkStart w:id="18" w:name="Seif15"/>
      <w:bookmarkEnd w:id="18"/>
      <w:r>
        <w:rPr>
          <w:rFonts w:cs="Miriam"/>
          <w:lang w:val="he-IL"/>
        </w:rPr>
        <w:pict>
          <v:rect id="_x0000_s1646" style="position:absolute;left:0;text-align:left;margin-left:464.35pt;margin-top:7.1pt;width:75.05pt;height:23pt;z-index:251660800" o:allowincell="f" filled="f" stroked="f" strokecolor="lime" strokeweight=".25pt">
            <v:textbox style="mso-next-textbox:#_x0000_s1646" inset="0,0,0,0">
              <w:txbxContent>
                <w:p w:rsidR="00B4351C" w:rsidRDefault="00AD1F62" w:rsidP="0071493B">
                  <w:pPr>
                    <w:spacing w:line="160" w:lineRule="exact"/>
                    <w:rPr>
                      <w:rFonts w:cs="Miriam" w:hint="cs"/>
                      <w:noProof/>
                      <w:sz w:val="18"/>
                      <w:szCs w:val="18"/>
                      <w:rtl/>
                    </w:rPr>
                  </w:pPr>
                  <w:r>
                    <w:rPr>
                      <w:rFonts w:cs="Miriam" w:hint="cs"/>
                      <w:sz w:val="18"/>
                      <w:szCs w:val="18"/>
                      <w:rtl/>
                    </w:rPr>
                    <w:t>סייג לעניין מעצר בכלי שיט צבאי</w:t>
                  </w:r>
                </w:p>
              </w:txbxContent>
            </v:textbox>
            <w10:anchorlock/>
          </v:rect>
        </w:pict>
      </w:r>
      <w:r>
        <w:rPr>
          <w:rStyle w:val="big-number"/>
          <w:rFonts w:cs="Miriam" w:hint="cs"/>
          <w:rtl/>
        </w:rPr>
        <w:t>1</w:t>
      </w:r>
      <w:r w:rsidR="0028117D">
        <w:rPr>
          <w:rStyle w:val="big-number"/>
          <w:rFonts w:cs="Miriam" w:hint="cs"/>
          <w:rtl/>
        </w:rPr>
        <w:t>5</w:t>
      </w:r>
      <w:r>
        <w:rPr>
          <w:rStyle w:val="big-number"/>
          <w:rFonts w:cs="FrankRuehl"/>
          <w:sz w:val="26"/>
          <w:szCs w:val="26"/>
          <w:rtl/>
        </w:rPr>
        <w:t>.</w:t>
      </w:r>
      <w:r>
        <w:rPr>
          <w:rStyle w:val="big-number"/>
          <w:rFonts w:cs="FrankRuehl"/>
          <w:sz w:val="26"/>
          <w:szCs w:val="26"/>
          <w:rtl/>
        </w:rPr>
        <w:tab/>
      </w:r>
      <w:r w:rsidR="00AD1F62">
        <w:rPr>
          <w:rStyle w:val="default"/>
          <w:rFonts w:cs="FrankRuehl" w:hint="cs"/>
          <w:rtl/>
        </w:rPr>
        <w:t>על אף הוראות סעיפים 10 עד 12, על מעצר לפי סעיף 6(א)(4) בכלי שיט צבאי יחולו הוראות אלה:</w:t>
      </w:r>
    </w:p>
    <w:p w:rsidR="00AD1F62" w:rsidRDefault="00AD1F62" w:rsidP="0095571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קברניט כלי שיט צבאי שעצר אדם לפי סעיף 6(א)(4) יודיע על כך ועל סיבת המעצר, בהקדם האפשרי, לקצין צבא ממונה, וינהג לפי הוראותיו;</w:t>
      </w:r>
    </w:p>
    <w:p w:rsidR="00AD1F62" w:rsidRDefault="00AD1F62" w:rsidP="0095571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קצין צבא ממונה שנמסרה לו הודעה על מעצר לפי פסקה (1) יודיע על כך, בהקדם האפשרי, לקצין משטרה ממונה ולנציג משרד החוץ;</w:t>
      </w:r>
    </w:p>
    <w:p w:rsidR="00AD1F62" w:rsidRDefault="00AD1F62" w:rsidP="0095571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הסמכות לתת הוראות כאמור בסעיף 10(ב) תהיה נתונה לקצין הצבא הממונה, בתיאום עם קצין משטרה ממונה;</w:t>
      </w:r>
    </w:p>
    <w:p w:rsidR="00AD1F62" w:rsidRDefault="00955714" w:rsidP="0095571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נציג משרד החוץ ייתן את הוראותיו לפי סעיף 11 בהסכמת קצין הצבא הממונה ובאמצעותו.</w:t>
      </w:r>
    </w:p>
    <w:p w:rsidR="00955714" w:rsidRPr="00955714" w:rsidRDefault="00955714" w:rsidP="00955714">
      <w:pPr>
        <w:pStyle w:val="medium2-header"/>
        <w:keepLines w:val="0"/>
        <w:spacing w:before="72"/>
        <w:ind w:left="0" w:right="1134"/>
        <w:rPr>
          <w:rFonts w:cs="FrankRuehl" w:hint="cs"/>
          <w:noProof/>
          <w:rtl/>
        </w:rPr>
      </w:pPr>
      <w:bookmarkStart w:id="19" w:name="med4"/>
      <w:bookmarkEnd w:id="19"/>
      <w:r w:rsidRPr="00955714">
        <w:rPr>
          <w:rFonts w:cs="FrankRuehl" w:hint="cs"/>
          <w:noProof/>
          <w:rtl/>
        </w:rPr>
        <w:t>פרק ה': סמכויות לגבי אדם שנמסר לישראל</w:t>
      </w:r>
    </w:p>
    <w:p w:rsidR="0071493B" w:rsidRDefault="0071493B" w:rsidP="00955714">
      <w:pPr>
        <w:pStyle w:val="P00"/>
        <w:spacing w:before="72"/>
        <w:ind w:left="0" w:right="1134"/>
        <w:rPr>
          <w:rStyle w:val="default"/>
          <w:rFonts w:cs="FrankRuehl" w:hint="cs"/>
          <w:rtl/>
        </w:rPr>
      </w:pPr>
      <w:bookmarkStart w:id="20" w:name="Seif16"/>
      <w:bookmarkEnd w:id="20"/>
      <w:r>
        <w:rPr>
          <w:rFonts w:cs="Miriam"/>
          <w:lang w:val="he-IL"/>
        </w:rPr>
        <w:pict>
          <v:rect id="_x0000_s1647" style="position:absolute;left:0;text-align:left;margin-left:464.35pt;margin-top:7.1pt;width:75.05pt;height:16.95pt;z-index:251661824" o:allowincell="f" filled="f" stroked="f" strokecolor="lime" strokeweight=".25pt">
            <v:textbox style="mso-next-textbox:#_x0000_s1647" inset="0,0,0,0">
              <w:txbxContent>
                <w:p w:rsidR="00B4351C" w:rsidRDefault="00955714" w:rsidP="0071493B">
                  <w:pPr>
                    <w:spacing w:line="160" w:lineRule="exact"/>
                    <w:rPr>
                      <w:rFonts w:cs="Miriam" w:hint="cs"/>
                      <w:noProof/>
                      <w:sz w:val="18"/>
                      <w:szCs w:val="18"/>
                      <w:rtl/>
                    </w:rPr>
                  </w:pPr>
                  <w:r>
                    <w:rPr>
                      <w:rFonts w:cs="Miriam" w:hint="cs"/>
                      <w:sz w:val="18"/>
                      <w:szCs w:val="18"/>
                      <w:rtl/>
                    </w:rPr>
                    <w:t>מסירת חשוד לישראל</w:t>
                  </w:r>
                </w:p>
              </w:txbxContent>
            </v:textbox>
            <w10:anchorlock/>
          </v:rect>
        </w:pict>
      </w:r>
      <w:r>
        <w:rPr>
          <w:rStyle w:val="big-number"/>
          <w:rFonts w:cs="Miriam" w:hint="cs"/>
          <w:rtl/>
        </w:rPr>
        <w:t>1</w:t>
      </w:r>
      <w:r w:rsidR="0028117D">
        <w:rPr>
          <w:rStyle w:val="big-number"/>
          <w:rFonts w:cs="Miriam" w:hint="cs"/>
          <w:rtl/>
        </w:rPr>
        <w:t>6</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(א)</w:t>
      </w:r>
      <w:r w:rsidR="00955714">
        <w:rPr>
          <w:rStyle w:val="default"/>
          <w:rFonts w:cs="FrankRuehl" w:hint="cs"/>
          <w:rtl/>
        </w:rPr>
        <w:tab/>
        <w:t>נמסרה הודעה על כוונת קברניט של כלי שיט שאינו כלי שיט ישראלי למסור לישראל חשוד שאינו אזרח ישראלי או תושב ישראל, שנעצר בכלי השיט בהתאם להוראות האמנה, רשאי שר הפנים לסרב לכניסת אותו חשוד לישראל, אם לדעתו המעשה שבשלו נעצר החשוד אינו מהווה עבירה לפי הוראות פרק ב'.</w:t>
      </w:r>
    </w:p>
    <w:p w:rsidR="00955714" w:rsidRDefault="00955714" w:rsidP="009557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 חשוד שנעצר בכלי שיט ישראלי למדינה חברה לפי הוראת פרק ד', ואותה מדינה מבקשת, בהתאם להוראות האמנה, למסור את החשוד לישראל, ישקול שר המשפטים את הבקשה; סירב שר המשפטים כי יימסר לישראל חשוד כאמור שאינו אזרח ישראלי או תושב ישראל, יודיע על כך למדינה החברה בצירוף נימוקיו.</w:t>
      </w:r>
    </w:p>
    <w:p w:rsidR="00010B12" w:rsidRDefault="00010B12" w:rsidP="00955714">
      <w:pPr>
        <w:pStyle w:val="P00"/>
        <w:spacing w:before="72"/>
        <w:ind w:left="0" w:right="1134"/>
        <w:rPr>
          <w:rStyle w:val="default"/>
          <w:rFonts w:cs="FrankRuehl" w:hint="cs"/>
          <w:rtl/>
        </w:rPr>
      </w:pPr>
      <w:bookmarkStart w:id="21" w:name="Seif17"/>
      <w:bookmarkEnd w:id="21"/>
      <w:r>
        <w:rPr>
          <w:rFonts w:cs="Miriam"/>
          <w:lang w:val="he-IL"/>
        </w:rPr>
        <w:pict>
          <v:rect id="_x0000_s1648" style="position:absolute;left:0;text-align:left;margin-left:464.35pt;margin-top:7.1pt;width:75.05pt;height:23pt;z-index:251662848" o:allowincell="f" filled="f" stroked="f" strokecolor="lime" strokeweight=".25pt">
            <v:textbox style="mso-next-textbox:#_x0000_s1648" inset="0,0,0,0">
              <w:txbxContent>
                <w:p w:rsidR="00010B12" w:rsidRDefault="00955714" w:rsidP="00010B12">
                  <w:pPr>
                    <w:spacing w:line="160" w:lineRule="exact"/>
                    <w:rPr>
                      <w:rFonts w:cs="Miriam" w:hint="cs"/>
                      <w:noProof/>
                      <w:sz w:val="18"/>
                      <w:szCs w:val="18"/>
                      <w:rtl/>
                    </w:rPr>
                  </w:pPr>
                  <w:r>
                    <w:rPr>
                      <w:rFonts w:cs="Miriam" w:hint="cs"/>
                      <w:sz w:val="18"/>
                      <w:szCs w:val="18"/>
                      <w:rtl/>
                    </w:rPr>
                    <w:t>סמכות גירוש והרחקה</w:t>
                  </w:r>
                </w:p>
              </w:txbxContent>
            </v:textbox>
            <w10:anchorlock/>
          </v:rect>
        </w:pict>
      </w:r>
      <w:r>
        <w:rPr>
          <w:rStyle w:val="big-number"/>
          <w:rFonts w:cs="Miriam" w:hint="cs"/>
          <w:rtl/>
        </w:rPr>
        <w:t>1</w:t>
      </w:r>
      <w:r w:rsidR="00955714">
        <w:rPr>
          <w:rStyle w:val="big-number"/>
          <w:rFonts w:cs="Miriam" w:hint="cs"/>
          <w:rtl/>
        </w:rPr>
        <w:t>7</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מסירת חשוד לישראל לפי הוראות סעיף 16 לא תגרע מהסמכות לגרשו או להרחיקו מישראל לפי כל דין אחר.</w:t>
      </w:r>
    </w:p>
    <w:p w:rsidR="00010B12" w:rsidRDefault="00010B12" w:rsidP="00955714">
      <w:pPr>
        <w:pStyle w:val="P00"/>
        <w:spacing w:before="72"/>
        <w:ind w:left="0" w:right="1134"/>
        <w:rPr>
          <w:rStyle w:val="default"/>
          <w:rFonts w:cs="FrankRuehl" w:hint="cs"/>
          <w:rtl/>
        </w:rPr>
      </w:pPr>
      <w:bookmarkStart w:id="22" w:name="Seif18"/>
      <w:bookmarkEnd w:id="22"/>
      <w:r>
        <w:rPr>
          <w:rFonts w:cs="Miriam"/>
          <w:lang w:val="he-IL"/>
        </w:rPr>
        <w:pict>
          <v:rect id="_x0000_s1649" style="position:absolute;left:0;text-align:left;margin-left:464.35pt;margin-top:7.1pt;width:75.05pt;height:24.95pt;z-index:251663872" o:allowincell="f" filled="f" stroked="f" strokecolor="lime" strokeweight=".25pt">
            <v:textbox style="mso-next-textbox:#_x0000_s1649" inset="0,0,0,0">
              <w:txbxContent>
                <w:p w:rsidR="00010B12" w:rsidRDefault="00955714" w:rsidP="00010B12">
                  <w:pPr>
                    <w:spacing w:line="160" w:lineRule="exact"/>
                    <w:rPr>
                      <w:rFonts w:cs="Miriam" w:hint="cs"/>
                      <w:noProof/>
                      <w:sz w:val="18"/>
                      <w:szCs w:val="18"/>
                      <w:rtl/>
                    </w:rPr>
                  </w:pPr>
                  <w:r>
                    <w:rPr>
                      <w:rFonts w:cs="Miriam" w:hint="cs"/>
                      <w:sz w:val="18"/>
                      <w:szCs w:val="18"/>
                      <w:rtl/>
                    </w:rPr>
                    <w:t>סייגים לעיכוב יציאה של אדם שנמסר לישראל</w:t>
                  </w:r>
                </w:p>
              </w:txbxContent>
            </v:textbox>
            <w10:anchorlock/>
          </v:rect>
        </w:pict>
      </w:r>
      <w:r>
        <w:rPr>
          <w:rStyle w:val="big-number"/>
          <w:rFonts w:cs="Miriam" w:hint="cs"/>
          <w:rtl/>
        </w:rPr>
        <w:t>1</w:t>
      </w:r>
      <w:r w:rsidR="00955714">
        <w:rPr>
          <w:rStyle w:val="big-number"/>
          <w:rFonts w:cs="Miriam" w:hint="cs"/>
          <w:rtl/>
        </w:rPr>
        <w:t>8</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אדם שנמסר לישראל לפי הוראות סעיף 16(א), לא ייעצר, לא יובא לדין ולא יוסגר בשל עבירה שעבר לפני מסירתו, אלא אם כן מתקיים אחד מאלה:</w:t>
      </w:r>
    </w:p>
    <w:p w:rsidR="00955714" w:rsidRDefault="00955714" w:rsidP="0095571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המדינה החברה, שהיא מדינת הרישום של כלי השיט שממנו נמסר אותו אדם לישראל, הסכימה לכך בכתב;</w:t>
      </w:r>
    </w:p>
    <w:p w:rsidR="00955714" w:rsidRDefault="00955714" w:rsidP="0095571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ניתנה לאותו אדם, לאחר מסירתו לישראל, אפשרות לצאת מישראל והוא לא עשה כן בתוך 30 ימים מיום שניתנה לו האפשרות כאמור;</w:t>
      </w:r>
    </w:p>
    <w:p w:rsidR="00955714" w:rsidRDefault="00955714" w:rsidP="0095571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אותו אדם יצא מישראל לאחר מסירתו לחזר לישראל מרצונו.</w:t>
      </w:r>
    </w:p>
    <w:p w:rsidR="00955714" w:rsidRPr="00955714" w:rsidRDefault="00955714" w:rsidP="00955714">
      <w:pPr>
        <w:pStyle w:val="medium2-header"/>
        <w:keepLines w:val="0"/>
        <w:spacing w:before="72"/>
        <w:ind w:left="0" w:right="1134"/>
        <w:rPr>
          <w:rFonts w:cs="FrankRuehl" w:hint="cs"/>
          <w:noProof/>
          <w:rtl/>
        </w:rPr>
      </w:pPr>
      <w:bookmarkStart w:id="23" w:name="med5"/>
      <w:bookmarkEnd w:id="23"/>
      <w:r w:rsidRPr="00955714">
        <w:rPr>
          <w:rFonts w:cs="FrankRuehl" w:hint="cs"/>
          <w:noProof/>
          <w:rtl/>
        </w:rPr>
        <w:t>פרק ו': הוראות שונות</w:t>
      </w:r>
    </w:p>
    <w:p w:rsidR="00010B12" w:rsidRDefault="00010B12" w:rsidP="00955714">
      <w:pPr>
        <w:pStyle w:val="P00"/>
        <w:spacing w:before="72"/>
        <w:ind w:left="0" w:right="1134"/>
        <w:rPr>
          <w:rStyle w:val="default"/>
          <w:rFonts w:cs="FrankRuehl" w:hint="cs"/>
          <w:rtl/>
        </w:rPr>
      </w:pPr>
      <w:bookmarkStart w:id="24" w:name="Seif19"/>
      <w:bookmarkEnd w:id="24"/>
      <w:r>
        <w:rPr>
          <w:rFonts w:cs="Miriam"/>
          <w:lang w:val="he-IL"/>
        </w:rPr>
        <w:pict>
          <v:rect id="_x0000_s1650" style="position:absolute;left:0;text-align:left;margin-left:464.35pt;margin-top:7.1pt;width:75.05pt;height:23pt;z-index:251664896" o:allowincell="f" filled="f" stroked="f" strokecolor="lime" strokeweight=".25pt">
            <v:textbox style="mso-next-textbox:#_x0000_s1650" inset="0,0,0,0">
              <w:txbxContent>
                <w:p w:rsidR="00010B12" w:rsidRDefault="00955714" w:rsidP="00010B12">
                  <w:pPr>
                    <w:spacing w:line="160" w:lineRule="exact"/>
                    <w:rPr>
                      <w:rFonts w:cs="Miriam" w:hint="cs"/>
                      <w:noProof/>
                      <w:sz w:val="18"/>
                      <w:szCs w:val="18"/>
                      <w:rtl/>
                    </w:rPr>
                  </w:pPr>
                  <w:r>
                    <w:rPr>
                      <w:rFonts w:cs="Miriam" w:hint="cs"/>
                      <w:sz w:val="18"/>
                      <w:szCs w:val="18"/>
                      <w:rtl/>
                    </w:rPr>
                    <w:t>סמכויות שוטר</w:t>
                  </w:r>
                </w:p>
              </w:txbxContent>
            </v:textbox>
            <w10:anchorlock/>
          </v:rect>
        </w:pict>
      </w:r>
      <w:r>
        <w:rPr>
          <w:rStyle w:val="big-number"/>
          <w:rFonts w:cs="Miriam" w:hint="cs"/>
          <w:rtl/>
        </w:rPr>
        <w:t>1</w:t>
      </w:r>
      <w:r w:rsidR="00955714">
        <w:rPr>
          <w:rStyle w:val="big-number"/>
          <w:rFonts w:cs="Miriam" w:hint="cs"/>
          <w:rtl/>
        </w:rPr>
        <w:t>9</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סמכויות שוטר לפי דין יהיו נתונות לו לעניין חוק זה גם לגבי עבירות שבוצעו לפיו במיתקן ימי הנמצא במדף היבשתי של ישראל.</w:t>
      </w:r>
    </w:p>
    <w:p w:rsidR="00010B12" w:rsidRDefault="00010B12" w:rsidP="00955714">
      <w:pPr>
        <w:pStyle w:val="P00"/>
        <w:spacing w:before="72"/>
        <w:ind w:left="0" w:right="1134"/>
        <w:rPr>
          <w:rStyle w:val="default"/>
          <w:rFonts w:cs="FrankRuehl" w:hint="cs"/>
          <w:rtl/>
        </w:rPr>
      </w:pPr>
      <w:bookmarkStart w:id="25" w:name="Seif20"/>
      <w:bookmarkEnd w:id="25"/>
      <w:r>
        <w:rPr>
          <w:rFonts w:cs="Miriam"/>
          <w:lang w:val="he-IL"/>
        </w:rPr>
        <w:pict>
          <v:rect id="_x0000_s1651" style="position:absolute;left:0;text-align:left;margin-left:464.35pt;margin-top:7.1pt;width:75.05pt;height:11.7pt;z-index:251665920" o:allowincell="f" filled="f" stroked="f" strokecolor="lime" strokeweight=".25pt">
            <v:textbox style="mso-next-textbox:#_x0000_s1651" inset="0,0,0,0">
              <w:txbxContent>
                <w:p w:rsidR="00010B12" w:rsidRDefault="00955714" w:rsidP="00010B12">
                  <w:pPr>
                    <w:spacing w:line="160" w:lineRule="exact"/>
                    <w:rPr>
                      <w:rFonts w:cs="Miriam" w:hint="cs"/>
                      <w:noProof/>
                      <w:sz w:val="18"/>
                      <w:szCs w:val="18"/>
                      <w:rtl/>
                    </w:rPr>
                  </w:pPr>
                  <w:r>
                    <w:rPr>
                      <w:rFonts w:cs="Miriam" w:hint="cs"/>
                      <w:sz w:val="18"/>
                      <w:szCs w:val="18"/>
                      <w:rtl/>
                    </w:rPr>
                    <w:t>חסינות</w:t>
                  </w:r>
                </w:p>
              </w:txbxContent>
            </v:textbox>
            <w10:anchorlock/>
          </v:rect>
        </w:pict>
      </w:r>
      <w:r w:rsidR="00955714">
        <w:rPr>
          <w:rStyle w:val="big-number"/>
          <w:rFonts w:cs="Miriam" w:hint="cs"/>
          <w:rtl/>
        </w:rPr>
        <w:t>20</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בעל כלי השיט, הקברניט, איש צוות וכל אדם אחר בכלי השיט, לא יישאו באחריות אזרחית בשל מעשה שנעשה בהתאם להוראות לפי חוק זה.</w:t>
      </w:r>
    </w:p>
    <w:p w:rsidR="00010B12" w:rsidRDefault="00010B12" w:rsidP="00955714">
      <w:pPr>
        <w:pStyle w:val="P00"/>
        <w:spacing w:before="72"/>
        <w:ind w:left="0" w:right="1134"/>
        <w:rPr>
          <w:rStyle w:val="default"/>
          <w:rFonts w:cs="FrankRuehl" w:hint="cs"/>
          <w:rtl/>
        </w:rPr>
      </w:pPr>
      <w:bookmarkStart w:id="26" w:name="Seif21"/>
      <w:bookmarkEnd w:id="26"/>
      <w:r>
        <w:rPr>
          <w:rFonts w:cs="Miriam"/>
          <w:lang w:val="he-IL"/>
        </w:rPr>
        <w:pict>
          <v:rect id="_x0000_s1652" style="position:absolute;left:0;text-align:left;margin-left:464.35pt;margin-top:7.1pt;width:75.05pt;height:14.8pt;z-index:251666944" o:allowincell="f" filled="f" stroked="f" strokecolor="lime" strokeweight=".25pt">
            <v:textbox style="mso-next-textbox:#_x0000_s1652" inset="0,0,0,0">
              <w:txbxContent>
                <w:p w:rsidR="00010B12" w:rsidRDefault="00955714" w:rsidP="00010B12">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955714">
        <w:rPr>
          <w:rStyle w:val="big-number"/>
          <w:rFonts w:cs="Miriam" w:hint="cs"/>
          <w:rtl/>
        </w:rPr>
        <w:t>21</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הוראות חוק זה באות להוסיף על הוראות כל דין ולא לגרוע מהן.</w:t>
      </w:r>
    </w:p>
    <w:p w:rsidR="00955714" w:rsidRDefault="00010B12" w:rsidP="00010B12">
      <w:pPr>
        <w:pStyle w:val="P00"/>
        <w:spacing w:before="72"/>
        <w:ind w:left="0" w:right="1134"/>
        <w:rPr>
          <w:rStyle w:val="default"/>
          <w:rFonts w:cs="FrankRuehl" w:hint="cs"/>
          <w:rtl/>
        </w:rPr>
      </w:pPr>
      <w:bookmarkStart w:id="27" w:name="Seif22"/>
      <w:bookmarkEnd w:id="27"/>
      <w:r>
        <w:rPr>
          <w:rFonts w:cs="Miriam"/>
          <w:lang w:val="he-IL"/>
        </w:rPr>
        <w:pict>
          <v:rect id="_x0000_s1653" style="position:absolute;left:0;text-align:left;margin-left:464.35pt;margin-top:7.1pt;width:75.05pt;height:12.85pt;z-index:251667968" o:allowincell="f" filled="f" stroked="f" strokecolor="lime" strokeweight=".25pt">
            <v:textbox style="mso-next-textbox:#_x0000_s1653" inset="0,0,0,0">
              <w:txbxContent>
                <w:p w:rsidR="00010B12" w:rsidRDefault="00955714" w:rsidP="00010B12">
                  <w:pPr>
                    <w:spacing w:line="160" w:lineRule="exact"/>
                    <w:rPr>
                      <w:rFonts w:cs="Miriam" w:hint="cs"/>
                      <w:noProof/>
                      <w:sz w:val="18"/>
                      <w:szCs w:val="18"/>
                      <w:rtl/>
                    </w:rPr>
                  </w:pPr>
                  <w:r>
                    <w:rPr>
                      <w:rFonts w:cs="Miriam" w:hint="cs"/>
                      <w:sz w:val="18"/>
                      <w:szCs w:val="18"/>
                      <w:rtl/>
                    </w:rPr>
                    <w:t>ביצוע ותקנות</w:t>
                  </w:r>
                </w:p>
              </w:txbxContent>
            </v:textbox>
            <w10:anchorlock/>
          </v:rect>
        </w:pict>
      </w:r>
      <w:r w:rsidR="00955714">
        <w:rPr>
          <w:rStyle w:val="big-number"/>
          <w:rFonts w:cs="Miriam" w:hint="cs"/>
          <w:rtl/>
        </w:rPr>
        <w:t>22</w:t>
      </w:r>
      <w:r>
        <w:rPr>
          <w:rStyle w:val="big-number"/>
          <w:rFonts w:cs="FrankRuehl"/>
          <w:sz w:val="26"/>
          <w:szCs w:val="26"/>
          <w:rtl/>
        </w:rPr>
        <w:t>.</w:t>
      </w:r>
      <w:r>
        <w:rPr>
          <w:rStyle w:val="big-number"/>
          <w:rFonts w:cs="FrankRuehl"/>
          <w:sz w:val="26"/>
          <w:szCs w:val="26"/>
          <w:rtl/>
        </w:rPr>
        <w:tab/>
      </w:r>
      <w:r w:rsidR="00955714">
        <w:rPr>
          <w:rStyle w:val="default"/>
          <w:rFonts w:cs="FrankRuehl" w:hint="cs"/>
          <w:rtl/>
        </w:rPr>
        <w:t>שר התחבורה והבטיחות בדרכים ממונה על ביצוע הוראות חוק זה והוא רשאי, לאחר התייעצות עם שר המשפטים ובאישור ועדת החוקה חוק ומשפט של הכנסת, להתקין תקנות בכל עניין הנוגע לביצועו.</w:t>
      </w:r>
    </w:p>
    <w:p w:rsidR="00010B12" w:rsidRDefault="00010B12" w:rsidP="00955714">
      <w:pPr>
        <w:pStyle w:val="P00"/>
        <w:spacing w:before="72"/>
        <w:ind w:left="0" w:right="1134"/>
        <w:rPr>
          <w:rStyle w:val="default"/>
          <w:rFonts w:cs="FrankRuehl" w:hint="cs"/>
          <w:rtl/>
        </w:rPr>
      </w:pPr>
      <w:r>
        <w:rPr>
          <w:rFonts w:cs="Miriam"/>
          <w:lang w:val="he-IL"/>
        </w:rPr>
        <w:pict>
          <v:rect id="_x0000_s1654" style="position:absolute;left:0;text-align:left;margin-left:464.35pt;margin-top:7.1pt;width:75.05pt;height:38.95pt;z-index:251668992" o:allowincell="f" filled="f" stroked="f" strokecolor="lime" strokeweight=".25pt">
            <v:textbox style="mso-next-textbox:#_x0000_s1654" inset="0,0,0,0">
              <w:txbxContent>
                <w:p w:rsidR="00010B12" w:rsidRDefault="00955714" w:rsidP="00010B12">
                  <w:pPr>
                    <w:spacing w:line="160" w:lineRule="exact"/>
                    <w:rPr>
                      <w:rFonts w:cs="Miriam" w:hint="cs"/>
                      <w:noProof/>
                      <w:sz w:val="18"/>
                      <w:szCs w:val="18"/>
                      <w:rtl/>
                    </w:rPr>
                  </w:pPr>
                  <w:r>
                    <w:rPr>
                      <w:rFonts w:cs="Miriam" w:hint="cs"/>
                      <w:sz w:val="18"/>
                      <w:szCs w:val="18"/>
                      <w:rtl/>
                    </w:rPr>
                    <w:t xml:space="preserve">תיקון חוק להארכת תוקף תקנות שעת חירום (פיקוח על כלי שיט) </w:t>
                  </w:r>
                  <w:r>
                    <w:rPr>
                      <w:rFonts w:cs="Miriam"/>
                      <w:sz w:val="18"/>
                      <w:szCs w:val="18"/>
                      <w:rtl/>
                    </w:rPr>
                    <w:t>–</w:t>
                  </w:r>
                  <w:r>
                    <w:rPr>
                      <w:rFonts w:cs="Miriam" w:hint="cs"/>
                      <w:sz w:val="18"/>
                      <w:szCs w:val="18"/>
                      <w:rtl/>
                    </w:rPr>
                    <w:t xml:space="preserve"> מס' 6</w:t>
                  </w:r>
                </w:p>
              </w:txbxContent>
            </v:textbox>
            <w10:anchorlock/>
          </v:rect>
        </w:pict>
      </w:r>
      <w:r w:rsidR="00955714">
        <w:rPr>
          <w:rStyle w:val="big-number"/>
          <w:rFonts w:cs="Miriam" w:hint="cs"/>
          <w:rtl/>
        </w:rPr>
        <w:t>23</w:t>
      </w:r>
      <w:r>
        <w:rPr>
          <w:rStyle w:val="big-number"/>
          <w:rFonts w:cs="FrankRuehl"/>
          <w:sz w:val="26"/>
          <w:szCs w:val="26"/>
          <w:rtl/>
        </w:rPr>
        <w:t>.</w:t>
      </w:r>
      <w:r>
        <w:rPr>
          <w:rStyle w:val="big-number"/>
          <w:rFonts w:cs="FrankRuehl"/>
          <w:sz w:val="26"/>
          <w:szCs w:val="26"/>
          <w:rtl/>
        </w:rPr>
        <w:tab/>
      </w:r>
      <w:r w:rsidR="00955714">
        <w:rPr>
          <w:rStyle w:val="default"/>
          <w:rFonts w:cs="FrankRuehl" w:hint="cs"/>
          <w:rtl/>
        </w:rPr>
        <w:t xml:space="preserve">בחוק הארכת תוקף של תקנות שעת חירום (פיקוח על כלי שיט) [נוסח משולב], התשל"ג-1973, בתוספת </w:t>
      </w:r>
      <w:r w:rsidR="00955714">
        <w:rPr>
          <w:rStyle w:val="default"/>
          <w:rFonts w:cs="FrankRuehl"/>
          <w:rtl/>
        </w:rPr>
        <w:t>–</w:t>
      </w:r>
    </w:p>
    <w:p w:rsidR="00955714" w:rsidRDefault="00955714" w:rsidP="0097750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בתקנה 9 </w:t>
      </w:r>
      <w:r>
        <w:rPr>
          <w:rStyle w:val="default"/>
          <w:rFonts w:cs="FrankRuehl"/>
          <w:rtl/>
        </w:rPr>
        <w:t>–</w:t>
      </w:r>
    </w:p>
    <w:p w:rsidR="00955714" w:rsidRDefault="00955714" w:rsidP="0097750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977509">
        <w:rPr>
          <w:rStyle w:val="default"/>
          <w:rFonts w:cs="FrankRuehl" w:hint="cs"/>
          <w:rtl/>
        </w:rPr>
        <w:t>בכותרת השוליים, במקום "סמכויות הקברניט" יבוא "סמכויות קברניט של כלי שיט צבאי המפליג במימי החופין";</w:t>
      </w:r>
    </w:p>
    <w:p w:rsidR="00977509" w:rsidRDefault="00977509" w:rsidP="0097750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תקנת משנה (ב) יבוא:</w:t>
      </w:r>
    </w:p>
    <w:p w:rsidR="00977509" w:rsidRDefault="00977509" w:rsidP="0097750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הוראות תקנה זו יחולו רק על כלי שיט צבאי המפליג במימי החופין של ישראל; לעניין זה, "כלי שיט צבאי" </w:t>
      </w:r>
      <w:r>
        <w:rPr>
          <w:rStyle w:val="default"/>
          <w:rFonts w:cs="FrankRuehl"/>
          <w:rtl/>
        </w:rPr>
        <w:t>–</w:t>
      </w:r>
      <w:r>
        <w:rPr>
          <w:rStyle w:val="default"/>
          <w:rFonts w:cs="FrankRuehl" w:hint="cs"/>
          <w:rtl/>
        </w:rPr>
        <w:t xml:space="preserve"> כהגדרתו בחוק הספנות (עבירות נגד ביטחון השיט הבין-לאומי ומיתקנים ימיים), התשס"ח-2008";</w:t>
      </w:r>
    </w:p>
    <w:p w:rsidR="00977509" w:rsidRDefault="00977509" w:rsidP="0097750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בתקנה 10, אחרי "אמצעי ביטחון" יבוא "לפי תקנה 9";</w:t>
      </w:r>
    </w:p>
    <w:p w:rsidR="00977509" w:rsidRDefault="00977509" w:rsidP="009775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בתקנה 11, במקום "על פי תקנות אלה" יבוא "לפי תקנה 9";</w:t>
      </w:r>
    </w:p>
    <w:p w:rsidR="00977509" w:rsidRDefault="00977509" w:rsidP="0097750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בתקנה 12, במקום "לפי תקנות אלה" יבוא "לפי תקנה9".</w:t>
      </w:r>
    </w:p>
    <w:p w:rsidR="002A4ECE" w:rsidRDefault="002A4ECE" w:rsidP="002A4EC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977509" w:rsidRDefault="00977509" w:rsidP="00977509">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שאול מופז</w:t>
      </w:r>
    </w:p>
    <w:p w:rsidR="00977509" w:rsidRDefault="00977509" w:rsidP="00977509">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התחבורה והבטיחות בדרכים</w:t>
      </w:r>
    </w:p>
    <w:p w:rsidR="00577A69" w:rsidRDefault="0093303D" w:rsidP="00977509">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977509">
        <w:rPr>
          <w:rFonts w:cs="FrankRuehl" w:hint="cs"/>
          <w:sz w:val="26"/>
          <w:rtl/>
        </w:rPr>
        <w:t>שמעון פרס</w:t>
      </w:r>
      <w:r w:rsidR="00977509">
        <w:rPr>
          <w:rFonts w:cs="FrankRuehl" w:hint="cs"/>
          <w:sz w:val="26"/>
          <w:rtl/>
        </w:rPr>
        <w:tab/>
      </w:r>
      <w:r w:rsidR="00977509">
        <w:rPr>
          <w:rFonts w:cs="FrankRuehl" w:hint="cs"/>
          <w:sz w:val="26"/>
          <w:rtl/>
        </w:rPr>
        <w:tab/>
        <w:t>דליה איציק</w:t>
      </w:r>
    </w:p>
    <w:p w:rsidR="00577A69" w:rsidRDefault="00933308" w:rsidP="00977509">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977509">
        <w:rPr>
          <w:rFonts w:cs="FrankRuehl" w:hint="cs"/>
          <w:sz w:val="22"/>
          <w:szCs w:val="22"/>
          <w:rtl/>
        </w:rPr>
        <w:t>נשיא המדינה</w:t>
      </w:r>
      <w:r w:rsidR="00977509">
        <w:rPr>
          <w:rFonts w:cs="FrankRuehl" w:hint="cs"/>
          <w:sz w:val="22"/>
          <w:szCs w:val="22"/>
          <w:rtl/>
        </w:rPr>
        <w:tab/>
      </w:r>
      <w:r w:rsidR="00977509">
        <w:rPr>
          <w:rFonts w:cs="FrankRuehl" w:hint="cs"/>
          <w:sz w:val="22"/>
          <w:szCs w:val="22"/>
          <w:rtl/>
        </w:rPr>
        <w:tab/>
        <w:t>יושבת ראש הכנסת</w:t>
      </w:r>
    </w:p>
    <w:p w:rsidR="00010B12" w:rsidRDefault="00010B12">
      <w:pPr>
        <w:pStyle w:val="P00"/>
        <w:spacing w:before="72"/>
        <w:ind w:left="0" w:right="1134"/>
        <w:rPr>
          <w:rStyle w:val="default"/>
          <w:rFonts w:cs="FrankRuehl" w:hint="cs"/>
          <w:rtl/>
        </w:rPr>
      </w:pPr>
    </w:p>
    <w:p w:rsidR="00933308" w:rsidRDefault="00933308">
      <w:pPr>
        <w:pStyle w:val="P00"/>
        <w:spacing w:before="72"/>
        <w:ind w:left="0" w:right="1134"/>
        <w:rPr>
          <w:rStyle w:val="default"/>
          <w:rFonts w:cs="FrankRuehl" w:hint="cs"/>
          <w:rtl/>
        </w:rPr>
      </w:pPr>
    </w:p>
    <w:p w:rsidR="00FC4239" w:rsidRDefault="00FC4239">
      <w:pPr>
        <w:pStyle w:val="P00"/>
        <w:spacing w:before="72"/>
        <w:ind w:left="0" w:right="1134"/>
        <w:rPr>
          <w:rStyle w:val="default"/>
          <w:rFonts w:cs="FrankRuehl"/>
          <w:rtl/>
        </w:rPr>
      </w:pPr>
    </w:p>
    <w:p w:rsidR="00FC4239" w:rsidRDefault="00FC4239">
      <w:pPr>
        <w:pStyle w:val="P00"/>
        <w:spacing w:before="72"/>
        <w:ind w:left="0" w:right="1134"/>
        <w:rPr>
          <w:rStyle w:val="default"/>
          <w:rFonts w:cs="FrankRuehl"/>
          <w:rtl/>
        </w:rPr>
      </w:pPr>
    </w:p>
    <w:p w:rsidR="00FC4239" w:rsidRDefault="00FC4239" w:rsidP="00FC4239">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3B6338" w:rsidRPr="00FC4239" w:rsidRDefault="003B6338" w:rsidP="00FC4239">
      <w:pPr>
        <w:pStyle w:val="P00"/>
        <w:spacing w:before="72"/>
        <w:ind w:left="0" w:right="1134"/>
        <w:jc w:val="center"/>
        <w:rPr>
          <w:rStyle w:val="default"/>
          <w:rFonts w:cs="David" w:hint="cs"/>
          <w:color w:val="0000FF"/>
          <w:szCs w:val="24"/>
          <w:u w:val="single"/>
          <w:rtl/>
        </w:rPr>
      </w:pPr>
    </w:p>
    <w:sectPr w:rsidR="003B6338" w:rsidRPr="00FC423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D02" w:rsidRDefault="00BE0D02">
      <w:r>
        <w:separator/>
      </w:r>
    </w:p>
  </w:endnote>
  <w:endnote w:type="continuationSeparator" w:id="0">
    <w:p w:rsidR="00BE0D02" w:rsidRDefault="00BE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4351C" w:rsidRDefault="00B435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351C" w:rsidRDefault="00B435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4239">
      <w:rPr>
        <w:rFonts w:cs="TopType Jerushalmi"/>
        <w:noProof/>
        <w:color w:val="000000"/>
        <w:sz w:val="14"/>
        <w:szCs w:val="14"/>
      </w:rPr>
      <w:t>Z:\00000000000000000000000=2014------------------------\05-May\2014-05-28\LawsForHofit\02\500_006.doc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4239">
      <w:rPr>
        <w:rFonts w:hAnsi="FrankRuehl" w:cs="FrankRuehl"/>
        <w:noProof/>
        <w:sz w:val="24"/>
        <w:szCs w:val="24"/>
        <w:rtl/>
      </w:rPr>
      <w:t>6</w:t>
    </w:r>
    <w:r>
      <w:rPr>
        <w:rFonts w:hAnsi="FrankRuehl" w:cs="FrankRuehl"/>
        <w:sz w:val="24"/>
        <w:szCs w:val="24"/>
        <w:rtl/>
      </w:rPr>
      <w:fldChar w:fldCharType="end"/>
    </w:r>
  </w:p>
  <w:p w:rsidR="00B4351C" w:rsidRDefault="00B435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4351C" w:rsidRDefault="00B435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4239">
      <w:rPr>
        <w:rFonts w:cs="TopType Jerushalmi"/>
        <w:noProof/>
        <w:color w:val="000000"/>
        <w:sz w:val="14"/>
        <w:szCs w:val="14"/>
      </w:rPr>
      <w:t>Z:\00000000000000000000000=2014------------------------\05-May\2014-05-28\LawsForHofit\02\500_006.doc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D02" w:rsidRDefault="00BE0D02">
      <w:pPr>
        <w:spacing w:before="60"/>
        <w:ind w:right="1134"/>
      </w:pPr>
      <w:r>
        <w:separator/>
      </w:r>
    </w:p>
  </w:footnote>
  <w:footnote w:type="continuationSeparator" w:id="0">
    <w:p w:rsidR="00BE0D02" w:rsidRDefault="00BE0D02">
      <w:r>
        <w:continuationSeparator/>
      </w:r>
    </w:p>
  </w:footnote>
  <w:footnote w:id="1">
    <w:p w:rsidR="00D944D6" w:rsidRDefault="00B4351C" w:rsidP="00D944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63D97">
        <w:rPr>
          <w:rFonts w:cs="FrankRuehl" w:hint="cs"/>
          <w:rtl/>
        </w:rPr>
        <w:t xml:space="preserve"> פורסם</w:t>
      </w:r>
      <w:r>
        <w:rPr>
          <w:rFonts w:cs="FrankRuehl" w:hint="cs"/>
          <w:rtl/>
        </w:rPr>
        <w:t xml:space="preserve"> </w:t>
      </w:r>
      <w:hyperlink r:id="rId1" w:history="1">
        <w:r w:rsidR="00163D97" w:rsidRPr="00D944D6">
          <w:rPr>
            <w:rStyle w:val="Hyperlink"/>
            <w:rFonts w:cs="FrankRuehl" w:hint="cs"/>
            <w:rtl/>
          </w:rPr>
          <w:t>ס"ח</w:t>
        </w:r>
        <w:r w:rsidRPr="00D944D6">
          <w:rPr>
            <w:rStyle w:val="Hyperlink"/>
            <w:rFonts w:cs="FrankRuehl" w:hint="cs"/>
            <w:rtl/>
          </w:rPr>
          <w:t xml:space="preserve"> תשס"ח מס' </w:t>
        </w:r>
        <w:r w:rsidR="00163D97" w:rsidRPr="00D944D6">
          <w:rPr>
            <w:rStyle w:val="Hyperlink"/>
            <w:rFonts w:cs="FrankRuehl" w:hint="cs"/>
            <w:rtl/>
          </w:rPr>
          <w:t>2183</w:t>
        </w:r>
      </w:hyperlink>
      <w:r>
        <w:rPr>
          <w:rFonts w:cs="FrankRuehl" w:hint="cs"/>
          <w:rtl/>
        </w:rPr>
        <w:t xml:space="preserve"> מיום </w:t>
      </w:r>
      <w:r w:rsidR="00163D97">
        <w:rPr>
          <w:rFonts w:cs="FrankRuehl" w:hint="cs"/>
          <w:rtl/>
        </w:rPr>
        <w:t>2</w:t>
      </w:r>
      <w:r>
        <w:rPr>
          <w:rFonts w:cs="FrankRuehl" w:hint="cs"/>
          <w:rtl/>
        </w:rPr>
        <w:t xml:space="preserve">.9.2008 עמ' </w:t>
      </w:r>
      <w:r w:rsidR="00163D97">
        <w:rPr>
          <w:rFonts w:cs="FrankRuehl" w:hint="cs"/>
          <w:rtl/>
        </w:rPr>
        <w:t>894 (</w:t>
      </w:r>
      <w:hyperlink r:id="rId2" w:history="1">
        <w:r w:rsidR="00163D97" w:rsidRPr="00163D97">
          <w:rPr>
            <w:rStyle w:val="Hyperlink"/>
            <w:rFonts w:cs="FrankRuehl" w:hint="cs"/>
            <w:rtl/>
          </w:rPr>
          <w:t>ה"ח הממשלה תשס"ה מס' 191</w:t>
        </w:r>
      </w:hyperlink>
      <w:r w:rsidR="00163D97">
        <w:rPr>
          <w:rFonts w:cs="FrankRuehl" w:hint="cs"/>
          <w:rtl/>
        </w:rPr>
        <w:t xml:space="preserve"> עמ' 1038)</w:t>
      </w:r>
      <w:r>
        <w:rPr>
          <w:rFonts w:cs="FrankRuehl" w:hint="cs"/>
          <w:rtl/>
        </w:rPr>
        <w:t>.</w:t>
      </w:r>
    </w:p>
  </w:footnote>
  <w:footnote w:id="2">
    <w:p w:rsidR="00010B12" w:rsidRDefault="00010B12" w:rsidP="00010B12">
      <w:pPr>
        <w:pStyle w:val="a5"/>
        <w:spacing w:before="72"/>
        <w:ind w:right="1134"/>
        <w:jc w:val="both"/>
        <w:rPr>
          <w:rFonts w:hint="cs"/>
          <w:rtl/>
        </w:rPr>
      </w:pPr>
      <w:r>
        <w:rPr>
          <w:rStyle w:val="a6"/>
        </w:rPr>
        <w:footnoteRef/>
      </w:r>
      <w:r w:rsidRPr="00010B12">
        <w:rPr>
          <w:rFonts w:cs="FrankRuehl"/>
          <w:sz w:val="22"/>
          <w:szCs w:val="22"/>
          <w:rtl/>
        </w:rPr>
        <w:t xml:space="preserve"> </w:t>
      </w:r>
      <w:r w:rsidRPr="00010B12">
        <w:rPr>
          <w:rFonts w:cs="FrankRuehl" w:hint="cs"/>
          <w:sz w:val="22"/>
          <w:szCs w:val="22"/>
          <w:rtl/>
        </w:rPr>
        <w:t>האמנה והפרוטוקול מופקדים לעיון הציבור במשרדי מנהל רשות הספנות והנמלים.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B435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51C" w:rsidRDefault="00163D97" w:rsidP="00C148F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הספנות (עבירות נגד ביטחון השיט הבין-לאומי ומיתקנים ימיים)</w:t>
    </w:r>
    <w:r w:rsidR="00B4351C">
      <w:rPr>
        <w:rFonts w:hAnsi="FrankRuehl" w:cs="FrankRuehl" w:hint="cs"/>
        <w:color w:val="000000"/>
        <w:sz w:val="28"/>
        <w:szCs w:val="28"/>
        <w:rtl/>
      </w:rPr>
      <w:t>, תשס"ח-2008</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4351C" w:rsidRDefault="00B435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3550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4FDC"/>
    <w:rsid w:val="00031B81"/>
    <w:rsid w:val="00032136"/>
    <w:rsid w:val="0003781E"/>
    <w:rsid w:val="000536FC"/>
    <w:rsid w:val="00057985"/>
    <w:rsid w:val="00057ED8"/>
    <w:rsid w:val="00063E7C"/>
    <w:rsid w:val="00065DCA"/>
    <w:rsid w:val="00066EA6"/>
    <w:rsid w:val="00071FF5"/>
    <w:rsid w:val="00073902"/>
    <w:rsid w:val="000820F0"/>
    <w:rsid w:val="00082632"/>
    <w:rsid w:val="00092533"/>
    <w:rsid w:val="0009382D"/>
    <w:rsid w:val="00097C86"/>
    <w:rsid w:val="000A2DD5"/>
    <w:rsid w:val="000A53DB"/>
    <w:rsid w:val="000B020E"/>
    <w:rsid w:val="000B6E25"/>
    <w:rsid w:val="000B700B"/>
    <w:rsid w:val="000C220C"/>
    <w:rsid w:val="000C389E"/>
    <w:rsid w:val="000C6CA6"/>
    <w:rsid w:val="000D4D83"/>
    <w:rsid w:val="000D65C3"/>
    <w:rsid w:val="000E32ED"/>
    <w:rsid w:val="000E6BA5"/>
    <w:rsid w:val="000F1375"/>
    <w:rsid w:val="000F2128"/>
    <w:rsid w:val="000F6789"/>
    <w:rsid w:val="000F6917"/>
    <w:rsid w:val="00102D7B"/>
    <w:rsid w:val="00107E62"/>
    <w:rsid w:val="00117775"/>
    <w:rsid w:val="00124B0E"/>
    <w:rsid w:val="00125926"/>
    <w:rsid w:val="00127328"/>
    <w:rsid w:val="00163D97"/>
    <w:rsid w:val="00167D7D"/>
    <w:rsid w:val="00171228"/>
    <w:rsid w:val="00175BD4"/>
    <w:rsid w:val="00175E8A"/>
    <w:rsid w:val="00181E88"/>
    <w:rsid w:val="001832FD"/>
    <w:rsid w:val="00194CB6"/>
    <w:rsid w:val="00196FB5"/>
    <w:rsid w:val="001A4822"/>
    <w:rsid w:val="001A4BA5"/>
    <w:rsid w:val="001B13ED"/>
    <w:rsid w:val="001B3E15"/>
    <w:rsid w:val="001B6F56"/>
    <w:rsid w:val="001C04E7"/>
    <w:rsid w:val="001C0AA3"/>
    <w:rsid w:val="001C1203"/>
    <w:rsid w:val="001C1DC4"/>
    <w:rsid w:val="001C7288"/>
    <w:rsid w:val="001D083B"/>
    <w:rsid w:val="001D0C46"/>
    <w:rsid w:val="001D49FF"/>
    <w:rsid w:val="001E12AA"/>
    <w:rsid w:val="001E3C39"/>
    <w:rsid w:val="001F68E1"/>
    <w:rsid w:val="001F72CA"/>
    <w:rsid w:val="00203E73"/>
    <w:rsid w:val="00231BC3"/>
    <w:rsid w:val="00235E77"/>
    <w:rsid w:val="002364BF"/>
    <w:rsid w:val="00236C63"/>
    <w:rsid w:val="002473B3"/>
    <w:rsid w:val="00247417"/>
    <w:rsid w:val="002527B2"/>
    <w:rsid w:val="00260315"/>
    <w:rsid w:val="00266A4A"/>
    <w:rsid w:val="00274CD2"/>
    <w:rsid w:val="00275516"/>
    <w:rsid w:val="00280926"/>
    <w:rsid w:val="0028117D"/>
    <w:rsid w:val="00283BD9"/>
    <w:rsid w:val="00290BE9"/>
    <w:rsid w:val="00291FC3"/>
    <w:rsid w:val="00293112"/>
    <w:rsid w:val="002A24E2"/>
    <w:rsid w:val="002A324E"/>
    <w:rsid w:val="002A4351"/>
    <w:rsid w:val="002A4ECE"/>
    <w:rsid w:val="002A660A"/>
    <w:rsid w:val="002C6AA5"/>
    <w:rsid w:val="002C7D10"/>
    <w:rsid w:val="002D35D3"/>
    <w:rsid w:val="002E024B"/>
    <w:rsid w:val="002E1294"/>
    <w:rsid w:val="002E5A89"/>
    <w:rsid w:val="002F2014"/>
    <w:rsid w:val="002F3E3B"/>
    <w:rsid w:val="0030096B"/>
    <w:rsid w:val="00301441"/>
    <w:rsid w:val="00301E9A"/>
    <w:rsid w:val="003041B8"/>
    <w:rsid w:val="00306813"/>
    <w:rsid w:val="00311C2C"/>
    <w:rsid w:val="00313F87"/>
    <w:rsid w:val="0031551C"/>
    <w:rsid w:val="0031570F"/>
    <w:rsid w:val="00326208"/>
    <w:rsid w:val="00326C6D"/>
    <w:rsid w:val="0033083B"/>
    <w:rsid w:val="00330CDD"/>
    <w:rsid w:val="003349C1"/>
    <w:rsid w:val="00337F23"/>
    <w:rsid w:val="003418C6"/>
    <w:rsid w:val="00343217"/>
    <w:rsid w:val="00347E25"/>
    <w:rsid w:val="0035395F"/>
    <w:rsid w:val="0035408C"/>
    <w:rsid w:val="00360E68"/>
    <w:rsid w:val="003655E4"/>
    <w:rsid w:val="00372EA7"/>
    <w:rsid w:val="00375A9C"/>
    <w:rsid w:val="0037728C"/>
    <w:rsid w:val="003831FA"/>
    <w:rsid w:val="00385BFA"/>
    <w:rsid w:val="00386FAE"/>
    <w:rsid w:val="003872CA"/>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6ED9"/>
    <w:rsid w:val="003E6F5E"/>
    <w:rsid w:val="003F05BB"/>
    <w:rsid w:val="003F5BF4"/>
    <w:rsid w:val="003F7DF2"/>
    <w:rsid w:val="00430CE3"/>
    <w:rsid w:val="00431295"/>
    <w:rsid w:val="00462F24"/>
    <w:rsid w:val="004672EC"/>
    <w:rsid w:val="0047257D"/>
    <w:rsid w:val="00473500"/>
    <w:rsid w:val="00475AAF"/>
    <w:rsid w:val="004775AA"/>
    <w:rsid w:val="004803D1"/>
    <w:rsid w:val="00480EEF"/>
    <w:rsid w:val="00495303"/>
    <w:rsid w:val="00495C01"/>
    <w:rsid w:val="004A0287"/>
    <w:rsid w:val="004A1E7C"/>
    <w:rsid w:val="004A1FAB"/>
    <w:rsid w:val="004A2ABE"/>
    <w:rsid w:val="004A36C5"/>
    <w:rsid w:val="004A79BF"/>
    <w:rsid w:val="004C1425"/>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6D3"/>
    <w:rsid w:val="00521F54"/>
    <w:rsid w:val="005403F4"/>
    <w:rsid w:val="00541B66"/>
    <w:rsid w:val="00545316"/>
    <w:rsid w:val="00545747"/>
    <w:rsid w:val="005459F6"/>
    <w:rsid w:val="0054653C"/>
    <w:rsid w:val="00547015"/>
    <w:rsid w:val="00551063"/>
    <w:rsid w:val="0055108C"/>
    <w:rsid w:val="00554D12"/>
    <w:rsid w:val="005563B9"/>
    <w:rsid w:val="00561784"/>
    <w:rsid w:val="005677F3"/>
    <w:rsid w:val="00571C5E"/>
    <w:rsid w:val="00573BEA"/>
    <w:rsid w:val="005741D0"/>
    <w:rsid w:val="00577A69"/>
    <w:rsid w:val="005861C3"/>
    <w:rsid w:val="00597B00"/>
    <w:rsid w:val="005A0053"/>
    <w:rsid w:val="005A2B96"/>
    <w:rsid w:val="005A3556"/>
    <w:rsid w:val="005A6318"/>
    <w:rsid w:val="005B0420"/>
    <w:rsid w:val="005B11AD"/>
    <w:rsid w:val="005B1E7E"/>
    <w:rsid w:val="005B3C33"/>
    <w:rsid w:val="005B635C"/>
    <w:rsid w:val="005B6CD8"/>
    <w:rsid w:val="005C4382"/>
    <w:rsid w:val="005C6F9B"/>
    <w:rsid w:val="005C7042"/>
    <w:rsid w:val="005C769A"/>
    <w:rsid w:val="005D5F22"/>
    <w:rsid w:val="005D757E"/>
    <w:rsid w:val="005E2F9E"/>
    <w:rsid w:val="005F5D28"/>
    <w:rsid w:val="0060416C"/>
    <w:rsid w:val="0060704F"/>
    <w:rsid w:val="0060741E"/>
    <w:rsid w:val="0061056E"/>
    <w:rsid w:val="006119FA"/>
    <w:rsid w:val="0061214E"/>
    <w:rsid w:val="006123F2"/>
    <w:rsid w:val="0061289B"/>
    <w:rsid w:val="00613CF6"/>
    <w:rsid w:val="006212F5"/>
    <w:rsid w:val="00625D6C"/>
    <w:rsid w:val="00631C45"/>
    <w:rsid w:val="00635F52"/>
    <w:rsid w:val="00644CC7"/>
    <w:rsid w:val="00646D87"/>
    <w:rsid w:val="0064715C"/>
    <w:rsid w:val="00654783"/>
    <w:rsid w:val="00660E2F"/>
    <w:rsid w:val="00666250"/>
    <w:rsid w:val="006711F2"/>
    <w:rsid w:val="006727FD"/>
    <w:rsid w:val="006755DE"/>
    <w:rsid w:val="00683744"/>
    <w:rsid w:val="00686267"/>
    <w:rsid w:val="0069018C"/>
    <w:rsid w:val="00690AD3"/>
    <w:rsid w:val="00696014"/>
    <w:rsid w:val="006A0B7F"/>
    <w:rsid w:val="006B63AC"/>
    <w:rsid w:val="006C1008"/>
    <w:rsid w:val="006C23ED"/>
    <w:rsid w:val="006D71A5"/>
    <w:rsid w:val="006F3807"/>
    <w:rsid w:val="0070464D"/>
    <w:rsid w:val="00704C70"/>
    <w:rsid w:val="0071430C"/>
    <w:rsid w:val="0071493B"/>
    <w:rsid w:val="00723439"/>
    <w:rsid w:val="00723F96"/>
    <w:rsid w:val="00724A7D"/>
    <w:rsid w:val="007277E5"/>
    <w:rsid w:val="00731D27"/>
    <w:rsid w:val="007323DD"/>
    <w:rsid w:val="00732D64"/>
    <w:rsid w:val="0073388B"/>
    <w:rsid w:val="00745882"/>
    <w:rsid w:val="00754935"/>
    <w:rsid w:val="00755A87"/>
    <w:rsid w:val="007607F7"/>
    <w:rsid w:val="0076285C"/>
    <w:rsid w:val="007636B5"/>
    <w:rsid w:val="00763C55"/>
    <w:rsid w:val="00763C9A"/>
    <w:rsid w:val="00764085"/>
    <w:rsid w:val="00765FEE"/>
    <w:rsid w:val="007741C4"/>
    <w:rsid w:val="00781DA6"/>
    <w:rsid w:val="007828A6"/>
    <w:rsid w:val="00787C76"/>
    <w:rsid w:val="00796D78"/>
    <w:rsid w:val="00797944"/>
    <w:rsid w:val="007A74AC"/>
    <w:rsid w:val="007A779A"/>
    <w:rsid w:val="007B56E6"/>
    <w:rsid w:val="007C38A0"/>
    <w:rsid w:val="007C4A42"/>
    <w:rsid w:val="007C706E"/>
    <w:rsid w:val="007E10B4"/>
    <w:rsid w:val="007E3338"/>
    <w:rsid w:val="007E3A78"/>
    <w:rsid w:val="007E481C"/>
    <w:rsid w:val="007E54DD"/>
    <w:rsid w:val="007F0547"/>
    <w:rsid w:val="007F05EF"/>
    <w:rsid w:val="008056E8"/>
    <w:rsid w:val="00807E3F"/>
    <w:rsid w:val="008108B9"/>
    <w:rsid w:val="00812460"/>
    <w:rsid w:val="00812E01"/>
    <w:rsid w:val="00817139"/>
    <w:rsid w:val="00824074"/>
    <w:rsid w:val="0083137E"/>
    <w:rsid w:val="00836B35"/>
    <w:rsid w:val="00846224"/>
    <w:rsid w:val="00846430"/>
    <w:rsid w:val="00847E6F"/>
    <w:rsid w:val="00852A6A"/>
    <w:rsid w:val="00853B6E"/>
    <w:rsid w:val="008562EC"/>
    <w:rsid w:val="00861960"/>
    <w:rsid w:val="00865054"/>
    <w:rsid w:val="00866DE6"/>
    <w:rsid w:val="0087434F"/>
    <w:rsid w:val="0088411C"/>
    <w:rsid w:val="00890B8E"/>
    <w:rsid w:val="008925C2"/>
    <w:rsid w:val="008932BA"/>
    <w:rsid w:val="0089395C"/>
    <w:rsid w:val="00897123"/>
    <w:rsid w:val="008972BA"/>
    <w:rsid w:val="008A3D64"/>
    <w:rsid w:val="008A4017"/>
    <w:rsid w:val="008A49FD"/>
    <w:rsid w:val="008A5EAA"/>
    <w:rsid w:val="008A7063"/>
    <w:rsid w:val="008B0B39"/>
    <w:rsid w:val="008B55F6"/>
    <w:rsid w:val="008C0AEB"/>
    <w:rsid w:val="008C2847"/>
    <w:rsid w:val="008C70D8"/>
    <w:rsid w:val="008D2231"/>
    <w:rsid w:val="008D2E61"/>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101B9"/>
    <w:rsid w:val="00913D60"/>
    <w:rsid w:val="0091680D"/>
    <w:rsid w:val="009176DD"/>
    <w:rsid w:val="00917F92"/>
    <w:rsid w:val="00931EBF"/>
    <w:rsid w:val="0093303D"/>
    <w:rsid w:val="00933308"/>
    <w:rsid w:val="0093515A"/>
    <w:rsid w:val="009370B0"/>
    <w:rsid w:val="00950144"/>
    <w:rsid w:val="009506BC"/>
    <w:rsid w:val="00955714"/>
    <w:rsid w:val="00965B15"/>
    <w:rsid w:val="00966902"/>
    <w:rsid w:val="00971D6A"/>
    <w:rsid w:val="00974CD5"/>
    <w:rsid w:val="00977509"/>
    <w:rsid w:val="00977F9D"/>
    <w:rsid w:val="009838AD"/>
    <w:rsid w:val="00987356"/>
    <w:rsid w:val="00991882"/>
    <w:rsid w:val="009925CC"/>
    <w:rsid w:val="009939F8"/>
    <w:rsid w:val="00994D1E"/>
    <w:rsid w:val="00995144"/>
    <w:rsid w:val="009A1F8F"/>
    <w:rsid w:val="009A2010"/>
    <w:rsid w:val="009A3CFF"/>
    <w:rsid w:val="009A4F05"/>
    <w:rsid w:val="009A6897"/>
    <w:rsid w:val="009A7A9D"/>
    <w:rsid w:val="009B4DC0"/>
    <w:rsid w:val="009B751F"/>
    <w:rsid w:val="009C200F"/>
    <w:rsid w:val="009C62EB"/>
    <w:rsid w:val="009D0D20"/>
    <w:rsid w:val="009D4881"/>
    <w:rsid w:val="009E2827"/>
    <w:rsid w:val="009E2C07"/>
    <w:rsid w:val="009E3B76"/>
    <w:rsid w:val="009E6A40"/>
    <w:rsid w:val="009F1739"/>
    <w:rsid w:val="009F3008"/>
    <w:rsid w:val="009F387F"/>
    <w:rsid w:val="009F7991"/>
    <w:rsid w:val="009F7A32"/>
    <w:rsid w:val="00A0107A"/>
    <w:rsid w:val="00A022B1"/>
    <w:rsid w:val="00A037BB"/>
    <w:rsid w:val="00A0385D"/>
    <w:rsid w:val="00A03A4B"/>
    <w:rsid w:val="00A04150"/>
    <w:rsid w:val="00A04B99"/>
    <w:rsid w:val="00A06DB2"/>
    <w:rsid w:val="00A12354"/>
    <w:rsid w:val="00A127EF"/>
    <w:rsid w:val="00A148C2"/>
    <w:rsid w:val="00A16499"/>
    <w:rsid w:val="00A23AFC"/>
    <w:rsid w:val="00A25779"/>
    <w:rsid w:val="00A278B4"/>
    <w:rsid w:val="00A31343"/>
    <w:rsid w:val="00A31B26"/>
    <w:rsid w:val="00A33F3A"/>
    <w:rsid w:val="00A37867"/>
    <w:rsid w:val="00A40CC8"/>
    <w:rsid w:val="00A421D0"/>
    <w:rsid w:val="00A44743"/>
    <w:rsid w:val="00A50EFF"/>
    <w:rsid w:val="00A539E2"/>
    <w:rsid w:val="00A54558"/>
    <w:rsid w:val="00A5463E"/>
    <w:rsid w:val="00A562FC"/>
    <w:rsid w:val="00A568B2"/>
    <w:rsid w:val="00A60C88"/>
    <w:rsid w:val="00A62D61"/>
    <w:rsid w:val="00A652F6"/>
    <w:rsid w:val="00A67279"/>
    <w:rsid w:val="00A678C8"/>
    <w:rsid w:val="00A732C4"/>
    <w:rsid w:val="00A741EC"/>
    <w:rsid w:val="00A77CD2"/>
    <w:rsid w:val="00A805B8"/>
    <w:rsid w:val="00A87B96"/>
    <w:rsid w:val="00A957C8"/>
    <w:rsid w:val="00A95E77"/>
    <w:rsid w:val="00A95E79"/>
    <w:rsid w:val="00AA1CFE"/>
    <w:rsid w:val="00AA3300"/>
    <w:rsid w:val="00AA6485"/>
    <w:rsid w:val="00AA6D70"/>
    <w:rsid w:val="00AB43F6"/>
    <w:rsid w:val="00AC1095"/>
    <w:rsid w:val="00AC4A27"/>
    <w:rsid w:val="00AC714B"/>
    <w:rsid w:val="00AC736A"/>
    <w:rsid w:val="00AC7F9F"/>
    <w:rsid w:val="00AD1F62"/>
    <w:rsid w:val="00AD255A"/>
    <w:rsid w:val="00AD3B65"/>
    <w:rsid w:val="00AD6753"/>
    <w:rsid w:val="00AD7BEB"/>
    <w:rsid w:val="00AE0EC6"/>
    <w:rsid w:val="00AE144F"/>
    <w:rsid w:val="00AF02B2"/>
    <w:rsid w:val="00AF1EED"/>
    <w:rsid w:val="00AF4914"/>
    <w:rsid w:val="00AF5BAB"/>
    <w:rsid w:val="00AF6252"/>
    <w:rsid w:val="00B00193"/>
    <w:rsid w:val="00B02C11"/>
    <w:rsid w:val="00B067FF"/>
    <w:rsid w:val="00B120A0"/>
    <w:rsid w:val="00B12896"/>
    <w:rsid w:val="00B16AF4"/>
    <w:rsid w:val="00B200DB"/>
    <w:rsid w:val="00B232C0"/>
    <w:rsid w:val="00B254A8"/>
    <w:rsid w:val="00B26D22"/>
    <w:rsid w:val="00B3108D"/>
    <w:rsid w:val="00B32857"/>
    <w:rsid w:val="00B40FB9"/>
    <w:rsid w:val="00B4243F"/>
    <w:rsid w:val="00B4351C"/>
    <w:rsid w:val="00B447BE"/>
    <w:rsid w:val="00B44AD0"/>
    <w:rsid w:val="00B45044"/>
    <w:rsid w:val="00B4671C"/>
    <w:rsid w:val="00B529BA"/>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B7F4F"/>
    <w:rsid w:val="00BC46B4"/>
    <w:rsid w:val="00BD0EFE"/>
    <w:rsid w:val="00BD6587"/>
    <w:rsid w:val="00BD79D6"/>
    <w:rsid w:val="00BE0D02"/>
    <w:rsid w:val="00BE6DA2"/>
    <w:rsid w:val="00BF6AEE"/>
    <w:rsid w:val="00C02396"/>
    <w:rsid w:val="00C02C70"/>
    <w:rsid w:val="00C057DB"/>
    <w:rsid w:val="00C13EAB"/>
    <w:rsid w:val="00C14019"/>
    <w:rsid w:val="00C148F8"/>
    <w:rsid w:val="00C17862"/>
    <w:rsid w:val="00C3529E"/>
    <w:rsid w:val="00C352E0"/>
    <w:rsid w:val="00C36DF5"/>
    <w:rsid w:val="00C3740E"/>
    <w:rsid w:val="00C41F10"/>
    <w:rsid w:val="00C476AB"/>
    <w:rsid w:val="00C50035"/>
    <w:rsid w:val="00C5059F"/>
    <w:rsid w:val="00C57C42"/>
    <w:rsid w:val="00C619DB"/>
    <w:rsid w:val="00C65026"/>
    <w:rsid w:val="00C67589"/>
    <w:rsid w:val="00C7177C"/>
    <w:rsid w:val="00C71924"/>
    <w:rsid w:val="00C71B71"/>
    <w:rsid w:val="00C74517"/>
    <w:rsid w:val="00C74905"/>
    <w:rsid w:val="00C81D3E"/>
    <w:rsid w:val="00C82990"/>
    <w:rsid w:val="00C84C41"/>
    <w:rsid w:val="00C86F61"/>
    <w:rsid w:val="00C93F03"/>
    <w:rsid w:val="00C9481D"/>
    <w:rsid w:val="00C95212"/>
    <w:rsid w:val="00CA0B1C"/>
    <w:rsid w:val="00CA0EA1"/>
    <w:rsid w:val="00CA191F"/>
    <w:rsid w:val="00CA496E"/>
    <w:rsid w:val="00CA501B"/>
    <w:rsid w:val="00CA6DA2"/>
    <w:rsid w:val="00CB5DAE"/>
    <w:rsid w:val="00CC29E6"/>
    <w:rsid w:val="00CC403D"/>
    <w:rsid w:val="00CD157D"/>
    <w:rsid w:val="00CD41ED"/>
    <w:rsid w:val="00CD43D9"/>
    <w:rsid w:val="00CE2E39"/>
    <w:rsid w:val="00CE4B6B"/>
    <w:rsid w:val="00D06804"/>
    <w:rsid w:val="00D10EA8"/>
    <w:rsid w:val="00D228E0"/>
    <w:rsid w:val="00D308E1"/>
    <w:rsid w:val="00D324E2"/>
    <w:rsid w:val="00D33934"/>
    <w:rsid w:val="00D52406"/>
    <w:rsid w:val="00D54186"/>
    <w:rsid w:val="00D5647F"/>
    <w:rsid w:val="00D6235D"/>
    <w:rsid w:val="00D62B42"/>
    <w:rsid w:val="00D643D6"/>
    <w:rsid w:val="00D729D1"/>
    <w:rsid w:val="00D74A0F"/>
    <w:rsid w:val="00D76C09"/>
    <w:rsid w:val="00D8237B"/>
    <w:rsid w:val="00D8315B"/>
    <w:rsid w:val="00D832E7"/>
    <w:rsid w:val="00D865BD"/>
    <w:rsid w:val="00D91C80"/>
    <w:rsid w:val="00D94065"/>
    <w:rsid w:val="00D944D6"/>
    <w:rsid w:val="00D96DD0"/>
    <w:rsid w:val="00DA0EBC"/>
    <w:rsid w:val="00DA50D6"/>
    <w:rsid w:val="00DA6586"/>
    <w:rsid w:val="00DB0EE1"/>
    <w:rsid w:val="00DB2AB2"/>
    <w:rsid w:val="00DB4E3C"/>
    <w:rsid w:val="00DD12C9"/>
    <w:rsid w:val="00DD4498"/>
    <w:rsid w:val="00DD6095"/>
    <w:rsid w:val="00DE3FB2"/>
    <w:rsid w:val="00DE5176"/>
    <w:rsid w:val="00DE6C13"/>
    <w:rsid w:val="00DF43B8"/>
    <w:rsid w:val="00DF4C2E"/>
    <w:rsid w:val="00DF65ED"/>
    <w:rsid w:val="00DF72FC"/>
    <w:rsid w:val="00E03117"/>
    <w:rsid w:val="00E07279"/>
    <w:rsid w:val="00E1087A"/>
    <w:rsid w:val="00E154A9"/>
    <w:rsid w:val="00E21924"/>
    <w:rsid w:val="00E23886"/>
    <w:rsid w:val="00E25FF6"/>
    <w:rsid w:val="00E32569"/>
    <w:rsid w:val="00E335DA"/>
    <w:rsid w:val="00E37032"/>
    <w:rsid w:val="00E41C12"/>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47D7"/>
    <w:rsid w:val="00E91F3F"/>
    <w:rsid w:val="00E93982"/>
    <w:rsid w:val="00E93DD9"/>
    <w:rsid w:val="00E96A6C"/>
    <w:rsid w:val="00EA19C1"/>
    <w:rsid w:val="00EA73BA"/>
    <w:rsid w:val="00EB5437"/>
    <w:rsid w:val="00EC1B5B"/>
    <w:rsid w:val="00EC357F"/>
    <w:rsid w:val="00ED5765"/>
    <w:rsid w:val="00ED5DFE"/>
    <w:rsid w:val="00ED7468"/>
    <w:rsid w:val="00EE011A"/>
    <w:rsid w:val="00EE2B63"/>
    <w:rsid w:val="00EE3A0C"/>
    <w:rsid w:val="00EF2A1B"/>
    <w:rsid w:val="00EF5AAC"/>
    <w:rsid w:val="00F01B28"/>
    <w:rsid w:val="00F03702"/>
    <w:rsid w:val="00F13835"/>
    <w:rsid w:val="00F23090"/>
    <w:rsid w:val="00F23B0A"/>
    <w:rsid w:val="00F305FF"/>
    <w:rsid w:val="00F3647C"/>
    <w:rsid w:val="00F46CC5"/>
    <w:rsid w:val="00F51DD8"/>
    <w:rsid w:val="00F57B43"/>
    <w:rsid w:val="00F6096E"/>
    <w:rsid w:val="00F63B87"/>
    <w:rsid w:val="00F67CDD"/>
    <w:rsid w:val="00F732F9"/>
    <w:rsid w:val="00F74ED8"/>
    <w:rsid w:val="00F75C7E"/>
    <w:rsid w:val="00F779CE"/>
    <w:rsid w:val="00F86FF2"/>
    <w:rsid w:val="00F971BA"/>
    <w:rsid w:val="00FA71C3"/>
    <w:rsid w:val="00FB2F08"/>
    <w:rsid w:val="00FB7945"/>
    <w:rsid w:val="00FC3A5A"/>
    <w:rsid w:val="00FC4233"/>
    <w:rsid w:val="00FC4239"/>
    <w:rsid w:val="00FC572C"/>
    <w:rsid w:val="00FC71F6"/>
    <w:rsid w:val="00FD153D"/>
    <w:rsid w:val="00FD3BFC"/>
    <w:rsid w:val="00FD3D86"/>
    <w:rsid w:val="00FD45A9"/>
    <w:rsid w:val="00FD4FD3"/>
    <w:rsid w:val="00FD5420"/>
    <w:rsid w:val="00FD5D46"/>
    <w:rsid w:val="00FE1F56"/>
    <w:rsid w:val="00FE2660"/>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23107F0-0A62-48A5-BD3A-02CC787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91.pdf" TargetMode="External"/><Relationship Id="rId1" Type="http://schemas.openxmlformats.org/officeDocument/2006/relationships/hyperlink" Target="http://www.nevo.co.il/Law_word/law14/law-21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14553</CharactersWithSpaces>
  <SharedDoc>false</SharedDoc>
  <HLinks>
    <vt:vector size="186" baseType="variant">
      <vt:variant>
        <vt:i4>393283</vt:i4>
      </vt:variant>
      <vt:variant>
        <vt:i4>168</vt:i4>
      </vt:variant>
      <vt:variant>
        <vt:i4>0</vt:i4>
      </vt:variant>
      <vt:variant>
        <vt:i4>5</vt:i4>
      </vt:variant>
      <vt:variant>
        <vt:lpwstr>http://www.nevo.co.il/advertisements/nevo-100.doc</vt:lpwstr>
      </vt:variant>
      <vt:variant>
        <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5242889</vt:i4>
      </vt:variant>
      <vt:variant>
        <vt:i4>138</vt:i4>
      </vt:variant>
      <vt:variant>
        <vt:i4>0</vt:i4>
      </vt:variant>
      <vt:variant>
        <vt:i4>5</vt:i4>
      </vt:variant>
      <vt:variant>
        <vt:lpwstr/>
      </vt:variant>
      <vt:variant>
        <vt:lpwstr>med5</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7667795</vt:i4>
      </vt:variant>
      <vt:variant>
        <vt:i4>3</vt:i4>
      </vt:variant>
      <vt:variant>
        <vt:i4>0</vt:i4>
      </vt:variant>
      <vt:variant>
        <vt:i4>5</vt:i4>
      </vt:variant>
      <vt:variant>
        <vt:lpwstr>http://www.nevo.co.il/Law_word/law15/memshala-191.pdf</vt:lpwstr>
      </vt:variant>
      <vt:variant>
        <vt:lpwstr/>
      </vt:variant>
      <vt:variant>
        <vt:i4>7667723</vt:i4>
      </vt:variant>
      <vt:variant>
        <vt:i4>0</vt:i4>
      </vt:variant>
      <vt:variant>
        <vt:i4>0</vt:i4>
      </vt:variant>
      <vt:variant>
        <vt:i4>5</vt:i4>
      </vt:variant>
      <vt:variant>
        <vt:lpwstr>http://www.nevo.co.il/Law_word/law14/law-2183.pdf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הספנות (עבירות נגד ביטחון השיט הבין-לאומי ומיתקניים ימיים), תשס"ח-2008</vt:lpwstr>
  </property>
  <property fmtid="{D5CDD505-2E9C-101B-9397-08002B2CF9AE}" pid="4" name="LAWNUMBER">
    <vt:lpwstr>0006</vt:lpwstr>
  </property>
  <property fmtid="{D5CDD505-2E9C-101B-9397-08002B2CF9AE}" pid="5" name="TYPE">
    <vt:lpwstr>01</vt:lpwstr>
  </property>
  <property fmtid="{D5CDD505-2E9C-101B-9397-08002B2CF9AE}" pid="6" name="CHNAME">
    <vt:lpwstr>ספנות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http://www.nevo.co.il/Law_word/law14/law-2183.pdf;‎רשומות - ספר חוקים#פורסם ס"ח תשס"ח ‏מס' 2183 #מיום 2.9.2008 עמ' 894‏</vt:lpwstr>
  </property>
  <property fmtid="{D5CDD505-2E9C-101B-9397-08002B2CF9AE}" pid="23" name="NOSE11">
    <vt:lpwstr>עונשין ומשפט פלילי</vt:lpwstr>
  </property>
  <property fmtid="{D5CDD505-2E9C-101B-9397-08002B2CF9AE}" pid="24" name="NOSE21">
    <vt:lpwstr>עבירות</vt:lpwstr>
  </property>
  <property fmtid="{D5CDD505-2E9C-101B-9397-08002B2CF9AE}" pid="25" name="NOSE31">
    <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תשתיות</vt:lpwstr>
  </property>
  <property fmtid="{D5CDD505-2E9C-101B-9397-08002B2CF9AE}" pid="29" name="NOSE32">
    <vt:lpwstr>ספנות ונמלים</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