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8B6" w:rsidRDefault="0029686C" w:rsidP="000D5D2E">
      <w:pPr>
        <w:pStyle w:val="big-header"/>
        <w:ind w:left="0" w:right="1134"/>
        <w:rPr>
          <w:rFonts w:cs="FrankRuehl"/>
          <w:sz w:val="32"/>
        </w:rPr>
      </w:pPr>
      <w:r>
        <w:rPr>
          <w:rFonts w:cs="FrankRuehl" w:hint="cs"/>
          <w:sz w:val="32"/>
          <w:rtl/>
        </w:rPr>
        <w:t>חוק הפסקת הליכים ומחיקת רישומים בעניין תכנית ההתנתקות</w:t>
      </w:r>
      <w:r w:rsidR="001B185E">
        <w:rPr>
          <w:rFonts w:cs="FrankRuehl" w:hint="cs"/>
          <w:sz w:val="32"/>
          <w:rtl/>
        </w:rPr>
        <w:t>, תש"ע-2010</w:t>
      </w:r>
    </w:p>
    <w:p w:rsidR="007841B2" w:rsidRPr="007841B2" w:rsidRDefault="007841B2" w:rsidP="007841B2">
      <w:pPr>
        <w:spacing w:line="320" w:lineRule="auto"/>
        <w:rPr>
          <w:rFonts w:cs="FrankRuehl"/>
          <w:szCs w:val="26"/>
          <w:rtl/>
        </w:rPr>
      </w:pPr>
    </w:p>
    <w:p w:rsidR="007841B2" w:rsidRDefault="007841B2" w:rsidP="007841B2">
      <w:pPr>
        <w:spacing w:line="320" w:lineRule="auto"/>
        <w:rPr>
          <w:rtl/>
        </w:rPr>
      </w:pPr>
    </w:p>
    <w:p w:rsidR="007841B2" w:rsidRPr="007841B2" w:rsidRDefault="007841B2" w:rsidP="007841B2">
      <w:pPr>
        <w:spacing w:line="320" w:lineRule="auto"/>
        <w:rPr>
          <w:rFonts w:cs="Miriam"/>
          <w:szCs w:val="22"/>
          <w:rtl/>
        </w:rPr>
      </w:pPr>
      <w:r w:rsidRPr="007841B2">
        <w:rPr>
          <w:rFonts w:cs="Miriam"/>
          <w:szCs w:val="22"/>
          <w:rtl/>
        </w:rPr>
        <w:t>בטחון</w:t>
      </w:r>
      <w:r w:rsidRPr="007841B2">
        <w:rPr>
          <w:rFonts w:cs="FrankRuehl"/>
          <w:szCs w:val="26"/>
          <w:rtl/>
        </w:rPr>
        <w:t xml:space="preserve"> – תכנית ההתנתקות</w:t>
      </w:r>
    </w:p>
    <w:p w:rsidR="00D078B6" w:rsidRDefault="00D078B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5246B" w:rsidRPr="0045246B">
        <w:tblPrEx>
          <w:tblCellMar>
            <w:top w:w="0" w:type="dxa"/>
            <w:bottom w:w="0" w:type="dxa"/>
          </w:tblCellMar>
        </w:tblPrEx>
        <w:tc>
          <w:tcPr>
            <w:tcW w:w="1247" w:type="dxa"/>
          </w:tcPr>
          <w:p w:rsidR="0045246B" w:rsidRPr="0045246B" w:rsidRDefault="0045246B" w:rsidP="0045246B">
            <w:pPr>
              <w:rPr>
                <w:rFonts w:cs="Frankruhel" w:hint="cs"/>
                <w:rtl/>
              </w:rPr>
            </w:pPr>
            <w:r>
              <w:rPr>
                <w:rtl/>
              </w:rPr>
              <w:t xml:space="preserve">סעיף 1 </w:t>
            </w:r>
          </w:p>
        </w:tc>
        <w:tc>
          <w:tcPr>
            <w:tcW w:w="5669" w:type="dxa"/>
          </w:tcPr>
          <w:p w:rsidR="0045246B" w:rsidRPr="0045246B" w:rsidRDefault="0045246B" w:rsidP="0045246B">
            <w:pPr>
              <w:rPr>
                <w:rFonts w:cs="Frankruhel" w:hint="cs"/>
                <w:rtl/>
              </w:rPr>
            </w:pPr>
            <w:r>
              <w:rPr>
                <w:rtl/>
              </w:rPr>
              <w:t>הגדרות</w:t>
            </w:r>
          </w:p>
        </w:tc>
        <w:tc>
          <w:tcPr>
            <w:tcW w:w="567" w:type="dxa"/>
          </w:tcPr>
          <w:p w:rsidR="0045246B" w:rsidRPr="0045246B" w:rsidRDefault="0045246B" w:rsidP="0045246B">
            <w:pPr>
              <w:rPr>
                <w:rStyle w:val="Hyperlink"/>
                <w:rFonts w:hint="cs"/>
                <w:rtl/>
              </w:rPr>
            </w:pPr>
            <w:hyperlink w:anchor="Seif1" w:tooltip="הגדרות" w:history="1">
              <w:r w:rsidRPr="0045246B">
                <w:rPr>
                  <w:rStyle w:val="Hyperlink"/>
                </w:rPr>
                <w:t>Go</w:t>
              </w:r>
            </w:hyperlink>
          </w:p>
        </w:tc>
        <w:tc>
          <w:tcPr>
            <w:tcW w:w="850" w:type="dxa"/>
          </w:tcPr>
          <w:p w:rsidR="0045246B" w:rsidRPr="0045246B" w:rsidRDefault="0045246B" w:rsidP="004524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5246B" w:rsidRPr="0045246B">
        <w:tblPrEx>
          <w:tblCellMar>
            <w:top w:w="0" w:type="dxa"/>
            <w:bottom w:w="0" w:type="dxa"/>
          </w:tblCellMar>
        </w:tblPrEx>
        <w:tc>
          <w:tcPr>
            <w:tcW w:w="1247" w:type="dxa"/>
          </w:tcPr>
          <w:p w:rsidR="0045246B" w:rsidRPr="0045246B" w:rsidRDefault="0045246B" w:rsidP="0045246B">
            <w:pPr>
              <w:rPr>
                <w:rFonts w:cs="Frankruhel" w:hint="cs"/>
                <w:rtl/>
              </w:rPr>
            </w:pPr>
            <w:r>
              <w:rPr>
                <w:rtl/>
              </w:rPr>
              <w:t xml:space="preserve">סעיף 2 </w:t>
            </w:r>
          </w:p>
        </w:tc>
        <w:tc>
          <w:tcPr>
            <w:tcW w:w="5669" w:type="dxa"/>
          </w:tcPr>
          <w:p w:rsidR="0045246B" w:rsidRPr="0045246B" w:rsidRDefault="0045246B" w:rsidP="0045246B">
            <w:pPr>
              <w:rPr>
                <w:rFonts w:cs="Frankruhel" w:hint="cs"/>
                <w:rtl/>
              </w:rPr>
            </w:pPr>
            <w:r>
              <w:rPr>
                <w:rtl/>
              </w:rPr>
              <w:t>גזר דין או החלטה</w:t>
            </w:r>
          </w:p>
        </w:tc>
        <w:tc>
          <w:tcPr>
            <w:tcW w:w="567" w:type="dxa"/>
          </w:tcPr>
          <w:p w:rsidR="0045246B" w:rsidRPr="0045246B" w:rsidRDefault="0045246B" w:rsidP="0045246B">
            <w:pPr>
              <w:rPr>
                <w:rStyle w:val="Hyperlink"/>
                <w:rFonts w:hint="cs"/>
                <w:rtl/>
              </w:rPr>
            </w:pPr>
            <w:hyperlink w:anchor="Seif2" w:tooltip="גזר דין או החלטה" w:history="1">
              <w:r w:rsidRPr="0045246B">
                <w:rPr>
                  <w:rStyle w:val="Hyperlink"/>
                </w:rPr>
                <w:t>Go</w:t>
              </w:r>
            </w:hyperlink>
          </w:p>
        </w:tc>
        <w:tc>
          <w:tcPr>
            <w:tcW w:w="850" w:type="dxa"/>
          </w:tcPr>
          <w:p w:rsidR="0045246B" w:rsidRPr="0045246B" w:rsidRDefault="0045246B" w:rsidP="004524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45246B" w:rsidRPr="0045246B">
        <w:tblPrEx>
          <w:tblCellMar>
            <w:top w:w="0" w:type="dxa"/>
            <w:bottom w:w="0" w:type="dxa"/>
          </w:tblCellMar>
        </w:tblPrEx>
        <w:tc>
          <w:tcPr>
            <w:tcW w:w="1247" w:type="dxa"/>
          </w:tcPr>
          <w:p w:rsidR="0045246B" w:rsidRPr="0045246B" w:rsidRDefault="0045246B" w:rsidP="0045246B">
            <w:pPr>
              <w:rPr>
                <w:rFonts w:cs="Frankruhel" w:hint="cs"/>
                <w:rtl/>
              </w:rPr>
            </w:pPr>
            <w:r>
              <w:rPr>
                <w:rtl/>
              </w:rPr>
              <w:t xml:space="preserve">סעיף 3 </w:t>
            </w:r>
          </w:p>
        </w:tc>
        <w:tc>
          <w:tcPr>
            <w:tcW w:w="5669" w:type="dxa"/>
          </w:tcPr>
          <w:p w:rsidR="0045246B" w:rsidRPr="0045246B" w:rsidRDefault="0045246B" w:rsidP="0045246B">
            <w:pPr>
              <w:rPr>
                <w:rFonts w:cs="Frankruhel" w:hint="cs"/>
                <w:rtl/>
              </w:rPr>
            </w:pPr>
            <w:r>
              <w:rPr>
                <w:rtl/>
              </w:rPr>
              <w:t>מחיקת רישום</w:t>
            </w:r>
          </w:p>
        </w:tc>
        <w:tc>
          <w:tcPr>
            <w:tcW w:w="567" w:type="dxa"/>
          </w:tcPr>
          <w:p w:rsidR="0045246B" w:rsidRPr="0045246B" w:rsidRDefault="0045246B" w:rsidP="0045246B">
            <w:pPr>
              <w:rPr>
                <w:rStyle w:val="Hyperlink"/>
                <w:rFonts w:hint="cs"/>
                <w:rtl/>
              </w:rPr>
            </w:pPr>
            <w:hyperlink w:anchor="Seif3" w:tooltip="מחיקת רישום" w:history="1">
              <w:r w:rsidRPr="0045246B">
                <w:rPr>
                  <w:rStyle w:val="Hyperlink"/>
                </w:rPr>
                <w:t>Go</w:t>
              </w:r>
            </w:hyperlink>
          </w:p>
        </w:tc>
        <w:tc>
          <w:tcPr>
            <w:tcW w:w="850" w:type="dxa"/>
          </w:tcPr>
          <w:p w:rsidR="0045246B" w:rsidRPr="0045246B" w:rsidRDefault="0045246B" w:rsidP="004524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45246B" w:rsidRPr="0045246B">
        <w:tblPrEx>
          <w:tblCellMar>
            <w:top w:w="0" w:type="dxa"/>
            <w:bottom w:w="0" w:type="dxa"/>
          </w:tblCellMar>
        </w:tblPrEx>
        <w:tc>
          <w:tcPr>
            <w:tcW w:w="1247" w:type="dxa"/>
          </w:tcPr>
          <w:p w:rsidR="0045246B" w:rsidRPr="0045246B" w:rsidRDefault="0045246B" w:rsidP="0045246B">
            <w:pPr>
              <w:rPr>
                <w:rFonts w:cs="Frankruhel" w:hint="cs"/>
                <w:rtl/>
              </w:rPr>
            </w:pPr>
            <w:r>
              <w:rPr>
                <w:rtl/>
              </w:rPr>
              <w:t xml:space="preserve">סעיף 4 </w:t>
            </w:r>
          </w:p>
        </w:tc>
        <w:tc>
          <w:tcPr>
            <w:tcW w:w="5669" w:type="dxa"/>
          </w:tcPr>
          <w:p w:rsidR="0045246B" w:rsidRPr="0045246B" w:rsidRDefault="0045246B" w:rsidP="0045246B">
            <w:pPr>
              <w:rPr>
                <w:rFonts w:cs="Frankruhel" w:hint="cs"/>
                <w:rtl/>
              </w:rPr>
            </w:pPr>
            <w:r>
              <w:rPr>
                <w:rtl/>
              </w:rPr>
              <w:t>הפסקת הליכים</w:t>
            </w:r>
          </w:p>
        </w:tc>
        <w:tc>
          <w:tcPr>
            <w:tcW w:w="567" w:type="dxa"/>
          </w:tcPr>
          <w:p w:rsidR="0045246B" w:rsidRPr="0045246B" w:rsidRDefault="0045246B" w:rsidP="0045246B">
            <w:pPr>
              <w:rPr>
                <w:rStyle w:val="Hyperlink"/>
                <w:rFonts w:hint="cs"/>
                <w:rtl/>
              </w:rPr>
            </w:pPr>
            <w:hyperlink w:anchor="Seif4" w:tooltip="הפסקת הליכים" w:history="1">
              <w:r w:rsidRPr="0045246B">
                <w:rPr>
                  <w:rStyle w:val="Hyperlink"/>
                </w:rPr>
                <w:t>Go</w:t>
              </w:r>
            </w:hyperlink>
          </w:p>
        </w:tc>
        <w:tc>
          <w:tcPr>
            <w:tcW w:w="850" w:type="dxa"/>
          </w:tcPr>
          <w:p w:rsidR="0045246B" w:rsidRPr="0045246B" w:rsidRDefault="0045246B" w:rsidP="004524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45246B" w:rsidRPr="0045246B">
        <w:tblPrEx>
          <w:tblCellMar>
            <w:top w:w="0" w:type="dxa"/>
            <w:bottom w:w="0" w:type="dxa"/>
          </w:tblCellMar>
        </w:tblPrEx>
        <w:tc>
          <w:tcPr>
            <w:tcW w:w="1247" w:type="dxa"/>
          </w:tcPr>
          <w:p w:rsidR="0045246B" w:rsidRPr="0045246B" w:rsidRDefault="0045246B" w:rsidP="0045246B">
            <w:pPr>
              <w:rPr>
                <w:rFonts w:cs="Frankruhel" w:hint="cs"/>
                <w:rtl/>
              </w:rPr>
            </w:pPr>
            <w:r>
              <w:rPr>
                <w:rtl/>
              </w:rPr>
              <w:t xml:space="preserve">סעיף 5 </w:t>
            </w:r>
          </w:p>
        </w:tc>
        <w:tc>
          <w:tcPr>
            <w:tcW w:w="5669" w:type="dxa"/>
          </w:tcPr>
          <w:p w:rsidR="0045246B" w:rsidRPr="0045246B" w:rsidRDefault="0045246B" w:rsidP="0045246B">
            <w:pPr>
              <w:rPr>
                <w:rFonts w:cs="Frankruhel" w:hint="cs"/>
                <w:rtl/>
              </w:rPr>
            </w:pPr>
            <w:r>
              <w:rPr>
                <w:rtl/>
              </w:rPr>
              <w:t>ערעור</w:t>
            </w:r>
          </w:p>
        </w:tc>
        <w:tc>
          <w:tcPr>
            <w:tcW w:w="567" w:type="dxa"/>
          </w:tcPr>
          <w:p w:rsidR="0045246B" w:rsidRPr="0045246B" w:rsidRDefault="0045246B" w:rsidP="0045246B">
            <w:pPr>
              <w:rPr>
                <w:rStyle w:val="Hyperlink"/>
                <w:rFonts w:hint="cs"/>
                <w:rtl/>
              </w:rPr>
            </w:pPr>
            <w:hyperlink w:anchor="Seif5" w:tooltip="ערעור" w:history="1">
              <w:r w:rsidRPr="0045246B">
                <w:rPr>
                  <w:rStyle w:val="Hyperlink"/>
                </w:rPr>
                <w:t>Go</w:t>
              </w:r>
            </w:hyperlink>
          </w:p>
        </w:tc>
        <w:tc>
          <w:tcPr>
            <w:tcW w:w="850" w:type="dxa"/>
          </w:tcPr>
          <w:p w:rsidR="0045246B" w:rsidRPr="0045246B" w:rsidRDefault="0045246B" w:rsidP="004524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45246B" w:rsidRPr="0045246B">
        <w:tblPrEx>
          <w:tblCellMar>
            <w:top w:w="0" w:type="dxa"/>
            <w:bottom w:w="0" w:type="dxa"/>
          </w:tblCellMar>
        </w:tblPrEx>
        <w:tc>
          <w:tcPr>
            <w:tcW w:w="1247" w:type="dxa"/>
          </w:tcPr>
          <w:p w:rsidR="0045246B" w:rsidRPr="0045246B" w:rsidRDefault="0045246B" w:rsidP="0045246B">
            <w:pPr>
              <w:rPr>
                <w:rFonts w:cs="Frankruhel" w:hint="cs"/>
                <w:rtl/>
              </w:rPr>
            </w:pPr>
            <w:r>
              <w:rPr>
                <w:rtl/>
              </w:rPr>
              <w:t xml:space="preserve">סעיף 6 </w:t>
            </w:r>
          </w:p>
        </w:tc>
        <w:tc>
          <w:tcPr>
            <w:tcW w:w="5669" w:type="dxa"/>
          </w:tcPr>
          <w:p w:rsidR="0045246B" w:rsidRPr="0045246B" w:rsidRDefault="0045246B" w:rsidP="0045246B">
            <w:pPr>
              <w:rPr>
                <w:rFonts w:cs="Frankruhel" w:hint="cs"/>
                <w:rtl/>
              </w:rPr>
            </w:pPr>
            <w:r>
              <w:rPr>
                <w:rtl/>
              </w:rPr>
              <w:t>סייגלתחולה</w:t>
            </w:r>
          </w:p>
        </w:tc>
        <w:tc>
          <w:tcPr>
            <w:tcW w:w="567" w:type="dxa"/>
          </w:tcPr>
          <w:p w:rsidR="0045246B" w:rsidRPr="0045246B" w:rsidRDefault="0045246B" w:rsidP="0045246B">
            <w:pPr>
              <w:rPr>
                <w:rStyle w:val="Hyperlink"/>
                <w:rFonts w:hint="cs"/>
                <w:rtl/>
              </w:rPr>
            </w:pPr>
            <w:hyperlink w:anchor="Seif6" w:tooltip="סייגלתחולה" w:history="1">
              <w:r w:rsidRPr="0045246B">
                <w:rPr>
                  <w:rStyle w:val="Hyperlink"/>
                </w:rPr>
                <w:t>Go</w:t>
              </w:r>
            </w:hyperlink>
          </w:p>
        </w:tc>
        <w:tc>
          <w:tcPr>
            <w:tcW w:w="850" w:type="dxa"/>
          </w:tcPr>
          <w:p w:rsidR="0045246B" w:rsidRPr="0045246B" w:rsidRDefault="0045246B" w:rsidP="004524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bl>
    <w:p w:rsidR="00D078B6" w:rsidRDefault="00D078B6">
      <w:pPr>
        <w:pStyle w:val="big-header"/>
        <w:ind w:left="0" w:right="1134"/>
        <w:rPr>
          <w:rFonts w:cs="FrankRuehl" w:hint="cs"/>
          <w:sz w:val="32"/>
          <w:rtl/>
        </w:rPr>
      </w:pPr>
    </w:p>
    <w:p w:rsidR="00D078B6" w:rsidRDefault="00D078B6" w:rsidP="007841B2">
      <w:pPr>
        <w:pStyle w:val="big-header"/>
        <w:ind w:left="0" w:right="1134"/>
        <w:rPr>
          <w:rStyle w:val="default"/>
          <w:rFonts w:hint="cs"/>
          <w:sz w:val="22"/>
          <w:szCs w:val="22"/>
          <w:rtl/>
        </w:rPr>
      </w:pPr>
      <w:r>
        <w:rPr>
          <w:rFonts w:cs="FrankRuehl"/>
          <w:sz w:val="32"/>
          <w:rtl/>
        </w:rPr>
        <w:br w:type="page"/>
      </w:r>
      <w:r w:rsidR="0029686C">
        <w:rPr>
          <w:rFonts w:cs="FrankRuehl" w:hint="cs"/>
          <w:sz w:val="32"/>
          <w:rtl/>
        </w:rPr>
        <w:lastRenderedPageBreak/>
        <w:t>חוק הפסקת הליכים ומחיקת רישומים בעניין תכנית ההתנתקות, תש"ע-2010</w:t>
      </w:r>
      <w:r>
        <w:rPr>
          <w:rStyle w:val="default"/>
          <w:sz w:val="22"/>
          <w:szCs w:val="22"/>
          <w:rtl/>
        </w:rPr>
        <w:footnoteReference w:customMarkFollows="1" w:id="1"/>
        <w:t>*</w:t>
      </w:r>
    </w:p>
    <w:p w:rsidR="00D078B6" w:rsidRDefault="00D078B6" w:rsidP="0029686C">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8.95pt;z-index:251655168" o:allowincell="f" filled="f" stroked="f" strokecolor="lime" strokeweight=".25pt">
            <v:textbox style="mso-next-textbox:#_x0000_s1026" inset="0,0,0,0">
              <w:txbxContent>
                <w:p w:rsidR="00D078B6" w:rsidRDefault="0029686C" w:rsidP="002F234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29686C">
        <w:rPr>
          <w:rStyle w:val="default"/>
          <w:rFonts w:cs="FrankRuehl" w:hint="cs"/>
          <w:rtl/>
        </w:rPr>
        <w:t xml:space="preserve">בחוק זה </w:t>
      </w:r>
      <w:r w:rsidR="0029686C">
        <w:rPr>
          <w:rStyle w:val="default"/>
          <w:rFonts w:cs="FrankRuehl"/>
          <w:rtl/>
        </w:rPr>
        <w:t>–</w:t>
      </w:r>
    </w:p>
    <w:p w:rsidR="0029686C" w:rsidRDefault="0029686C" w:rsidP="0029686C">
      <w:pPr>
        <w:pStyle w:val="P00"/>
        <w:spacing w:before="72"/>
        <w:ind w:left="0" w:right="1134"/>
        <w:rPr>
          <w:rStyle w:val="default"/>
          <w:rFonts w:cs="FrankRuehl" w:hint="cs"/>
          <w:rtl/>
        </w:rPr>
      </w:pPr>
      <w:r>
        <w:rPr>
          <w:rStyle w:val="default"/>
          <w:rFonts w:cs="FrankRuehl" w:hint="cs"/>
          <w:rtl/>
        </w:rPr>
        <w:tab/>
        <w:t xml:space="preserve">"המרשם הפלילי", "תקופת ההתיישנות", "תקופת המחיקה" </w:t>
      </w:r>
      <w:r>
        <w:rPr>
          <w:rStyle w:val="default"/>
          <w:rFonts w:cs="FrankRuehl"/>
          <w:rtl/>
        </w:rPr>
        <w:t>–</w:t>
      </w:r>
      <w:r>
        <w:rPr>
          <w:rStyle w:val="default"/>
          <w:rFonts w:cs="FrankRuehl" w:hint="cs"/>
          <w:rtl/>
        </w:rPr>
        <w:t xml:space="preserve"> כמשמעותם בחוק המרשם הפלילי;</w:t>
      </w:r>
    </w:p>
    <w:p w:rsidR="0029686C" w:rsidRDefault="0029686C" w:rsidP="0029686C">
      <w:pPr>
        <w:pStyle w:val="P00"/>
        <w:spacing w:before="72"/>
        <w:ind w:left="0" w:right="1134"/>
        <w:rPr>
          <w:rStyle w:val="default"/>
          <w:rFonts w:cs="FrankRuehl" w:hint="cs"/>
          <w:rtl/>
        </w:rPr>
      </w:pPr>
      <w:r>
        <w:rPr>
          <w:rStyle w:val="default"/>
          <w:rFonts w:cs="FrankRuehl" w:hint="cs"/>
          <w:rtl/>
        </w:rPr>
        <w:tab/>
        <w:t xml:space="preserve">"חוק המרשם הפלילי" </w:t>
      </w:r>
      <w:r>
        <w:rPr>
          <w:rStyle w:val="default"/>
          <w:rFonts w:cs="FrankRuehl"/>
          <w:rtl/>
        </w:rPr>
        <w:t>–</w:t>
      </w:r>
      <w:r>
        <w:rPr>
          <w:rStyle w:val="default"/>
          <w:rFonts w:cs="FrankRuehl" w:hint="cs"/>
          <w:rtl/>
        </w:rPr>
        <w:t xml:space="preserve"> חוק המרשם הפלילי ותקנת השבים, התשמ"א-1981;</w:t>
      </w:r>
    </w:p>
    <w:p w:rsidR="0029686C" w:rsidRDefault="0029686C" w:rsidP="0029686C">
      <w:pPr>
        <w:pStyle w:val="P00"/>
        <w:spacing w:before="72"/>
        <w:ind w:left="0" w:right="1134"/>
        <w:rPr>
          <w:rStyle w:val="default"/>
          <w:rFonts w:cs="FrankRuehl" w:hint="cs"/>
          <w:rtl/>
        </w:rPr>
      </w:pPr>
      <w:r>
        <w:rPr>
          <w:rStyle w:val="default"/>
          <w:rFonts w:cs="FrankRuehl" w:hint="cs"/>
          <w:rtl/>
        </w:rPr>
        <w:tab/>
        <w:t xml:space="preserve">"חוק העונשין" </w:t>
      </w:r>
      <w:r>
        <w:rPr>
          <w:rStyle w:val="default"/>
          <w:rFonts w:cs="FrankRuehl"/>
          <w:rtl/>
        </w:rPr>
        <w:t>–</w:t>
      </w:r>
      <w:r>
        <w:rPr>
          <w:rStyle w:val="default"/>
          <w:rFonts w:cs="FrankRuehl" w:hint="cs"/>
          <w:rtl/>
        </w:rPr>
        <w:t xml:space="preserve"> חוק העונשין, התשל"ז-1977;</w:t>
      </w:r>
    </w:p>
    <w:p w:rsidR="0029686C" w:rsidRDefault="0029686C" w:rsidP="0029686C">
      <w:pPr>
        <w:pStyle w:val="P00"/>
        <w:spacing w:before="72"/>
        <w:ind w:left="0" w:right="1134"/>
        <w:rPr>
          <w:rStyle w:val="default"/>
          <w:rFonts w:cs="FrankRuehl" w:hint="cs"/>
          <w:rtl/>
        </w:rPr>
      </w:pPr>
      <w:r>
        <w:rPr>
          <w:rStyle w:val="default"/>
          <w:rFonts w:cs="FrankRuehl" w:hint="cs"/>
          <w:rtl/>
        </w:rPr>
        <w:tab/>
        <w:t xml:space="preserve">"חוק סדר הדין הפלילי" </w:t>
      </w:r>
      <w:r>
        <w:rPr>
          <w:rStyle w:val="default"/>
          <w:rFonts w:cs="FrankRuehl"/>
          <w:rtl/>
        </w:rPr>
        <w:t>–</w:t>
      </w:r>
      <w:r>
        <w:rPr>
          <w:rStyle w:val="default"/>
          <w:rFonts w:cs="FrankRuehl" w:hint="cs"/>
          <w:rtl/>
        </w:rPr>
        <w:t xml:space="preserve"> חוק סדר הדין הפלילי [נוסח משולב], התשמ"ב-1982;</w:t>
      </w:r>
    </w:p>
    <w:p w:rsidR="0029686C" w:rsidRDefault="0029686C" w:rsidP="0029686C">
      <w:pPr>
        <w:pStyle w:val="P00"/>
        <w:spacing w:before="72"/>
        <w:ind w:left="0" w:right="1134"/>
        <w:rPr>
          <w:rStyle w:val="default"/>
          <w:rFonts w:cs="FrankRuehl" w:hint="cs"/>
          <w:rtl/>
        </w:rPr>
      </w:pPr>
      <w:r>
        <w:rPr>
          <w:rStyle w:val="default"/>
          <w:rFonts w:cs="FrankRuehl" w:hint="cs"/>
          <w:rtl/>
        </w:rPr>
        <w:tab/>
        <w:t>"עבירה על רקע התנגדות לתכנית ההתנתקות"</w:t>
      </w:r>
      <w:r w:rsidR="00D21E53">
        <w:rPr>
          <w:rStyle w:val="default"/>
          <w:rFonts w:cs="FrankRuehl" w:hint="cs"/>
          <w:rtl/>
        </w:rPr>
        <w:t xml:space="preserve"> </w:t>
      </w:r>
      <w:r w:rsidR="00D21E53">
        <w:rPr>
          <w:rStyle w:val="default"/>
          <w:rFonts w:cs="FrankRuehl"/>
          <w:rtl/>
        </w:rPr>
        <w:t>–</w:t>
      </w:r>
      <w:r w:rsidR="00D21E53">
        <w:rPr>
          <w:rStyle w:val="default"/>
          <w:rFonts w:cs="FrankRuehl" w:hint="cs"/>
          <w:rtl/>
        </w:rPr>
        <w:t xml:space="preserve"> למעט עבירה לפי סעיפים 144(ב) רישה, 300, 305, 329, 330, 332 עד 335 ו-380 לחוק העונשין;</w:t>
      </w:r>
    </w:p>
    <w:p w:rsidR="00D21E53" w:rsidRDefault="00D21E53" w:rsidP="0029686C">
      <w:pPr>
        <w:pStyle w:val="P00"/>
        <w:spacing w:before="72"/>
        <w:ind w:left="0" w:right="1134"/>
        <w:rPr>
          <w:rStyle w:val="default"/>
          <w:rFonts w:cs="FrankRuehl" w:hint="cs"/>
          <w:rtl/>
        </w:rPr>
      </w:pPr>
      <w:r>
        <w:rPr>
          <w:rStyle w:val="default"/>
          <w:rFonts w:cs="FrankRuehl" w:hint="cs"/>
          <w:rtl/>
        </w:rPr>
        <w:tab/>
        <w:t xml:space="preserve">"תכנית ההתנתקות" </w:t>
      </w:r>
      <w:r>
        <w:rPr>
          <w:rStyle w:val="default"/>
          <w:rFonts w:cs="FrankRuehl"/>
          <w:rtl/>
        </w:rPr>
        <w:t>–</w:t>
      </w:r>
      <w:r>
        <w:rPr>
          <w:rStyle w:val="default"/>
          <w:rFonts w:cs="FrankRuehl" w:hint="cs"/>
          <w:rtl/>
        </w:rPr>
        <w:t xml:space="preserve"> כהגדרתה בחוק יישום תכנית ההתנתקות, התשס"ה-2005.</w:t>
      </w:r>
    </w:p>
    <w:p w:rsidR="000D5D2E" w:rsidRDefault="000D5D2E" w:rsidP="00D21E53">
      <w:pPr>
        <w:pStyle w:val="P00"/>
        <w:spacing w:before="72"/>
        <w:ind w:left="0" w:right="1134"/>
        <w:rPr>
          <w:rStyle w:val="default"/>
          <w:rFonts w:cs="FrankRuehl" w:hint="cs"/>
          <w:rtl/>
        </w:rPr>
      </w:pPr>
      <w:bookmarkStart w:id="1" w:name="Seif2"/>
      <w:bookmarkEnd w:id="1"/>
      <w:r>
        <w:rPr>
          <w:rFonts w:cs="Miriam"/>
          <w:lang w:val="he-IL"/>
        </w:rPr>
        <w:pict>
          <v:rect id="_x0000_s1215" style="position:absolute;left:0;text-align:left;margin-left:464.35pt;margin-top:7.1pt;width:75.05pt;height:9.45pt;z-index:251656192" o:allowincell="f" filled="f" stroked="f" strokecolor="lime" strokeweight=".25pt">
            <v:textbox style="mso-next-textbox:#_x0000_s1215" inset="0,0,0,0">
              <w:txbxContent>
                <w:p w:rsidR="000D5D2E" w:rsidRDefault="00D21E53" w:rsidP="00E72BC1">
                  <w:pPr>
                    <w:spacing w:line="160" w:lineRule="exact"/>
                    <w:rPr>
                      <w:rFonts w:cs="Miriam" w:hint="cs"/>
                      <w:noProof/>
                      <w:sz w:val="18"/>
                      <w:szCs w:val="18"/>
                      <w:rtl/>
                    </w:rPr>
                  </w:pPr>
                  <w:r>
                    <w:rPr>
                      <w:rFonts w:cs="Miriam" w:hint="cs"/>
                      <w:noProof/>
                      <w:sz w:val="18"/>
                      <w:szCs w:val="18"/>
                      <w:rtl/>
                    </w:rPr>
                    <w:t>גזר דין או החלטה</w:t>
                  </w:r>
                </w:p>
              </w:txbxContent>
            </v:textbox>
            <w10:anchorlock/>
          </v:rect>
        </w:pict>
      </w:r>
      <w:r w:rsidR="00E72BC1">
        <w:rPr>
          <w:rStyle w:val="big-number"/>
          <w:rFonts w:cs="Miriam" w:hint="cs"/>
          <w:rtl/>
        </w:rPr>
        <w:t>2</w:t>
      </w:r>
      <w:r>
        <w:rPr>
          <w:rStyle w:val="big-number"/>
          <w:rFonts w:cs="FrankRuehl"/>
          <w:sz w:val="26"/>
          <w:szCs w:val="26"/>
          <w:rtl/>
        </w:rPr>
        <w:t>.</w:t>
      </w:r>
      <w:r>
        <w:rPr>
          <w:rStyle w:val="big-number"/>
          <w:rFonts w:cs="FrankRuehl"/>
          <w:sz w:val="26"/>
          <w:szCs w:val="26"/>
          <w:rtl/>
        </w:rPr>
        <w:tab/>
      </w:r>
      <w:r w:rsidR="00D21E53">
        <w:rPr>
          <w:rStyle w:val="default"/>
          <w:rFonts w:cs="FrankRuehl" w:hint="cs"/>
          <w:rtl/>
        </w:rPr>
        <w:t>(א)</w:t>
      </w:r>
      <w:r w:rsidR="00D21E53">
        <w:rPr>
          <w:rStyle w:val="default"/>
          <w:rFonts w:cs="FrankRuehl" w:hint="cs"/>
          <w:rtl/>
        </w:rPr>
        <w:tab/>
        <w:t>הורשע נאשם בעבירה על רקע התנגדות לתכנית ההתנתקות או קבע בית משפט כי עבר עבירה כאמור, לרבות קביעה לפי סעיף 24 לחוק הנוער (שפיטה, ענישה ודרכי טיפול), התשל"א-1971, לא יבוצעו גזר דינו או החלטה שניתנה לגביו עקב עבירה כאמור אף אם ניתנה בלא הרשעה; החל ביצוע גזר הדין או ההחלטה, לפי העניין, יופסק ביצועם, אם ביקש זאת הנאשם.</w:t>
      </w:r>
    </w:p>
    <w:p w:rsidR="00D21E53" w:rsidRDefault="00D21E53" w:rsidP="00D21E5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זה לא יחולו על מי שהוטל עליו עונש של מאסר בפועל.</w:t>
      </w:r>
    </w:p>
    <w:p w:rsidR="000D5D2E" w:rsidRDefault="000D5D2E" w:rsidP="00D21E53">
      <w:pPr>
        <w:pStyle w:val="P00"/>
        <w:spacing w:before="72"/>
        <w:ind w:left="0" w:right="1134"/>
        <w:rPr>
          <w:rStyle w:val="default"/>
          <w:rFonts w:cs="FrankRuehl" w:hint="cs"/>
          <w:rtl/>
        </w:rPr>
      </w:pPr>
      <w:bookmarkStart w:id="2" w:name="Seif3"/>
      <w:bookmarkEnd w:id="2"/>
      <w:r>
        <w:rPr>
          <w:rFonts w:cs="Miriam"/>
          <w:lang w:val="he-IL"/>
        </w:rPr>
        <w:pict>
          <v:rect id="_x0000_s1216" style="position:absolute;left:0;text-align:left;margin-left:464.35pt;margin-top:7.1pt;width:75.05pt;height:12.95pt;z-index:251657216" o:allowincell="f" filled="f" stroked="f" strokecolor="lime" strokeweight=".25pt">
            <v:textbox style="mso-next-textbox:#_x0000_s1216" inset="0,0,0,0">
              <w:txbxContent>
                <w:p w:rsidR="000D5D2E" w:rsidRDefault="00D21E53" w:rsidP="000D5D2E">
                  <w:pPr>
                    <w:spacing w:line="160" w:lineRule="exact"/>
                    <w:rPr>
                      <w:rFonts w:cs="Miriam" w:hint="cs"/>
                      <w:noProof/>
                      <w:sz w:val="18"/>
                      <w:szCs w:val="18"/>
                      <w:rtl/>
                    </w:rPr>
                  </w:pPr>
                  <w:r>
                    <w:rPr>
                      <w:rFonts w:cs="Miriam" w:hint="cs"/>
                      <w:sz w:val="18"/>
                      <w:szCs w:val="18"/>
                      <w:rtl/>
                    </w:rPr>
                    <w:t>מחיקת רישום</w:t>
                  </w:r>
                </w:p>
              </w:txbxContent>
            </v:textbox>
            <w10:anchorlock/>
          </v:rect>
        </w:pict>
      </w:r>
      <w:r w:rsidR="00E72BC1">
        <w:rPr>
          <w:rStyle w:val="big-number"/>
          <w:rFonts w:cs="Miriam" w:hint="cs"/>
          <w:rtl/>
        </w:rPr>
        <w:t>3</w:t>
      </w:r>
      <w:r>
        <w:rPr>
          <w:rStyle w:val="big-number"/>
          <w:rFonts w:cs="FrankRuehl"/>
          <w:sz w:val="26"/>
          <w:szCs w:val="26"/>
          <w:rtl/>
        </w:rPr>
        <w:t>.</w:t>
      </w:r>
      <w:r>
        <w:rPr>
          <w:rStyle w:val="big-number"/>
          <w:rFonts w:cs="FrankRuehl"/>
          <w:sz w:val="26"/>
          <w:szCs w:val="26"/>
          <w:rtl/>
        </w:rPr>
        <w:tab/>
      </w:r>
      <w:r w:rsidR="00D21E53">
        <w:rPr>
          <w:rStyle w:val="default"/>
          <w:rFonts w:cs="FrankRuehl" w:hint="cs"/>
          <w:rtl/>
        </w:rPr>
        <w:t>(א)</w:t>
      </w:r>
      <w:r w:rsidR="00D21E53">
        <w:rPr>
          <w:rStyle w:val="default"/>
          <w:rFonts w:cs="FrankRuehl" w:hint="cs"/>
          <w:rtl/>
        </w:rPr>
        <w:tab/>
        <w:t>פרט רישום כמשמעותו בסעיף 2 לחוק המרשם הפלילי, שעניינו עבירה על רקע התנגדות לתכנית ההתנתקות, יימחק מהמרשם הפלילי לבקשת האדם שפרט הרישום נוגע אליו, ובלבד שלא הוטל על אותו אדם עונש מאסר בפועל לגבי אותה עבירה, או שאין פרט רישום נוסף הנוגע לו, שתקופת ההתיישנות ותקופת המחיקה לגביו עוד לא תמו.</w:t>
      </w:r>
    </w:p>
    <w:p w:rsidR="00D21E53" w:rsidRDefault="00D21E53" w:rsidP="00D21E5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רישום כאמור בסעיף 11א לחוק המרשם הפלילי, שעניינו עבירה על רקע התנגדות לתכנית ההתנתקות, יבוטל מרישומי המשטרה אם ביקש זאת האדם שהרישום נוגע לו.</w:t>
      </w:r>
    </w:p>
    <w:p w:rsidR="00D21E53" w:rsidRDefault="00D21E53" w:rsidP="00D21E5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מידע שיימחק או יבוטל, כאמור בסעיפים קטנים (א) ו-(ב) לא יימסר לגוף אחר.</w:t>
      </w:r>
    </w:p>
    <w:p w:rsidR="00D21E53" w:rsidRDefault="00D21E53" w:rsidP="00D21E5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סעיף זה לא יחולו על מי שיש פרט רישום או רישום כאמור בסעיפים קטנים (א) ו-(ב) הנוגע לו, או רישום כאמור בסעיף 11 לחוק המרשם הפלילי, שלא על רקע התנגדות לתכנית ההתנתקות.</w:t>
      </w:r>
    </w:p>
    <w:p w:rsidR="000D5D2E" w:rsidRDefault="000D5D2E" w:rsidP="00D21E53">
      <w:pPr>
        <w:pStyle w:val="P00"/>
        <w:spacing w:before="72"/>
        <w:ind w:left="0" w:right="1134"/>
        <w:rPr>
          <w:rStyle w:val="default"/>
          <w:rFonts w:cs="FrankRuehl" w:hint="cs"/>
          <w:rtl/>
        </w:rPr>
      </w:pPr>
      <w:bookmarkStart w:id="3" w:name="Seif4"/>
      <w:bookmarkEnd w:id="3"/>
      <w:r>
        <w:rPr>
          <w:rFonts w:cs="Miriam"/>
          <w:lang w:val="he-IL"/>
        </w:rPr>
        <w:pict>
          <v:rect id="_x0000_s1217" style="position:absolute;left:0;text-align:left;margin-left:464.35pt;margin-top:7.1pt;width:75.05pt;height:15.8pt;z-index:251658240" o:allowincell="f" filled="f" stroked="f" strokecolor="lime" strokeweight=".25pt">
            <v:textbox style="mso-next-textbox:#_x0000_s1217" inset="0,0,0,0">
              <w:txbxContent>
                <w:p w:rsidR="000D5D2E" w:rsidRDefault="00D21E53" w:rsidP="000D5D2E">
                  <w:pPr>
                    <w:spacing w:line="160" w:lineRule="exact"/>
                    <w:rPr>
                      <w:rFonts w:cs="Miriam" w:hint="cs"/>
                      <w:noProof/>
                      <w:sz w:val="18"/>
                      <w:szCs w:val="18"/>
                      <w:rtl/>
                    </w:rPr>
                  </w:pPr>
                  <w:r>
                    <w:rPr>
                      <w:rFonts w:cs="Miriam" w:hint="cs"/>
                      <w:sz w:val="18"/>
                      <w:szCs w:val="18"/>
                      <w:rtl/>
                    </w:rPr>
                    <w:t>הפסקת הליכים</w:t>
                  </w:r>
                </w:p>
              </w:txbxContent>
            </v:textbox>
            <w10:anchorlock/>
          </v:rect>
        </w:pict>
      </w:r>
      <w:r w:rsidR="00E72BC1">
        <w:rPr>
          <w:rStyle w:val="big-number"/>
          <w:rFonts w:cs="Miriam" w:hint="cs"/>
          <w:rtl/>
        </w:rPr>
        <w:t>4</w:t>
      </w:r>
      <w:r>
        <w:rPr>
          <w:rStyle w:val="big-number"/>
          <w:rFonts w:cs="FrankRuehl"/>
          <w:sz w:val="26"/>
          <w:szCs w:val="26"/>
          <w:rtl/>
        </w:rPr>
        <w:t>.</w:t>
      </w:r>
      <w:r>
        <w:rPr>
          <w:rStyle w:val="big-number"/>
          <w:rFonts w:cs="FrankRuehl"/>
          <w:sz w:val="26"/>
          <w:szCs w:val="26"/>
          <w:rtl/>
        </w:rPr>
        <w:tab/>
      </w:r>
      <w:r w:rsidR="00D21E53">
        <w:rPr>
          <w:rStyle w:val="default"/>
          <w:rFonts w:cs="FrankRuehl" w:hint="cs"/>
          <w:rtl/>
        </w:rPr>
        <w:t>(א)</w:t>
      </w:r>
      <w:r w:rsidR="00D21E53">
        <w:rPr>
          <w:rStyle w:val="default"/>
          <w:rFonts w:cs="FrankRuehl" w:hint="cs"/>
          <w:rtl/>
        </w:rPr>
        <w:tab/>
        <w:t>לא יוגש כתב אישום בעבירה על רקע התנגדות לתכנית ההתנתקות, אלא אם כן פרקליט מחוז החליט למסור הודעה לבית משפט לפי סעיף 15א לחוק סדר הדין הפלילי בעניין בקשה מבית המשפט להטיל על הנאשם עונש מאסר בפועל אם יורשע.</w:t>
      </w:r>
    </w:p>
    <w:p w:rsidR="00D21E53" w:rsidRDefault="00D21E53" w:rsidP="00D21E5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7A723A">
        <w:rPr>
          <w:rStyle w:val="default"/>
          <w:rFonts w:cs="FrankRuehl" w:hint="cs"/>
          <w:rtl/>
        </w:rPr>
        <w:t xml:space="preserve">הוגש כתב רישום בעבירה על רקע התנגדות לתכנית ההתנתקות וטרם ניתנה הכרעת הדין, </w:t>
      </w:r>
      <w:r w:rsidR="003B320F">
        <w:rPr>
          <w:rStyle w:val="default"/>
          <w:rFonts w:cs="FrankRuehl" w:hint="cs"/>
          <w:rtl/>
        </w:rPr>
        <w:t>יראו את כתב האישום כאילו עוכבו לגביו הליכי המשפט לפי סעיף 231 לחוק סדר הדין הפלילי, אם ביקש זאת הנאשם מהתובע, והוראות סעיף 232 לחוק האמור לא יחולו; ואולם הוראות סעיף קטן זה לא יחולו אם פרקליט מחוז מסר הודעה לבית משפט כאמור בסעיף קטן (א).</w:t>
      </w:r>
    </w:p>
    <w:p w:rsidR="000D5D2E" w:rsidRDefault="000D5D2E" w:rsidP="003B320F">
      <w:pPr>
        <w:pStyle w:val="P00"/>
        <w:spacing w:before="72"/>
        <w:ind w:left="0" w:right="1134"/>
        <w:rPr>
          <w:rStyle w:val="default"/>
          <w:rFonts w:cs="FrankRuehl" w:hint="cs"/>
          <w:rtl/>
        </w:rPr>
      </w:pPr>
      <w:bookmarkStart w:id="4" w:name="Seif5"/>
      <w:bookmarkEnd w:id="4"/>
      <w:r>
        <w:rPr>
          <w:rFonts w:cs="Miriam"/>
          <w:lang w:val="he-IL"/>
        </w:rPr>
        <w:pict>
          <v:rect id="_x0000_s1218" style="position:absolute;left:0;text-align:left;margin-left:464.35pt;margin-top:7.1pt;width:75.05pt;height:13.45pt;z-index:251659264" o:allowincell="f" filled="f" stroked="f" strokecolor="lime" strokeweight=".25pt">
            <v:textbox style="mso-next-textbox:#_x0000_s1218" inset="0,0,0,0">
              <w:txbxContent>
                <w:p w:rsidR="000D5D2E" w:rsidRDefault="003B320F" w:rsidP="000D5D2E">
                  <w:pPr>
                    <w:spacing w:line="160" w:lineRule="exact"/>
                    <w:rPr>
                      <w:rFonts w:cs="Miriam" w:hint="cs"/>
                      <w:noProof/>
                      <w:sz w:val="18"/>
                      <w:szCs w:val="18"/>
                      <w:rtl/>
                    </w:rPr>
                  </w:pPr>
                  <w:r>
                    <w:rPr>
                      <w:rFonts w:cs="Miriam" w:hint="cs"/>
                      <w:sz w:val="18"/>
                      <w:szCs w:val="18"/>
                      <w:rtl/>
                    </w:rPr>
                    <w:t>ערעור</w:t>
                  </w:r>
                </w:p>
              </w:txbxContent>
            </v:textbox>
            <w10:anchorlock/>
          </v:rect>
        </w:pict>
      </w:r>
      <w:r w:rsidR="00E72BC1">
        <w:rPr>
          <w:rStyle w:val="big-number"/>
          <w:rFonts w:cs="Miriam" w:hint="cs"/>
          <w:rtl/>
        </w:rPr>
        <w:t>5</w:t>
      </w:r>
      <w:r>
        <w:rPr>
          <w:rStyle w:val="big-number"/>
          <w:rFonts w:cs="FrankRuehl"/>
          <w:sz w:val="26"/>
          <w:szCs w:val="26"/>
          <w:rtl/>
        </w:rPr>
        <w:t>.</w:t>
      </w:r>
      <w:r>
        <w:rPr>
          <w:rStyle w:val="big-number"/>
          <w:rFonts w:cs="FrankRuehl"/>
          <w:sz w:val="26"/>
          <w:szCs w:val="26"/>
          <w:rtl/>
        </w:rPr>
        <w:tab/>
      </w:r>
      <w:r w:rsidR="003B320F">
        <w:rPr>
          <w:rStyle w:val="default"/>
          <w:rFonts w:cs="FrankRuehl" w:hint="cs"/>
          <w:rtl/>
        </w:rPr>
        <w:t>אין בהוראות חוק זה כדי למנוע מאדם שהורשע בעבירה על רקע התנגדות לתכנית ההתנתקות לערער על הרשעתו או על גזר דינו בכפוף להוראות כל דין</w:t>
      </w:r>
      <w:r w:rsidR="00E72BC1">
        <w:rPr>
          <w:rStyle w:val="default"/>
          <w:rFonts w:cs="FrankRuehl" w:hint="cs"/>
          <w:rtl/>
        </w:rPr>
        <w:t>.</w:t>
      </w:r>
    </w:p>
    <w:p w:rsidR="000D5D2E" w:rsidRDefault="000D5D2E" w:rsidP="003B320F">
      <w:pPr>
        <w:pStyle w:val="P00"/>
        <w:spacing w:before="72"/>
        <w:ind w:left="0" w:right="1134"/>
        <w:rPr>
          <w:rStyle w:val="default"/>
          <w:rFonts w:cs="FrankRuehl" w:hint="cs"/>
          <w:rtl/>
        </w:rPr>
      </w:pPr>
      <w:bookmarkStart w:id="5" w:name="Seif6"/>
      <w:bookmarkEnd w:id="5"/>
      <w:r>
        <w:rPr>
          <w:rFonts w:cs="Miriam"/>
          <w:lang w:val="he-IL"/>
        </w:rPr>
        <w:pict>
          <v:rect id="_x0000_s1219" style="position:absolute;left:0;text-align:left;margin-left:464.35pt;margin-top:7.1pt;width:75.05pt;height:16.55pt;z-index:251660288" o:allowincell="f" filled="f" stroked="f" strokecolor="lime" strokeweight=".25pt">
            <v:textbox style="mso-next-textbox:#_x0000_s1219" inset="0,0,0,0">
              <w:txbxContent>
                <w:p w:rsidR="000D5D2E" w:rsidRDefault="003B320F" w:rsidP="000D5D2E">
                  <w:pPr>
                    <w:spacing w:line="160" w:lineRule="exact"/>
                    <w:rPr>
                      <w:rFonts w:cs="Miriam" w:hint="cs"/>
                      <w:noProof/>
                      <w:sz w:val="18"/>
                      <w:szCs w:val="18"/>
                      <w:rtl/>
                    </w:rPr>
                  </w:pPr>
                  <w:r>
                    <w:rPr>
                      <w:rFonts w:cs="Miriam" w:hint="cs"/>
                      <w:sz w:val="18"/>
                      <w:szCs w:val="18"/>
                      <w:rtl/>
                    </w:rPr>
                    <w:t>סייגלתחולה</w:t>
                  </w:r>
                </w:p>
              </w:txbxContent>
            </v:textbox>
            <w10:anchorlock/>
          </v:rect>
        </w:pict>
      </w:r>
      <w:r w:rsidR="00E72BC1">
        <w:rPr>
          <w:rStyle w:val="big-number"/>
          <w:rFonts w:cs="Miriam" w:hint="cs"/>
          <w:rtl/>
        </w:rPr>
        <w:t>6</w:t>
      </w:r>
      <w:r>
        <w:rPr>
          <w:rStyle w:val="big-number"/>
          <w:rFonts w:cs="FrankRuehl"/>
          <w:sz w:val="26"/>
          <w:szCs w:val="26"/>
          <w:rtl/>
        </w:rPr>
        <w:t>.</w:t>
      </w:r>
      <w:r>
        <w:rPr>
          <w:rStyle w:val="big-number"/>
          <w:rFonts w:cs="FrankRuehl"/>
          <w:sz w:val="26"/>
          <w:szCs w:val="26"/>
          <w:rtl/>
        </w:rPr>
        <w:tab/>
      </w:r>
      <w:r w:rsidR="003B320F">
        <w:rPr>
          <w:rStyle w:val="default"/>
          <w:rFonts w:cs="FrankRuehl" w:hint="cs"/>
          <w:rtl/>
        </w:rPr>
        <w:t>הוראות חוק זה לא יחולו על גזר דין או החלטה של בית דין צבאי, על פרט רישום כמשמעותו בסעיף 2 לחוק המרשם הפלילי, שעניינו גזר דין או החלטה כאמור, ועל כתב אישום שהוגש או שניתן להגישו לבית דין צבאי.</w:t>
      </w:r>
    </w:p>
    <w:p w:rsidR="000D5D2E" w:rsidRDefault="000D5D2E">
      <w:pPr>
        <w:pStyle w:val="P00"/>
        <w:spacing w:before="72"/>
        <w:ind w:left="0" w:right="1134"/>
        <w:rPr>
          <w:rStyle w:val="default"/>
          <w:rFonts w:cs="FrankRuehl" w:hint="cs"/>
          <w:rtl/>
        </w:rPr>
      </w:pPr>
    </w:p>
    <w:p w:rsidR="00D078B6" w:rsidRDefault="00D078B6">
      <w:pPr>
        <w:pStyle w:val="P00"/>
        <w:spacing w:before="72"/>
        <w:ind w:left="0" w:right="1134"/>
        <w:rPr>
          <w:rStyle w:val="default"/>
          <w:rFonts w:cs="FrankRuehl" w:hint="cs"/>
          <w:rtl/>
        </w:rPr>
      </w:pPr>
    </w:p>
    <w:p w:rsidR="003B320F" w:rsidRPr="001B185E" w:rsidRDefault="003B320F" w:rsidP="003B320F">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Fonts w:cs="FrankRuehl" w:hint="cs"/>
          <w:rtl/>
        </w:rPr>
      </w:pPr>
      <w:r>
        <w:rPr>
          <w:rFonts w:cs="FrankRuehl" w:hint="cs"/>
          <w:rtl/>
        </w:rPr>
        <w:tab/>
      </w:r>
      <w:r w:rsidRPr="001B185E">
        <w:rPr>
          <w:rFonts w:cs="FrankRuehl" w:hint="cs"/>
          <w:rtl/>
        </w:rPr>
        <w:tab/>
      </w:r>
      <w:r>
        <w:rPr>
          <w:rFonts w:cs="FrankRuehl" w:hint="cs"/>
          <w:rtl/>
        </w:rPr>
        <w:t>בנימין נתניהו</w:t>
      </w:r>
    </w:p>
    <w:p w:rsidR="003B320F" w:rsidRDefault="003B320F" w:rsidP="003B320F">
      <w:pPr>
        <w:pStyle w:val="sig-0"/>
        <w:tabs>
          <w:tab w:val="clear" w:pos="4820"/>
          <w:tab w:val="center" w:pos="1701"/>
          <w:tab w:val="center" w:pos="3969"/>
          <w:tab w:val="center" w:pos="6237"/>
        </w:tabs>
        <w:spacing w:before="0"/>
        <w:ind w:left="0" w:right="1134"/>
        <w:rPr>
          <w:rFonts w:cs="FrankRuehl" w:hint="cs"/>
          <w:sz w:val="22"/>
          <w:szCs w:val="22"/>
          <w:rtl/>
        </w:rPr>
      </w:pPr>
      <w:r>
        <w:rPr>
          <w:rFonts w:cs="FrankRuehl" w:hint="cs"/>
          <w:sz w:val="22"/>
          <w:szCs w:val="22"/>
          <w:rtl/>
        </w:rPr>
        <w:lastRenderedPageBreak/>
        <w:tab/>
      </w:r>
      <w:r>
        <w:rPr>
          <w:rFonts w:cs="FrankRuehl" w:hint="cs"/>
          <w:sz w:val="22"/>
          <w:szCs w:val="22"/>
          <w:rtl/>
        </w:rPr>
        <w:tab/>
        <w:t>ראש הממשלה</w:t>
      </w:r>
    </w:p>
    <w:p w:rsidR="00D078B6" w:rsidRPr="001B185E" w:rsidRDefault="00D078B6" w:rsidP="003B320F">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Fonts w:cs="FrankRuehl" w:hint="cs"/>
          <w:rtl/>
        </w:rPr>
      </w:pPr>
      <w:r w:rsidRPr="001B185E">
        <w:rPr>
          <w:rFonts w:cs="FrankRuehl" w:hint="cs"/>
          <w:rtl/>
        </w:rPr>
        <w:tab/>
      </w:r>
      <w:r w:rsidR="003B320F">
        <w:rPr>
          <w:rFonts w:cs="FrankRuehl" w:hint="cs"/>
          <w:rtl/>
        </w:rPr>
        <w:t>שמעון פרס</w:t>
      </w:r>
      <w:r w:rsidR="003B320F">
        <w:rPr>
          <w:rFonts w:cs="FrankRuehl" w:hint="cs"/>
          <w:rtl/>
        </w:rPr>
        <w:tab/>
      </w:r>
      <w:r w:rsidR="003B320F">
        <w:rPr>
          <w:rFonts w:cs="FrankRuehl" w:hint="cs"/>
          <w:rtl/>
        </w:rPr>
        <w:tab/>
        <w:t>ראובן ריבלין</w:t>
      </w:r>
    </w:p>
    <w:p w:rsidR="00D078B6" w:rsidRDefault="00D078B6" w:rsidP="003B320F">
      <w:pPr>
        <w:pStyle w:val="sig-0"/>
        <w:tabs>
          <w:tab w:val="clear" w:pos="4820"/>
          <w:tab w:val="center" w:pos="1701"/>
          <w:tab w:val="center" w:pos="3969"/>
          <w:tab w:val="center" w:pos="6237"/>
        </w:tabs>
        <w:spacing w:before="0"/>
        <w:ind w:left="0" w:right="1134"/>
        <w:rPr>
          <w:rFonts w:cs="FrankRuehl" w:hint="cs"/>
          <w:sz w:val="22"/>
          <w:szCs w:val="22"/>
          <w:rtl/>
        </w:rPr>
      </w:pPr>
      <w:r>
        <w:rPr>
          <w:rFonts w:cs="FrankRuehl" w:hint="cs"/>
          <w:sz w:val="22"/>
          <w:szCs w:val="22"/>
          <w:rtl/>
        </w:rPr>
        <w:tab/>
      </w:r>
      <w:r w:rsidR="003B320F">
        <w:rPr>
          <w:rFonts w:cs="FrankRuehl" w:hint="cs"/>
          <w:sz w:val="22"/>
          <w:szCs w:val="22"/>
          <w:rtl/>
        </w:rPr>
        <w:t>נשיא המדינה</w:t>
      </w:r>
      <w:r w:rsidR="003B320F">
        <w:rPr>
          <w:rFonts w:cs="FrankRuehl" w:hint="cs"/>
          <w:sz w:val="22"/>
          <w:szCs w:val="22"/>
          <w:rtl/>
        </w:rPr>
        <w:tab/>
      </w:r>
      <w:r w:rsidR="003B320F">
        <w:rPr>
          <w:rFonts w:cs="FrankRuehl" w:hint="cs"/>
          <w:sz w:val="22"/>
          <w:szCs w:val="22"/>
          <w:rtl/>
        </w:rPr>
        <w:tab/>
        <w:t>יושב ראש הכנסת</w:t>
      </w:r>
    </w:p>
    <w:p w:rsidR="0029686C" w:rsidRDefault="0029686C">
      <w:pPr>
        <w:pStyle w:val="sig-0"/>
        <w:tabs>
          <w:tab w:val="clear" w:pos="4820"/>
          <w:tab w:val="center" w:pos="5670"/>
        </w:tabs>
        <w:ind w:left="0" w:right="1134"/>
        <w:rPr>
          <w:rFonts w:cs="FrankRuehl" w:hint="cs"/>
          <w:sz w:val="26"/>
          <w:rtl/>
        </w:rPr>
      </w:pPr>
    </w:p>
    <w:p w:rsidR="00D078B6" w:rsidRDefault="00D078B6">
      <w:pPr>
        <w:pStyle w:val="sig-0"/>
        <w:tabs>
          <w:tab w:val="clear" w:pos="4820"/>
          <w:tab w:val="center" w:pos="5670"/>
        </w:tabs>
        <w:ind w:left="0" w:right="1134"/>
        <w:rPr>
          <w:rFonts w:cs="FrankRuehl" w:hint="cs"/>
          <w:sz w:val="26"/>
          <w:rtl/>
        </w:rPr>
      </w:pPr>
    </w:p>
    <w:p w:rsidR="0045246B" w:rsidRDefault="0045246B">
      <w:pPr>
        <w:pStyle w:val="sig-0"/>
        <w:ind w:left="0" w:right="1134"/>
        <w:rPr>
          <w:rFonts w:cs="FrankRuehl"/>
          <w:sz w:val="26"/>
          <w:rtl/>
        </w:rPr>
      </w:pPr>
    </w:p>
    <w:p w:rsidR="0045246B" w:rsidRDefault="0045246B">
      <w:pPr>
        <w:pStyle w:val="sig-0"/>
        <w:ind w:left="0" w:right="1134"/>
        <w:rPr>
          <w:rFonts w:cs="FrankRuehl"/>
          <w:sz w:val="26"/>
          <w:rtl/>
        </w:rPr>
      </w:pPr>
    </w:p>
    <w:p w:rsidR="0045246B" w:rsidRDefault="0045246B" w:rsidP="0045246B">
      <w:pPr>
        <w:pStyle w:val="sig-0"/>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rsidR="00D078B6" w:rsidRPr="0045246B" w:rsidRDefault="00D078B6" w:rsidP="0045246B">
      <w:pPr>
        <w:pStyle w:val="sig-0"/>
        <w:ind w:left="0" w:right="1134"/>
        <w:jc w:val="center"/>
        <w:rPr>
          <w:rFonts w:cs="David"/>
          <w:color w:val="0000FF"/>
          <w:sz w:val="26"/>
          <w:szCs w:val="24"/>
          <w:u w:val="single"/>
          <w:rtl/>
        </w:rPr>
      </w:pPr>
    </w:p>
    <w:sectPr w:rsidR="00D078B6" w:rsidRPr="0045246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2CC9" w:rsidRDefault="008D2CC9">
      <w:r>
        <w:separator/>
      </w:r>
    </w:p>
  </w:endnote>
  <w:endnote w:type="continuationSeparator" w:id="0">
    <w:p w:rsidR="008D2CC9" w:rsidRDefault="008D2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78B6" w:rsidRDefault="00D078B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078B6" w:rsidRDefault="00D078B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078B6" w:rsidRDefault="00D078B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5246B">
      <w:rPr>
        <w:rFonts w:cs="TopType Jerushalmi"/>
        <w:noProof/>
        <w:color w:val="000000"/>
        <w:sz w:val="14"/>
        <w:szCs w:val="14"/>
      </w:rPr>
      <w:t>Y:\000000000000-law\yael\10-02-08\tav\500_279.doc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78B6" w:rsidRDefault="00D078B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841B2">
      <w:rPr>
        <w:rFonts w:hAnsi="FrankRuehl" w:cs="FrankRuehl"/>
        <w:noProof/>
        <w:sz w:val="24"/>
        <w:szCs w:val="24"/>
        <w:rtl/>
      </w:rPr>
      <w:t>1</w:t>
    </w:r>
    <w:r>
      <w:rPr>
        <w:rFonts w:hAnsi="FrankRuehl" w:cs="FrankRuehl"/>
        <w:sz w:val="24"/>
        <w:szCs w:val="24"/>
        <w:rtl/>
      </w:rPr>
      <w:fldChar w:fldCharType="end"/>
    </w:r>
  </w:p>
  <w:p w:rsidR="00D078B6" w:rsidRDefault="00D078B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078B6" w:rsidRDefault="00D078B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5246B">
      <w:rPr>
        <w:rFonts w:cs="TopType Jerushalmi"/>
        <w:noProof/>
        <w:color w:val="000000"/>
        <w:sz w:val="14"/>
        <w:szCs w:val="14"/>
      </w:rPr>
      <w:t>Y:\000000000000-law\yael\10-02-08\tav\500_279.doc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2CC9" w:rsidRDefault="008D2CC9">
      <w:r>
        <w:separator/>
      </w:r>
    </w:p>
  </w:footnote>
  <w:footnote w:type="continuationSeparator" w:id="0">
    <w:p w:rsidR="008D2CC9" w:rsidRDefault="008D2CC9">
      <w:r>
        <w:continuationSeparator/>
      </w:r>
    </w:p>
  </w:footnote>
  <w:footnote w:id="1">
    <w:p w:rsidR="00B653A9" w:rsidRDefault="00D078B6" w:rsidP="00B653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29686C">
        <w:rPr>
          <w:rFonts w:cs="FrankRuehl" w:hint="cs"/>
          <w:rtl/>
        </w:rPr>
        <w:t xml:space="preserve"> פורסם</w:t>
      </w:r>
      <w:r>
        <w:rPr>
          <w:rFonts w:cs="FrankRuehl" w:hint="cs"/>
          <w:rtl/>
        </w:rPr>
        <w:t xml:space="preserve"> </w:t>
      </w:r>
      <w:hyperlink r:id="rId1" w:history="1">
        <w:r w:rsidR="0029686C" w:rsidRPr="00B653A9">
          <w:rPr>
            <w:rStyle w:val="Hyperlink"/>
            <w:rFonts w:cs="FrankRuehl" w:hint="cs"/>
            <w:rtl/>
          </w:rPr>
          <w:t>ס"ח</w:t>
        </w:r>
        <w:r w:rsidRPr="00B653A9">
          <w:rPr>
            <w:rStyle w:val="Hyperlink"/>
            <w:rFonts w:cs="FrankRuehl" w:hint="cs"/>
            <w:rtl/>
          </w:rPr>
          <w:t xml:space="preserve"> </w:t>
        </w:r>
        <w:r w:rsidR="001B185E" w:rsidRPr="00B653A9">
          <w:rPr>
            <w:rStyle w:val="Hyperlink"/>
            <w:rFonts w:cs="FrankRuehl" w:hint="cs"/>
            <w:rtl/>
          </w:rPr>
          <w:t>תש"ע</w:t>
        </w:r>
        <w:r w:rsidRPr="00B653A9">
          <w:rPr>
            <w:rStyle w:val="Hyperlink"/>
            <w:rFonts w:cs="FrankRuehl" w:hint="cs"/>
            <w:rtl/>
          </w:rPr>
          <w:t xml:space="preserve"> מס' </w:t>
        </w:r>
        <w:r w:rsidR="0029686C" w:rsidRPr="00B653A9">
          <w:rPr>
            <w:rStyle w:val="Hyperlink"/>
            <w:rFonts w:cs="FrankRuehl" w:hint="cs"/>
            <w:rtl/>
          </w:rPr>
          <w:t>2225</w:t>
        </w:r>
      </w:hyperlink>
      <w:r>
        <w:rPr>
          <w:rFonts w:cs="FrankRuehl" w:hint="cs"/>
          <w:rtl/>
        </w:rPr>
        <w:t xml:space="preserve"> מיום </w:t>
      </w:r>
      <w:r w:rsidR="0029686C">
        <w:rPr>
          <w:rFonts w:cs="FrankRuehl" w:hint="cs"/>
          <w:rtl/>
        </w:rPr>
        <w:t>4</w:t>
      </w:r>
      <w:r w:rsidR="000D5D2E">
        <w:rPr>
          <w:rFonts w:cs="FrankRuehl" w:hint="cs"/>
          <w:rtl/>
        </w:rPr>
        <w:t>.2</w:t>
      </w:r>
      <w:r w:rsidR="001B185E">
        <w:rPr>
          <w:rFonts w:cs="FrankRuehl" w:hint="cs"/>
          <w:rtl/>
        </w:rPr>
        <w:t>.2010</w:t>
      </w:r>
      <w:r>
        <w:rPr>
          <w:rFonts w:cs="FrankRuehl" w:hint="cs"/>
          <w:rtl/>
        </w:rPr>
        <w:t xml:space="preserve"> עמ' </w:t>
      </w:r>
      <w:r w:rsidR="0029686C">
        <w:rPr>
          <w:rFonts w:cs="FrankRuehl" w:hint="cs"/>
          <w:rtl/>
        </w:rPr>
        <w:t>324 (</w:t>
      </w:r>
      <w:hyperlink r:id="rId2" w:history="1">
        <w:r w:rsidR="0029686C" w:rsidRPr="0029686C">
          <w:rPr>
            <w:rStyle w:val="Hyperlink"/>
            <w:rFonts w:cs="FrankRuehl" w:hint="cs"/>
            <w:rtl/>
          </w:rPr>
          <w:t>ה"ח הכנסת תשס"ח מס' 252</w:t>
        </w:r>
      </w:hyperlink>
      <w:r w:rsidR="0029686C">
        <w:rPr>
          <w:rFonts w:cs="FrankRuehl" w:hint="cs"/>
          <w:rtl/>
        </w:rPr>
        <w:t xml:space="preserve"> עמ' 440)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78B6" w:rsidRDefault="00D078B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D078B6" w:rsidRDefault="00D078B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078B6" w:rsidRDefault="00D078B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78B6" w:rsidRDefault="0029686C" w:rsidP="000D5D2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הפסקת הליכים ומחיקת רישומים בעניין תכנית ההתנתקות</w:t>
    </w:r>
    <w:r w:rsidR="001B185E">
      <w:rPr>
        <w:rFonts w:hAnsi="FrankRuehl" w:cs="FrankRuehl" w:hint="cs"/>
        <w:color w:val="000000"/>
        <w:sz w:val="28"/>
        <w:szCs w:val="28"/>
        <w:rtl/>
      </w:rPr>
      <w:t>, תש"ע-2010</w:t>
    </w:r>
  </w:p>
  <w:p w:rsidR="00D078B6" w:rsidRDefault="00D078B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078B6" w:rsidRDefault="00D078B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84681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D5D2E"/>
    <w:rsid w:val="0011633A"/>
    <w:rsid w:val="00123701"/>
    <w:rsid w:val="00126E84"/>
    <w:rsid w:val="001B185E"/>
    <w:rsid w:val="00245AB7"/>
    <w:rsid w:val="0029686C"/>
    <w:rsid w:val="002F2344"/>
    <w:rsid w:val="003B320F"/>
    <w:rsid w:val="0045246B"/>
    <w:rsid w:val="0054777C"/>
    <w:rsid w:val="00553F5E"/>
    <w:rsid w:val="0057007A"/>
    <w:rsid w:val="00575B82"/>
    <w:rsid w:val="00591EFF"/>
    <w:rsid w:val="005E68F9"/>
    <w:rsid w:val="006C4CA1"/>
    <w:rsid w:val="0072675E"/>
    <w:rsid w:val="007841B2"/>
    <w:rsid w:val="007A723A"/>
    <w:rsid w:val="00860895"/>
    <w:rsid w:val="008D2CC9"/>
    <w:rsid w:val="008E793A"/>
    <w:rsid w:val="008F1B18"/>
    <w:rsid w:val="008F5561"/>
    <w:rsid w:val="009865E2"/>
    <w:rsid w:val="009B44D6"/>
    <w:rsid w:val="00A749A5"/>
    <w:rsid w:val="00B653A9"/>
    <w:rsid w:val="00B870DA"/>
    <w:rsid w:val="00BE7C33"/>
    <w:rsid w:val="00C04ED3"/>
    <w:rsid w:val="00D078B6"/>
    <w:rsid w:val="00D21E53"/>
    <w:rsid w:val="00D54050"/>
    <w:rsid w:val="00DC3D1F"/>
    <w:rsid w:val="00E144CE"/>
    <w:rsid w:val="00E35090"/>
    <w:rsid w:val="00E72BC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F17A0DB-C2CC-4BD6-AC46-0FE82A0E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252.pdf" TargetMode="External"/><Relationship Id="rId1" Type="http://schemas.openxmlformats.org/officeDocument/2006/relationships/hyperlink" Target="http://www.nevo.co.il/Law_word/law14/law-22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3337</CharactersWithSpaces>
  <SharedDoc>false</SharedDoc>
  <HLinks>
    <vt:vector size="54"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3342367</vt:i4>
      </vt:variant>
      <vt:variant>
        <vt:i4>3</vt:i4>
      </vt:variant>
      <vt:variant>
        <vt:i4>0</vt:i4>
      </vt:variant>
      <vt:variant>
        <vt:i4>5</vt:i4>
      </vt:variant>
      <vt:variant>
        <vt:lpwstr>http://www.nevo.co.il/Law_word/law16/knesset-252.pdf</vt:lpwstr>
      </vt:variant>
      <vt:variant>
        <vt:lpwstr/>
      </vt:variant>
      <vt:variant>
        <vt:i4>8323086</vt:i4>
      </vt:variant>
      <vt:variant>
        <vt:i4>0</vt:i4>
      </vt:variant>
      <vt:variant>
        <vt:i4>0</vt:i4>
      </vt:variant>
      <vt:variant>
        <vt:i4>5</vt:i4>
      </vt:variant>
      <vt:variant>
        <vt:lpwstr>http://www.nevo.co.il/Law_word/law14/law-2225.pdf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הפסקת הליכים ומחיקת רישומים בעניין תכנית ההתנתקות, תש"ע-2010</vt:lpwstr>
  </property>
  <property fmtid="{D5CDD505-2E9C-101B-9397-08002B2CF9AE}" pid="4" name="LAWNUMBER">
    <vt:lpwstr>0279</vt:lpwstr>
  </property>
  <property fmtid="{D5CDD505-2E9C-101B-9397-08002B2CF9AE}" pid="5" name="TYPE">
    <vt:lpwstr>01</vt:lpwstr>
  </property>
  <property fmtid="{D5CDD505-2E9C-101B-9397-08002B2CF9AE}" pid="6" name="CHNAME">
    <vt:lpwstr>בטחון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http://www.nevo.co.il/Law_word/law14/law-2225.pdf;‎רשומות - ספר חוקים#פורסם ס"ח תש"ע ‏מס' 2225# מיום 4.2.2010 עמ' 324‏</vt:lpwstr>
  </property>
  <property fmtid="{D5CDD505-2E9C-101B-9397-08002B2CF9AE}" pid="23" name="NOSE11">
    <vt:lpwstr>בטחון</vt:lpwstr>
  </property>
  <property fmtid="{D5CDD505-2E9C-101B-9397-08002B2CF9AE}" pid="24" name="NOSE21">
    <vt:lpwstr>תכנית ההתנתקות</vt:lpwstr>
  </property>
  <property fmtid="{D5CDD505-2E9C-101B-9397-08002B2CF9AE}" pid="25" name="NOSE31">
    <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