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9BC2" w14:textId="77777777" w:rsidR="001B2D2D" w:rsidRDefault="001B2D2D" w:rsidP="001B2D2D">
      <w:pPr>
        <w:pStyle w:val="big-header"/>
        <w:ind w:left="0" w:right="1134"/>
        <w:rPr>
          <w:rFonts w:hint="cs"/>
          <w:sz w:val="32"/>
          <w:rtl/>
        </w:rPr>
      </w:pPr>
      <w:r>
        <w:rPr>
          <w:rFonts w:hint="cs"/>
          <w:sz w:val="32"/>
          <w:rtl/>
        </w:rPr>
        <w:t>חוק הפרוצדורה האזרחית העותומני</w:t>
      </w:r>
    </w:p>
    <w:p w14:paraId="7DD76C51" w14:textId="77777777" w:rsidR="00776E6E" w:rsidRDefault="00776E6E" w:rsidP="001B2D2D">
      <w:pPr>
        <w:pStyle w:val="big-header"/>
        <w:ind w:left="0" w:right="1134"/>
      </w:pPr>
      <w:r>
        <w:rPr>
          <w:rtl/>
        </w:rPr>
        <w:t>ב</w:t>
      </w:r>
      <w:r>
        <w:rPr>
          <w:rFonts w:hint="cs"/>
          <w:rtl/>
        </w:rPr>
        <w:t>תי משפט</w:t>
      </w:r>
    </w:p>
    <w:p w14:paraId="4C634F98" w14:textId="77777777" w:rsidR="000A097F" w:rsidRDefault="000A097F" w:rsidP="000A097F">
      <w:pPr>
        <w:spacing w:line="320" w:lineRule="auto"/>
        <w:jc w:val="left"/>
        <w:rPr>
          <w:rtl/>
        </w:rPr>
      </w:pPr>
    </w:p>
    <w:p w14:paraId="18F150EA" w14:textId="77777777" w:rsidR="003D703D" w:rsidRDefault="003D703D" w:rsidP="003D703D">
      <w:pPr>
        <w:spacing w:line="320" w:lineRule="auto"/>
        <w:jc w:val="left"/>
        <w:rPr>
          <w:rtl/>
        </w:rPr>
      </w:pPr>
      <w:bookmarkStart w:id="0" w:name="LawPartStart"/>
    </w:p>
    <w:p w14:paraId="7CB9DA8D" w14:textId="77777777" w:rsidR="003D703D" w:rsidRDefault="003D703D" w:rsidP="003D703D">
      <w:pPr>
        <w:spacing w:line="320" w:lineRule="auto"/>
        <w:jc w:val="left"/>
        <w:rPr>
          <w:rFonts w:cs="FrankRuehl"/>
          <w:szCs w:val="26"/>
          <w:rtl/>
        </w:rPr>
      </w:pPr>
      <w:r w:rsidRPr="003D703D">
        <w:rPr>
          <w:rFonts w:cs="Miriam"/>
          <w:szCs w:val="22"/>
          <w:rtl/>
        </w:rPr>
        <w:t>בתי משפט וסדרי דין</w:t>
      </w:r>
      <w:r w:rsidRPr="003D703D">
        <w:rPr>
          <w:rFonts w:cs="FrankRuehl"/>
          <w:szCs w:val="26"/>
          <w:rtl/>
        </w:rPr>
        <w:t xml:space="preserve"> – סדר דין אזרחי – החוק העותומני – פקודת הפרוצ' האזרחית</w:t>
      </w:r>
    </w:p>
    <w:p w14:paraId="0102403F" w14:textId="77777777" w:rsidR="00776E6E" w:rsidRDefault="003D703D" w:rsidP="003D703D">
      <w:pPr>
        <w:spacing w:line="320" w:lineRule="auto"/>
        <w:jc w:val="left"/>
        <w:rPr>
          <w:rFonts w:cs="FrankRuehl"/>
          <w:szCs w:val="26"/>
        </w:rPr>
      </w:pPr>
      <w:r w:rsidRPr="003D703D">
        <w:rPr>
          <w:rFonts w:cs="Miriam"/>
          <w:szCs w:val="22"/>
          <w:rtl/>
        </w:rPr>
        <w:t>בתי משפט וסדרי דין</w:t>
      </w:r>
      <w:r w:rsidRPr="003D703D">
        <w:rPr>
          <w:rFonts w:cs="FrankRuehl"/>
          <w:szCs w:val="26"/>
          <w:rtl/>
        </w:rPr>
        <w:t xml:space="preserve"> – סדר דין אזרחי</w:t>
      </w:r>
    </w:p>
    <w:p w14:paraId="4E676F74" w14:textId="77777777" w:rsidR="003D703D" w:rsidRPr="003D703D" w:rsidRDefault="003D703D" w:rsidP="003D703D">
      <w:pPr>
        <w:spacing w:line="320" w:lineRule="auto"/>
        <w:jc w:val="left"/>
        <w:rPr>
          <w:rFonts w:cs="Miriam"/>
          <w:szCs w:val="22"/>
          <w:rtl/>
        </w:rPr>
      </w:pPr>
    </w:p>
    <w:bookmarkEnd w:id="0"/>
    <w:p w14:paraId="712B8251" w14:textId="77777777" w:rsidR="00776E6E" w:rsidRDefault="00776E6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ח</w:t>
      </w:r>
      <w:r>
        <w:rPr>
          <w:rFonts w:hint="cs"/>
          <w:rtl/>
        </w:rPr>
        <w:t>וק הפרוצדורה האזרחית העותומני</w:t>
      </w:r>
      <w:r w:rsidR="00DD5CCD">
        <w:rPr>
          <w:rStyle w:val="a6"/>
          <w:rtl/>
        </w:rPr>
        <w:footnoteReference w:customMarkFollows="1" w:id="1"/>
        <w:t>*</w:t>
      </w:r>
    </w:p>
    <w:p w14:paraId="2D33462D" w14:textId="77777777" w:rsidR="00776E6E" w:rsidRDefault="00776E6E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ב</w:t>
      </w:r>
      <w:r>
        <w:rPr>
          <w:rFonts w:hint="cs"/>
          <w:rtl/>
        </w:rPr>
        <w:t>תרגום מר מ. לניאדו, עורך-דין, ובהרשאת</w:t>
      </w:r>
      <w:r w:rsidR="00DD5CCD">
        <w:rPr>
          <w:rFonts w:hint="cs"/>
          <w:rtl/>
        </w:rPr>
        <w:t>ו</w:t>
      </w:r>
    </w:p>
    <w:p w14:paraId="231803CB" w14:textId="77777777" w:rsidR="00776E6E" w:rsidRDefault="00776E6E" w:rsidP="00DD5C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tl/>
        </w:rPr>
        <w:t>80.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ביעות הנוגעות להתחייבויות וחוזים או לשותפות, למוכסנות</w:t>
      </w:r>
      <w:r w:rsidR="00DD5CCD">
        <w:rPr>
          <w:rStyle w:val="a6"/>
          <w:rtl/>
        </w:rPr>
        <w:footnoteReference w:id="2"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להלוואות שעל פי הרגיל והנהוג הם נעשים במסמך בכתב, והעולות על עשר לירות, צריך להוכיח במסמך בכתב.</w:t>
      </w:r>
    </w:p>
    <w:p w14:paraId="6B56353F" w14:textId="77777777" w:rsidR="00776E6E" w:rsidRDefault="00776E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ענה ותביעה נגד מסמך בכתב בנוגע ל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ברים האמורים, אף אם איננה עולה על עשר לירות, צריך להוכיח במסמך בכתב או ע"י הודאתו או פנקסו של הנתבע.</w:t>
      </w:r>
    </w:p>
    <w:p w14:paraId="65459C0F" w14:textId="77777777" w:rsidR="00776E6E" w:rsidRDefault="00776E6E" w:rsidP="00DD5C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tl/>
        </w:rPr>
        <w:t>81.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כלל שנקבע בסעיף 80 נוהג אף במקרה שהסכום העולה על עשר לירות הוא תוצאה מהוספת הריבית על הקרן, או מחיבור סכומי תביעה אחרים.</w:t>
      </w:r>
    </w:p>
    <w:p w14:paraId="3A80D420" w14:textId="77777777" w:rsidR="00776E6E" w:rsidRDefault="00776E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tl/>
        </w:rPr>
        <w:t>82.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הסעיף 80 לא ת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יינה חלות במקרים הבאים שבהם אפשר להוכיח את התביעה ע"י עדים, ואלה הם:</w:t>
      </w:r>
    </w:p>
    <w:p w14:paraId="7B569FF2" w14:textId="77777777" w:rsidR="00DD5CCD" w:rsidRDefault="00DD5CCD" w:rsidP="00DD5CC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בפעולות שבין הבעל והאשה והקרובים במדרגה יורדת ועולה, בין האחים והאחיות וביניהם, או בין האב והאם, ואחות האב והאם והחותן והחותנת.</w:t>
      </w:r>
    </w:p>
    <w:p w14:paraId="4542FC54" w14:textId="77777777" w:rsidR="00DD5CCD" w:rsidRDefault="00DD5CCD" w:rsidP="00DD5CC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בתביעות שמן הנמנע היה לסדר בהם שטר מסיבת כוח מכריע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מסיבות אחרות מקובלות עפ"י החוק.</w:t>
      </w:r>
    </w:p>
    <w:p w14:paraId="35D6EE45" w14:textId="77777777" w:rsidR="00DD5CCD" w:rsidRDefault="00DD5CCD" w:rsidP="00DD5CC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בתביעות שנעשה בהן שטר ונאבד, מבלי צדיית הנושה.</w:t>
      </w:r>
    </w:p>
    <w:p w14:paraId="117F990C" w14:textId="77777777" w:rsidR="00DD5CCD" w:rsidRDefault="00DD5CCD" w:rsidP="00DD5CC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בתביעות שבין שני מתקשרים הנמצאים בכפר שאין בו מי שיודע לכתוב שטר.</w:t>
      </w:r>
    </w:p>
    <w:p w14:paraId="671F1BE0" w14:textId="77777777" w:rsidR="00DD5CCD" w:rsidRDefault="00DD5C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7D5B42" w14:textId="77777777" w:rsidR="00DD5CCD" w:rsidRDefault="00DD5CC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22C89E" w14:textId="77777777" w:rsidR="00776E6E" w:rsidRPr="00DD5CCD" w:rsidRDefault="00776E6E" w:rsidP="00DD5C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C7746D8" w14:textId="77777777" w:rsidR="00776E6E" w:rsidRPr="00DD5CCD" w:rsidRDefault="00776E6E" w:rsidP="00DD5CC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76E6E" w:rsidRPr="00DD5CC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7EBF" w14:textId="77777777" w:rsidR="00286947" w:rsidRDefault="00286947">
      <w:r>
        <w:separator/>
      </w:r>
    </w:p>
  </w:endnote>
  <w:endnote w:type="continuationSeparator" w:id="0">
    <w:p w14:paraId="5D3E277F" w14:textId="77777777" w:rsidR="00286947" w:rsidRDefault="0028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08E1" w14:textId="77777777" w:rsidR="001B2D2D" w:rsidRDefault="001B2D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558D82" w14:textId="77777777" w:rsidR="001B2D2D" w:rsidRDefault="001B2D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22921C" w14:textId="77777777" w:rsidR="001B2D2D" w:rsidRDefault="001B2D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D:\Yael\hakika\Revadim\055_072.doc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FB52" w14:textId="77777777" w:rsidR="001B2D2D" w:rsidRDefault="001B2D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703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F334E1" w14:textId="77777777" w:rsidR="001B2D2D" w:rsidRDefault="001B2D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408F80" w14:textId="77777777" w:rsidR="001B2D2D" w:rsidRDefault="001B2D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D:\Yael\hakika\Revadim\055_072.doc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803E" w14:textId="77777777" w:rsidR="00286947" w:rsidRDefault="00286947" w:rsidP="00DD5CC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235371" w14:textId="77777777" w:rsidR="00286947" w:rsidRDefault="00286947">
      <w:r>
        <w:continuationSeparator/>
      </w:r>
    </w:p>
  </w:footnote>
  <w:footnote w:id="1">
    <w:p w14:paraId="13B1F78B" w14:textId="77777777" w:rsidR="001B2D2D" w:rsidRDefault="001B2D2D" w:rsidP="00DD5C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DD5CCD">
        <w:rPr>
          <w:sz w:val="20"/>
          <w:rtl/>
        </w:rPr>
        <w:t xml:space="preserve">* 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יום 2 לחודש רג'ב 1296 (1879).</w:t>
      </w:r>
    </w:p>
    <w:p w14:paraId="2D723E67" w14:textId="77777777" w:rsidR="001B2D2D" w:rsidRPr="00DD5CCD" w:rsidRDefault="001B2D2D" w:rsidP="00DD5C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>רק סעיפי הפקודה שעדיין בתוקף מוצגים.</w:t>
      </w:r>
    </w:p>
  </w:footnote>
  <w:footnote w:id="2">
    <w:p w14:paraId="12D0C405" w14:textId="77777777" w:rsidR="001B2D2D" w:rsidRDefault="001B2D2D" w:rsidP="006C5DD7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DD5CCD">
        <w:rPr>
          <w:rFonts w:cs="FrankRuehl"/>
          <w:sz w:val="22"/>
          <w:szCs w:val="22"/>
          <w:rtl/>
        </w:rPr>
        <w:t xml:space="preserve"> פ</w:t>
      </w:r>
      <w:r w:rsidRPr="00DD5CCD">
        <w:rPr>
          <w:rFonts w:cs="FrankRuehl" w:hint="cs"/>
          <w:sz w:val="22"/>
          <w:szCs w:val="22"/>
          <w:rtl/>
        </w:rPr>
        <w:t xml:space="preserve">ירוש המלה היא "חכירת מסים". המלה עומדת במקום "קבלנות" שבתרגום מר </w:t>
      </w:r>
      <w:r>
        <w:rPr>
          <w:rFonts w:cs="FrankRuehl" w:hint="cs"/>
          <w:sz w:val="22"/>
          <w:szCs w:val="22"/>
          <w:rtl/>
        </w:rPr>
        <w:t>לניאדו, "שכירות" בתרגומים אחרים</w:t>
      </w:r>
      <w:r w:rsidRPr="00DD5CCD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>(</w:t>
      </w:r>
      <w:r w:rsidRPr="00DD5CCD">
        <w:rPr>
          <w:rFonts w:cs="FrankRuehl" w:hint="cs"/>
          <w:sz w:val="22"/>
          <w:szCs w:val="22"/>
          <w:rtl/>
        </w:rPr>
        <w:t>ר</w:t>
      </w:r>
      <w:r>
        <w:rPr>
          <w:rFonts w:cs="FrankRuehl" w:hint="cs"/>
          <w:sz w:val="22"/>
          <w:szCs w:val="22"/>
          <w:rtl/>
        </w:rPr>
        <w:t>'</w:t>
      </w:r>
      <w:r w:rsidRPr="00DD5CCD">
        <w:rPr>
          <w:rFonts w:cs="FrankRuehl" w:hint="cs"/>
          <w:sz w:val="22"/>
          <w:szCs w:val="22"/>
          <w:rtl/>
        </w:rPr>
        <w:t xml:space="preserve"> ע"א</w:t>
      </w:r>
      <w:r>
        <w:rPr>
          <w:rFonts w:cs="FrankRuehl" w:hint="cs"/>
          <w:sz w:val="22"/>
          <w:szCs w:val="22"/>
          <w:rtl/>
        </w:rPr>
        <w:t xml:space="preserve"> 230/52, 11/53</w:t>
      </w:r>
      <w:r w:rsidRPr="00DD5CCD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cs"/>
          <w:b/>
          <w:bCs/>
          <w:sz w:val="22"/>
          <w:szCs w:val="22"/>
          <w:rtl/>
        </w:rPr>
        <w:t>צוויג-קטינקה</w:t>
      </w:r>
      <w:r>
        <w:rPr>
          <w:rFonts w:cs="FrankRuehl" w:hint="cs"/>
          <w:sz w:val="22"/>
          <w:szCs w:val="22"/>
          <w:rtl/>
        </w:rPr>
        <w:t xml:space="preserve"> נ' </w:t>
      </w:r>
      <w:r>
        <w:rPr>
          <w:rFonts w:cs="FrankRuehl" w:hint="cs"/>
          <w:b/>
          <w:bCs/>
          <w:sz w:val="22"/>
          <w:szCs w:val="22"/>
          <w:rtl/>
        </w:rPr>
        <w:t>בונדי</w:t>
      </w:r>
      <w:r>
        <w:rPr>
          <w:rFonts w:cs="FrankRuehl" w:hint="cs"/>
          <w:sz w:val="22"/>
          <w:szCs w:val="22"/>
          <w:rtl/>
        </w:rPr>
        <w:t>,</w:t>
      </w:r>
      <w:r w:rsidRPr="00DD5CCD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>פ"ד</w:t>
      </w:r>
      <w:r w:rsidRPr="00DD5CCD">
        <w:rPr>
          <w:rFonts w:cs="FrankRuehl" w:hint="cs"/>
          <w:sz w:val="22"/>
          <w:szCs w:val="22"/>
          <w:rtl/>
        </w:rPr>
        <w:t xml:space="preserve"> ט </w:t>
      </w:r>
      <w:r>
        <w:rPr>
          <w:rFonts w:cs="FrankRuehl" w:hint="cs"/>
          <w:sz w:val="22"/>
          <w:szCs w:val="22"/>
          <w:rtl/>
        </w:rPr>
        <w:t>959, 971, 972)</w:t>
      </w:r>
      <w:r w:rsidRPr="00DD5CCD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02CF" w14:textId="77777777" w:rsidR="001B2D2D" w:rsidRDefault="001B2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הפרוצדורה האזרחית העותומני</w:t>
    </w:r>
  </w:p>
  <w:p w14:paraId="467AAFBE" w14:textId="77777777" w:rsidR="001B2D2D" w:rsidRDefault="001B2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B4DF1E" w14:textId="77777777" w:rsidR="001B2D2D" w:rsidRDefault="001B2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F63D" w14:textId="77777777" w:rsidR="001B2D2D" w:rsidRDefault="001B2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הפרוצדורה האזרחית העותומני</w:t>
    </w:r>
  </w:p>
  <w:p w14:paraId="6C9D2EAA" w14:textId="77777777" w:rsidR="001B2D2D" w:rsidRDefault="001B2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142BEA" w14:textId="77777777" w:rsidR="001B2D2D" w:rsidRDefault="001B2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5CCD"/>
    <w:rsid w:val="00064770"/>
    <w:rsid w:val="000A097F"/>
    <w:rsid w:val="001B2D2D"/>
    <w:rsid w:val="00286947"/>
    <w:rsid w:val="002B0F27"/>
    <w:rsid w:val="002F2797"/>
    <w:rsid w:val="003D703D"/>
    <w:rsid w:val="005B74C2"/>
    <w:rsid w:val="006C5DD7"/>
    <w:rsid w:val="00776E6E"/>
    <w:rsid w:val="00DD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DBD98C"/>
  <w15:chartTrackingRefBased/>
  <w15:docId w15:val="{03B06E9A-F8AF-4747-A5D6-DA53800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semiHidden/>
    <w:rsid w:val="00DD5CCD"/>
    <w:rPr>
      <w:sz w:val="20"/>
      <w:szCs w:val="20"/>
    </w:rPr>
  </w:style>
  <w:style w:type="character" w:styleId="a6">
    <w:name w:val="footnote reference"/>
    <w:basedOn w:val="a0"/>
    <w:semiHidden/>
    <w:rsid w:val="00DD5CCD"/>
    <w:rPr>
      <w:vertAlign w:val="superscript"/>
    </w:rPr>
  </w:style>
  <w:style w:type="character" w:styleId="Hyperlink">
    <w:name w:val="Hyperlink"/>
    <w:basedOn w:val="a0"/>
    <w:rsid w:val="001B2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Shimon Doodkin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חוק הפרוצדורה האזרחית העותומני</vt:lpwstr>
  </property>
  <property fmtid="{D5CDD505-2E9C-101B-9397-08002B2CF9AE}" pid="5" name="LAWNUMBER">
    <vt:lpwstr>0072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אזרחי</vt:lpwstr>
  </property>
  <property fmtid="{D5CDD505-2E9C-101B-9397-08002B2CF9AE}" pid="9" name="NOSE31">
    <vt:lpwstr>החוק העותומני</vt:lpwstr>
  </property>
  <property fmtid="{D5CDD505-2E9C-101B-9397-08002B2CF9AE}" pid="10" name="NOSE41">
    <vt:lpwstr>פקודת הפרוצ' האזרחית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אזרחי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