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6A2B" w14:textId="77777777" w:rsidR="00812F6F" w:rsidRDefault="00812F6F">
      <w:pPr>
        <w:pStyle w:val="big-header"/>
        <w:ind w:left="0" w:right="1134"/>
        <w:rPr>
          <w:rFonts w:cs="FrankRuehl" w:hint="cs"/>
          <w:sz w:val="32"/>
          <w:rtl/>
        </w:rPr>
      </w:pPr>
      <w:r>
        <w:rPr>
          <w:rFonts w:cs="FrankRuehl"/>
          <w:sz w:val="32"/>
          <w:rtl/>
        </w:rPr>
        <w:t>חוק הצהרות מוות, תשל"ח</w:t>
      </w:r>
      <w:r>
        <w:rPr>
          <w:rFonts w:cs="FrankRuehl" w:hint="cs"/>
          <w:sz w:val="32"/>
          <w:rtl/>
        </w:rPr>
        <w:t>-</w:t>
      </w:r>
      <w:r>
        <w:rPr>
          <w:rFonts w:cs="FrankRuehl"/>
          <w:sz w:val="32"/>
          <w:rtl/>
        </w:rPr>
        <w:t>1978</w:t>
      </w:r>
    </w:p>
    <w:p w14:paraId="5CC3A8BE" w14:textId="77777777" w:rsidR="00EE7A01" w:rsidRDefault="00EE7A01" w:rsidP="00EE7A01">
      <w:pPr>
        <w:spacing w:line="320" w:lineRule="auto"/>
        <w:jc w:val="left"/>
        <w:rPr>
          <w:rFonts w:hint="cs"/>
          <w:rtl/>
        </w:rPr>
      </w:pPr>
    </w:p>
    <w:p w14:paraId="592D78E9" w14:textId="77777777" w:rsidR="0049142F" w:rsidRDefault="0049142F" w:rsidP="00EE7A01">
      <w:pPr>
        <w:spacing w:line="320" w:lineRule="auto"/>
        <w:jc w:val="left"/>
        <w:rPr>
          <w:rFonts w:hint="cs"/>
          <w:rtl/>
        </w:rPr>
      </w:pPr>
    </w:p>
    <w:p w14:paraId="40845C7C" w14:textId="77777777" w:rsidR="00563BB8" w:rsidRPr="00EE7A01" w:rsidRDefault="00EE7A01" w:rsidP="00EE7A01">
      <w:pPr>
        <w:spacing w:line="320" w:lineRule="auto"/>
        <w:jc w:val="left"/>
        <w:rPr>
          <w:rFonts w:cs="Miriam"/>
          <w:szCs w:val="22"/>
          <w:rtl/>
        </w:rPr>
      </w:pPr>
      <w:r w:rsidRPr="00EE7A01">
        <w:rPr>
          <w:rFonts w:cs="Miriam"/>
          <w:szCs w:val="22"/>
          <w:rtl/>
        </w:rPr>
        <w:t>בריאות</w:t>
      </w:r>
      <w:r w:rsidRPr="00EE7A01">
        <w:rPr>
          <w:rFonts w:cs="FrankRuehl"/>
          <w:szCs w:val="26"/>
          <w:rtl/>
        </w:rPr>
        <w:t xml:space="preserve"> – מוות – הצהרות מוות</w:t>
      </w:r>
    </w:p>
    <w:p w14:paraId="30DCD2B8" w14:textId="77777777" w:rsidR="00812F6F" w:rsidRDefault="00812F6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12F6F" w14:paraId="6050D081" w14:textId="77777777">
        <w:tblPrEx>
          <w:tblCellMar>
            <w:top w:w="0" w:type="dxa"/>
            <w:bottom w:w="0" w:type="dxa"/>
          </w:tblCellMar>
        </w:tblPrEx>
        <w:tc>
          <w:tcPr>
            <w:tcW w:w="850" w:type="dxa"/>
          </w:tcPr>
          <w:p w14:paraId="228CB63C"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B37EA07" w14:textId="77777777" w:rsidR="00812F6F" w:rsidRDefault="00812F6F">
            <w:pPr>
              <w:spacing w:line="240" w:lineRule="auto"/>
              <w:rPr>
                <w:sz w:val="24"/>
              </w:rPr>
            </w:pPr>
            <w:hyperlink w:anchor="Seif0" w:tooltip="פרשנות" w:history="1">
              <w:r>
                <w:rPr>
                  <w:rStyle w:val="Hyperlink"/>
                </w:rPr>
                <w:t>Go</w:t>
              </w:r>
            </w:hyperlink>
          </w:p>
        </w:tc>
        <w:tc>
          <w:tcPr>
            <w:tcW w:w="5669" w:type="dxa"/>
          </w:tcPr>
          <w:p w14:paraId="7B19B3EE" w14:textId="77777777" w:rsidR="00812F6F" w:rsidRDefault="00812F6F">
            <w:pPr>
              <w:spacing w:line="240" w:lineRule="auto"/>
              <w:rPr>
                <w:sz w:val="24"/>
                <w:rtl/>
              </w:rPr>
            </w:pPr>
            <w:r>
              <w:rPr>
                <w:sz w:val="24"/>
                <w:rtl/>
              </w:rPr>
              <w:t>פרשנות</w:t>
            </w:r>
          </w:p>
        </w:tc>
        <w:tc>
          <w:tcPr>
            <w:tcW w:w="1247" w:type="dxa"/>
          </w:tcPr>
          <w:p w14:paraId="2418A3CE" w14:textId="77777777" w:rsidR="00812F6F" w:rsidRDefault="00812F6F">
            <w:pPr>
              <w:spacing w:line="240" w:lineRule="auto"/>
              <w:rPr>
                <w:sz w:val="24"/>
              </w:rPr>
            </w:pPr>
            <w:r>
              <w:rPr>
                <w:sz w:val="24"/>
                <w:rtl/>
              </w:rPr>
              <w:t xml:space="preserve">סעיף 1 </w:t>
            </w:r>
          </w:p>
        </w:tc>
      </w:tr>
      <w:tr w:rsidR="00812F6F" w14:paraId="26B62B16" w14:textId="77777777">
        <w:tblPrEx>
          <w:tblCellMar>
            <w:top w:w="0" w:type="dxa"/>
            <w:bottom w:w="0" w:type="dxa"/>
          </w:tblCellMar>
        </w:tblPrEx>
        <w:tc>
          <w:tcPr>
            <w:tcW w:w="850" w:type="dxa"/>
          </w:tcPr>
          <w:p w14:paraId="175BC752"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6FA6231" w14:textId="77777777" w:rsidR="00812F6F" w:rsidRDefault="00812F6F">
            <w:pPr>
              <w:spacing w:line="240" w:lineRule="auto"/>
              <w:rPr>
                <w:sz w:val="24"/>
              </w:rPr>
            </w:pPr>
            <w:hyperlink w:anchor="Seif1" w:tooltip="הצהרה על מוות חוק תשנא 1991" w:history="1">
              <w:r>
                <w:rPr>
                  <w:rStyle w:val="Hyperlink"/>
                </w:rPr>
                <w:t>Go</w:t>
              </w:r>
            </w:hyperlink>
          </w:p>
        </w:tc>
        <w:tc>
          <w:tcPr>
            <w:tcW w:w="5669" w:type="dxa"/>
          </w:tcPr>
          <w:p w14:paraId="3E95BDA1" w14:textId="77777777" w:rsidR="00812F6F" w:rsidRDefault="00812F6F">
            <w:pPr>
              <w:spacing w:line="240" w:lineRule="auto"/>
              <w:rPr>
                <w:rFonts w:hint="cs"/>
                <w:sz w:val="24"/>
                <w:rtl/>
              </w:rPr>
            </w:pPr>
            <w:r>
              <w:rPr>
                <w:sz w:val="24"/>
                <w:rtl/>
              </w:rPr>
              <w:t>הצהרה על מוות</w:t>
            </w:r>
          </w:p>
        </w:tc>
        <w:tc>
          <w:tcPr>
            <w:tcW w:w="1247" w:type="dxa"/>
          </w:tcPr>
          <w:p w14:paraId="11989C70" w14:textId="77777777" w:rsidR="00812F6F" w:rsidRDefault="00812F6F">
            <w:pPr>
              <w:spacing w:line="240" w:lineRule="auto"/>
              <w:rPr>
                <w:sz w:val="24"/>
              </w:rPr>
            </w:pPr>
            <w:r>
              <w:rPr>
                <w:sz w:val="24"/>
                <w:rtl/>
              </w:rPr>
              <w:t xml:space="preserve">סעיף 2 </w:t>
            </w:r>
          </w:p>
        </w:tc>
      </w:tr>
      <w:tr w:rsidR="00812F6F" w14:paraId="779E2D63" w14:textId="77777777">
        <w:tblPrEx>
          <w:tblCellMar>
            <w:top w:w="0" w:type="dxa"/>
            <w:bottom w:w="0" w:type="dxa"/>
          </w:tblCellMar>
        </w:tblPrEx>
        <w:tc>
          <w:tcPr>
            <w:tcW w:w="850" w:type="dxa"/>
          </w:tcPr>
          <w:p w14:paraId="359FBFE3"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C913996" w14:textId="77777777" w:rsidR="00812F6F" w:rsidRDefault="00812F6F">
            <w:pPr>
              <w:spacing w:line="240" w:lineRule="auto"/>
              <w:rPr>
                <w:sz w:val="24"/>
              </w:rPr>
            </w:pPr>
            <w:hyperlink w:anchor="Seif2" w:tooltip="זמן המוות" w:history="1">
              <w:r>
                <w:rPr>
                  <w:rStyle w:val="Hyperlink"/>
                </w:rPr>
                <w:t>Go</w:t>
              </w:r>
            </w:hyperlink>
          </w:p>
        </w:tc>
        <w:tc>
          <w:tcPr>
            <w:tcW w:w="5669" w:type="dxa"/>
          </w:tcPr>
          <w:p w14:paraId="7A5B0C53" w14:textId="77777777" w:rsidR="00812F6F" w:rsidRDefault="00812F6F">
            <w:pPr>
              <w:spacing w:line="240" w:lineRule="auto"/>
              <w:rPr>
                <w:sz w:val="24"/>
                <w:rtl/>
              </w:rPr>
            </w:pPr>
            <w:r>
              <w:rPr>
                <w:sz w:val="24"/>
                <w:rtl/>
              </w:rPr>
              <w:t>זמן המוות</w:t>
            </w:r>
          </w:p>
        </w:tc>
        <w:tc>
          <w:tcPr>
            <w:tcW w:w="1247" w:type="dxa"/>
          </w:tcPr>
          <w:p w14:paraId="11F4CE62" w14:textId="77777777" w:rsidR="00812F6F" w:rsidRDefault="00812F6F">
            <w:pPr>
              <w:spacing w:line="240" w:lineRule="auto"/>
              <w:rPr>
                <w:sz w:val="24"/>
              </w:rPr>
            </w:pPr>
            <w:r>
              <w:rPr>
                <w:sz w:val="24"/>
                <w:rtl/>
              </w:rPr>
              <w:t xml:space="preserve">סעיף 3 </w:t>
            </w:r>
          </w:p>
        </w:tc>
      </w:tr>
      <w:tr w:rsidR="00812F6F" w14:paraId="14A15786" w14:textId="77777777">
        <w:tblPrEx>
          <w:tblCellMar>
            <w:top w:w="0" w:type="dxa"/>
            <w:bottom w:w="0" w:type="dxa"/>
          </w:tblCellMar>
        </w:tblPrEx>
        <w:tc>
          <w:tcPr>
            <w:tcW w:w="850" w:type="dxa"/>
          </w:tcPr>
          <w:p w14:paraId="0A401A1E"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8369AC8" w14:textId="77777777" w:rsidR="00812F6F" w:rsidRDefault="00812F6F">
            <w:pPr>
              <w:spacing w:line="240" w:lineRule="auto"/>
              <w:rPr>
                <w:sz w:val="24"/>
              </w:rPr>
            </w:pPr>
            <w:hyperlink w:anchor="Seif3" w:tooltip="תיקון הצהרת מוות או ביטולה" w:history="1">
              <w:r>
                <w:rPr>
                  <w:rStyle w:val="Hyperlink"/>
                </w:rPr>
                <w:t>Go</w:t>
              </w:r>
            </w:hyperlink>
          </w:p>
        </w:tc>
        <w:tc>
          <w:tcPr>
            <w:tcW w:w="5669" w:type="dxa"/>
          </w:tcPr>
          <w:p w14:paraId="41DCD91A" w14:textId="77777777" w:rsidR="00812F6F" w:rsidRDefault="00812F6F">
            <w:pPr>
              <w:spacing w:line="240" w:lineRule="auto"/>
              <w:rPr>
                <w:sz w:val="24"/>
                <w:rtl/>
              </w:rPr>
            </w:pPr>
            <w:r>
              <w:rPr>
                <w:sz w:val="24"/>
                <w:rtl/>
              </w:rPr>
              <w:t>תיקון הצהרת מוות או ביטולה</w:t>
            </w:r>
          </w:p>
        </w:tc>
        <w:tc>
          <w:tcPr>
            <w:tcW w:w="1247" w:type="dxa"/>
          </w:tcPr>
          <w:p w14:paraId="50818A3E" w14:textId="77777777" w:rsidR="00812F6F" w:rsidRDefault="00812F6F">
            <w:pPr>
              <w:spacing w:line="240" w:lineRule="auto"/>
              <w:rPr>
                <w:sz w:val="24"/>
              </w:rPr>
            </w:pPr>
            <w:r>
              <w:rPr>
                <w:sz w:val="24"/>
                <w:rtl/>
              </w:rPr>
              <w:t xml:space="preserve">סעיף 4 </w:t>
            </w:r>
          </w:p>
        </w:tc>
      </w:tr>
      <w:tr w:rsidR="00812F6F" w14:paraId="1A063EAE" w14:textId="77777777">
        <w:tblPrEx>
          <w:tblCellMar>
            <w:top w:w="0" w:type="dxa"/>
            <w:bottom w:w="0" w:type="dxa"/>
          </w:tblCellMar>
        </w:tblPrEx>
        <w:tc>
          <w:tcPr>
            <w:tcW w:w="850" w:type="dxa"/>
          </w:tcPr>
          <w:p w14:paraId="0CA771D8"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EC72DDC" w14:textId="77777777" w:rsidR="00812F6F" w:rsidRDefault="00812F6F">
            <w:pPr>
              <w:spacing w:line="240" w:lineRule="auto"/>
              <w:rPr>
                <w:sz w:val="24"/>
              </w:rPr>
            </w:pPr>
            <w:hyperlink w:anchor="Seif4" w:tooltip="ראיות" w:history="1">
              <w:r>
                <w:rPr>
                  <w:rStyle w:val="Hyperlink"/>
                </w:rPr>
                <w:t>Go</w:t>
              </w:r>
            </w:hyperlink>
          </w:p>
        </w:tc>
        <w:tc>
          <w:tcPr>
            <w:tcW w:w="5669" w:type="dxa"/>
          </w:tcPr>
          <w:p w14:paraId="0A3701DB" w14:textId="77777777" w:rsidR="00812F6F" w:rsidRDefault="00812F6F">
            <w:pPr>
              <w:spacing w:line="240" w:lineRule="auto"/>
              <w:rPr>
                <w:sz w:val="24"/>
                <w:rtl/>
              </w:rPr>
            </w:pPr>
            <w:r>
              <w:rPr>
                <w:sz w:val="24"/>
                <w:rtl/>
              </w:rPr>
              <w:t>ראיות</w:t>
            </w:r>
          </w:p>
        </w:tc>
        <w:tc>
          <w:tcPr>
            <w:tcW w:w="1247" w:type="dxa"/>
          </w:tcPr>
          <w:p w14:paraId="7B4ED31F" w14:textId="77777777" w:rsidR="00812F6F" w:rsidRDefault="00812F6F">
            <w:pPr>
              <w:spacing w:line="240" w:lineRule="auto"/>
              <w:rPr>
                <w:sz w:val="24"/>
              </w:rPr>
            </w:pPr>
            <w:r>
              <w:rPr>
                <w:sz w:val="24"/>
                <w:rtl/>
              </w:rPr>
              <w:t xml:space="preserve">סעיף 5 </w:t>
            </w:r>
          </w:p>
        </w:tc>
      </w:tr>
      <w:tr w:rsidR="00812F6F" w14:paraId="1EE7B7B1" w14:textId="77777777">
        <w:tblPrEx>
          <w:tblCellMar>
            <w:top w:w="0" w:type="dxa"/>
            <w:bottom w:w="0" w:type="dxa"/>
          </w:tblCellMar>
        </w:tblPrEx>
        <w:tc>
          <w:tcPr>
            <w:tcW w:w="850" w:type="dxa"/>
          </w:tcPr>
          <w:p w14:paraId="7C9F5AC5"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86A354D" w14:textId="77777777" w:rsidR="00812F6F" w:rsidRDefault="00812F6F">
            <w:pPr>
              <w:spacing w:line="240" w:lineRule="auto"/>
              <w:rPr>
                <w:sz w:val="24"/>
              </w:rPr>
            </w:pPr>
            <w:hyperlink w:anchor="Seif5" w:tooltip="הצהרת מוות לא תפגע בדיני נישואין" w:history="1">
              <w:r>
                <w:rPr>
                  <w:rStyle w:val="Hyperlink"/>
                </w:rPr>
                <w:t>Go</w:t>
              </w:r>
            </w:hyperlink>
          </w:p>
        </w:tc>
        <w:tc>
          <w:tcPr>
            <w:tcW w:w="5669" w:type="dxa"/>
          </w:tcPr>
          <w:p w14:paraId="6D8B76A7" w14:textId="77777777" w:rsidR="00812F6F" w:rsidRDefault="00812F6F">
            <w:pPr>
              <w:spacing w:line="240" w:lineRule="auto"/>
              <w:rPr>
                <w:sz w:val="24"/>
                <w:rtl/>
              </w:rPr>
            </w:pPr>
            <w:r>
              <w:rPr>
                <w:sz w:val="24"/>
                <w:rtl/>
              </w:rPr>
              <w:t>הצהרת מוות לא תפגע בדיני נישואין</w:t>
            </w:r>
          </w:p>
        </w:tc>
        <w:tc>
          <w:tcPr>
            <w:tcW w:w="1247" w:type="dxa"/>
          </w:tcPr>
          <w:p w14:paraId="1A53E0E7" w14:textId="77777777" w:rsidR="00812F6F" w:rsidRDefault="00812F6F">
            <w:pPr>
              <w:spacing w:line="240" w:lineRule="auto"/>
              <w:rPr>
                <w:sz w:val="24"/>
              </w:rPr>
            </w:pPr>
            <w:r>
              <w:rPr>
                <w:sz w:val="24"/>
                <w:rtl/>
              </w:rPr>
              <w:t xml:space="preserve">סעיף 6 </w:t>
            </w:r>
          </w:p>
        </w:tc>
      </w:tr>
      <w:tr w:rsidR="00812F6F" w14:paraId="19554FBA" w14:textId="77777777">
        <w:tblPrEx>
          <w:tblCellMar>
            <w:top w:w="0" w:type="dxa"/>
            <w:bottom w:w="0" w:type="dxa"/>
          </w:tblCellMar>
        </w:tblPrEx>
        <w:tc>
          <w:tcPr>
            <w:tcW w:w="850" w:type="dxa"/>
          </w:tcPr>
          <w:p w14:paraId="3A7EB680"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A2C24FE" w14:textId="77777777" w:rsidR="00812F6F" w:rsidRDefault="00812F6F">
            <w:pPr>
              <w:spacing w:line="240" w:lineRule="auto"/>
              <w:rPr>
                <w:sz w:val="24"/>
              </w:rPr>
            </w:pPr>
            <w:hyperlink w:anchor="Seif6" w:tooltip="דין הצהרות חוץ" w:history="1">
              <w:r>
                <w:rPr>
                  <w:rStyle w:val="Hyperlink"/>
                </w:rPr>
                <w:t>Go</w:t>
              </w:r>
            </w:hyperlink>
          </w:p>
        </w:tc>
        <w:tc>
          <w:tcPr>
            <w:tcW w:w="5669" w:type="dxa"/>
          </w:tcPr>
          <w:p w14:paraId="7A93EB9A" w14:textId="77777777" w:rsidR="00812F6F" w:rsidRDefault="00812F6F">
            <w:pPr>
              <w:spacing w:line="240" w:lineRule="auto"/>
              <w:rPr>
                <w:sz w:val="24"/>
                <w:rtl/>
              </w:rPr>
            </w:pPr>
            <w:r>
              <w:rPr>
                <w:sz w:val="24"/>
                <w:rtl/>
              </w:rPr>
              <w:t>דין הצהרות חוץ</w:t>
            </w:r>
          </w:p>
        </w:tc>
        <w:tc>
          <w:tcPr>
            <w:tcW w:w="1247" w:type="dxa"/>
          </w:tcPr>
          <w:p w14:paraId="17C27027" w14:textId="77777777" w:rsidR="00812F6F" w:rsidRDefault="00812F6F">
            <w:pPr>
              <w:spacing w:line="240" w:lineRule="auto"/>
              <w:rPr>
                <w:sz w:val="24"/>
              </w:rPr>
            </w:pPr>
            <w:r>
              <w:rPr>
                <w:sz w:val="24"/>
                <w:rtl/>
              </w:rPr>
              <w:t xml:space="preserve">סעיף 7 </w:t>
            </w:r>
          </w:p>
        </w:tc>
      </w:tr>
      <w:tr w:rsidR="00812F6F" w14:paraId="118BCD94" w14:textId="77777777">
        <w:tblPrEx>
          <w:tblCellMar>
            <w:top w:w="0" w:type="dxa"/>
            <w:bottom w:w="0" w:type="dxa"/>
          </w:tblCellMar>
        </w:tblPrEx>
        <w:tc>
          <w:tcPr>
            <w:tcW w:w="850" w:type="dxa"/>
          </w:tcPr>
          <w:p w14:paraId="78E057F3"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19B0D1F" w14:textId="77777777" w:rsidR="00812F6F" w:rsidRDefault="00812F6F">
            <w:pPr>
              <w:spacing w:line="240" w:lineRule="auto"/>
              <w:rPr>
                <w:sz w:val="24"/>
              </w:rPr>
            </w:pPr>
            <w:hyperlink w:anchor="Seif7" w:tooltip="ביצוע ותקנות" w:history="1">
              <w:r>
                <w:rPr>
                  <w:rStyle w:val="Hyperlink"/>
                </w:rPr>
                <w:t>Go</w:t>
              </w:r>
            </w:hyperlink>
          </w:p>
        </w:tc>
        <w:tc>
          <w:tcPr>
            <w:tcW w:w="5669" w:type="dxa"/>
          </w:tcPr>
          <w:p w14:paraId="4453443D" w14:textId="77777777" w:rsidR="00812F6F" w:rsidRDefault="00812F6F">
            <w:pPr>
              <w:spacing w:line="240" w:lineRule="auto"/>
              <w:rPr>
                <w:sz w:val="24"/>
                <w:rtl/>
              </w:rPr>
            </w:pPr>
            <w:r>
              <w:rPr>
                <w:sz w:val="24"/>
                <w:rtl/>
              </w:rPr>
              <w:t>ביצוע ותקנות</w:t>
            </w:r>
          </w:p>
        </w:tc>
        <w:tc>
          <w:tcPr>
            <w:tcW w:w="1247" w:type="dxa"/>
          </w:tcPr>
          <w:p w14:paraId="496DBA2B" w14:textId="77777777" w:rsidR="00812F6F" w:rsidRDefault="00812F6F">
            <w:pPr>
              <w:spacing w:line="240" w:lineRule="auto"/>
              <w:rPr>
                <w:sz w:val="24"/>
              </w:rPr>
            </w:pPr>
            <w:r>
              <w:rPr>
                <w:sz w:val="24"/>
                <w:rtl/>
              </w:rPr>
              <w:t xml:space="preserve">סעיף 8 </w:t>
            </w:r>
          </w:p>
        </w:tc>
      </w:tr>
      <w:tr w:rsidR="00812F6F" w14:paraId="59FF3B15" w14:textId="77777777">
        <w:tblPrEx>
          <w:tblCellMar>
            <w:top w:w="0" w:type="dxa"/>
            <w:bottom w:w="0" w:type="dxa"/>
          </w:tblCellMar>
        </w:tblPrEx>
        <w:tc>
          <w:tcPr>
            <w:tcW w:w="850" w:type="dxa"/>
          </w:tcPr>
          <w:p w14:paraId="3B5A64F5"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5DFDBB4" w14:textId="77777777" w:rsidR="00812F6F" w:rsidRDefault="00812F6F">
            <w:pPr>
              <w:spacing w:line="240" w:lineRule="auto"/>
              <w:rPr>
                <w:sz w:val="24"/>
              </w:rPr>
            </w:pPr>
            <w:hyperlink w:anchor="Seif8" w:tooltip="ביטול" w:history="1">
              <w:r>
                <w:rPr>
                  <w:rStyle w:val="Hyperlink"/>
                </w:rPr>
                <w:t>Go</w:t>
              </w:r>
            </w:hyperlink>
          </w:p>
        </w:tc>
        <w:tc>
          <w:tcPr>
            <w:tcW w:w="5669" w:type="dxa"/>
          </w:tcPr>
          <w:p w14:paraId="47FC53EB" w14:textId="77777777" w:rsidR="00812F6F" w:rsidRDefault="00812F6F">
            <w:pPr>
              <w:spacing w:line="240" w:lineRule="auto"/>
              <w:rPr>
                <w:sz w:val="24"/>
                <w:rtl/>
              </w:rPr>
            </w:pPr>
            <w:r>
              <w:rPr>
                <w:sz w:val="24"/>
                <w:rtl/>
              </w:rPr>
              <w:t>ביטול</w:t>
            </w:r>
          </w:p>
        </w:tc>
        <w:tc>
          <w:tcPr>
            <w:tcW w:w="1247" w:type="dxa"/>
          </w:tcPr>
          <w:p w14:paraId="362C3BCF" w14:textId="77777777" w:rsidR="00812F6F" w:rsidRDefault="00812F6F">
            <w:pPr>
              <w:spacing w:line="240" w:lineRule="auto"/>
              <w:rPr>
                <w:sz w:val="24"/>
              </w:rPr>
            </w:pPr>
            <w:r>
              <w:rPr>
                <w:sz w:val="24"/>
                <w:rtl/>
              </w:rPr>
              <w:t xml:space="preserve">סעיף 9 </w:t>
            </w:r>
          </w:p>
        </w:tc>
      </w:tr>
      <w:tr w:rsidR="00812F6F" w14:paraId="33C54CCE" w14:textId="77777777">
        <w:tblPrEx>
          <w:tblCellMar>
            <w:top w:w="0" w:type="dxa"/>
            <w:bottom w:w="0" w:type="dxa"/>
          </w:tblCellMar>
        </w:tblPrEx>
        <w:tc>
          <w:tcPr>
            <w:tcW w:w="850" w:type="dxa"/>
          </w:tcPr>
          <w:p w14:paraId="2F8A6807" w14:textId="77777777" w:rsidR="00812F6F" w:rsidRDefault="00812F6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BC58E63" w14:textId="77777777" w:rsidR="00812F6F" w:rsidRDefault="00812F6F">
            <w:pPr>
              <w:spacing w:line="240" w:lineRule="auto"/>
              <w:rPr>
                <w:sz w:val="24"/>
              </w:rPr>
            </w:pPr>
            <w:hyperlink w:anchor="Seif9" w:tooltip="הוראות מעבר" w:history="1">
              <w:r>
                <w:rPr>
                  <w:rStyle w:val="Hyperlink"/>
                </w:rPr>
                <w:t>Go</w:t>
              </w:r>
            </w:hyperlink>
          </w:p>
        </w:tc>
        <w:tc>
          <w:tcPr>
            <w:tcW w:w="5669" w:type="dxa"/>
          </w:tcPr>
          <w:p w14:paraId="14F44E80" w14:textId="77777777" w:rsidR="00812F6F" w:rsidRDefault="00812F6F">
            <w:pPr>
              <w:spacing w:line="240" w:lineRule="auto"/>
              <w:rPr>
                <w:sz w:val="24"/>
                <w:rtl/>
              </w:rPr>
            </w:pPr>
            <w:r>
              <w:rPr>
                <w:sz w:val="24"/>
                <w:rtl/>
              </w:rPr>
              <w:t>הוראות מעבר</w:t>
            </w:r>
          </w:p>
        </w:tc>
        <w:tc>
          <w:tcPr>
            <w:tcW w:w="1247" w:type="dxa"/>
          </w:tcPr>
          <w:p w14:paraId="7B743294" w14:textId="77777777" w:rsidR="00812F6F" w:rsidRDefault="00812F6F">
            <w:pPr>
              <w:spacing w:line="240" w:lineRule="auto"/>
              <w:rPr>
                <w:sz w:val="24"/>
              </w:rPr>
            </w:pPr>
            <w:r>
              <w:rPr>
                <w:sz w:val="24"/>
                <w:rtl/>
              </w:rPr>
              <w:t xml:space="preserve">סעיף 10 </w:t>
            </w:r>
          </w:p>
        </w:tc>
      </w:tr>
    </w:tbl>
    <w:p w14:paraId="33204A30" w14:textId="77777777" w:rsidR="00812F6F" w:rsidRDefault="00812F6F">
      <w:pPr>
        <w:pStyle w:val="big-header"/>
        <w:ind w:left="0" w:right="1134"/>
        <w:rPr>
          <w:rFonts w:cs="FrankRuehl"/>
          <w:sz w:val="32"/>
          <w:rtl/>
        </w:rPr>
      </w:pPr>
    </w:p>
    <w:p w14:paraId="78CAD49F" w14:textId="77777777" w:rsidR="00812F6F" w:rsidRDefault="00812F6F" w:rsidP="00563BB8">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הצהרות מוות, תשל"ח-</w:t>
      </w:r>
      <w:r>
        <w:rPr>
          <w:rFonts w:cs="FrankRuehl"/>
          <w:sz w:val="32"/>
          <w:rtl/>
        </w:rPr>
        <w:t>1978</w:t>
      </w:r>
      <w:r>
        <w:rPr>
          <w:rStyle w:val="default"/>
          <w:rtl/>
        </w:rPr>
        <w:footnoteReference w:customMarkFollows="1" w:id="1"/>
        <w:t>*</w:t>
      </w:r>
    </w:p>
    <w:p w14:paraId="184BD904" w14:textId="77777777" w:rsidR="00812F6F" w:rsidRDefault="00812F6F">
      <w:pPr>
        <w:pStyle w:val="P00"/>
        <w:spacing w:before="72"/>
        <w:ind w:left="0" w:right="1134"/>
        <w:rPr>
          <w:rStyle w:val="default"/>
          <w:rFonts w:cs="FrankRuehl" w:hint="cs"/>
          <w:rtl/>
        </w:rPr>
      </w:pPr>
      <w:bookmarkStart w:id="0" w:name="Seif0"/>
      <w:bookmarkEnd w:id="0"/>
      <w:r>
        <w:rPr>
          <w:lang w:val="he-IL"/>
        </w:rPr>
        <w:pict w14:anchorId="149352CB">
          <v:rect id="_x0000_s1026" style="position:absolute;left:0;text-align:left;margin-left:464.5pt;margin-top:8.05pt;width:75.05pt;height:8pt;z-index:251653120" o:allowincell="f" filled="f" stroked="f" strokecolor="lime" strokeweight=".25pt">
            <v:textbox inset="0,0,0,0">
              <w:txbxContent>
                <w:p w14:paraId="70D65A4F" w14:textId="77777777" w:rsidR="00812F6F" w:rsidRDefault="00812F6F">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49142F">
        <w:rPr>
          <w:rStyle w:val="default"/>
          <w:rFonts w:cs="FrankRuehl"/>
          <w:rtl/>
        </w:rPr>
        <w:t>–</w:t>
      </w:r>
    </w:p>
    <w:p w14:paraId="30D12EAB" w14:textId="77777777" w:rsidR="00812F6F" w:rsidRDefault="00812F6F" w:rsidP="0049142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ספה" </w:t>
      </w:r>
      <w:r w:rsidR="0049142F">
        <w:rPr>
          <w:rStyle w:val="default"/>
          <w:rFonts w:cs="FrankRuehl"/>
          <w:rtl/>
        </w:rPr>
        <w:t>–</w:t>
      </w:r>
      <w:r>
        <w:rPr>
          <w:rStyle w:val="default"/>
          <w:rFonts w:cs="FrankRuehl"/>
          <w:rtl/>
        </w:rPr>
        <w:t xml:space="preserve"> </w:t>
      </w:r>
      <w:r>
        <w:rPr>
          <w:rStyle w:val="default"/>
          <w:rFonts w:cs="FrankRuehl" w:hint="cs"/>
          <w:rtl/>
        </w:rPr>
        <w:t>מי שעקבותיו נעלמו זה שנתיים, ויש יסוד להנחה שהוא מת עקב מאורעות מלחמה או מאורעות טבע או תאונה;</w:t>
      </w:r>
    </w:p>
    <w:p w14:paraId="63F82325" w14:textId="77777777" w:rsidR="00812F6F" w:rsidRDefault="00812F6F" w:rsidP="0049142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ספה שנות השואה" </w:t>
      </w:r>
      <w:r w:rsidR="0049142F">
        <w:rPr>
          <w:rStyle w:val="default"/>
          <w:rFonts w:cs="FrankRuehl"/>
          <w:rtl/>
        </w:rPr>
        <w:t>–</w:t>
      </w:r>
      <w:r>
        <w:rPr>
          <w:rStyle w:val="default"/>
          <w:rFonts w:cs="FrankRuehl"/>
          <w:rtl/>
        </w:rPr>
        <w:t xml:space="preserve"> </w:t>
      </w:r>
      <w:r>
        <w:rPr>
          <w:rStyle w:val="default"/>
          <w:rFonts w:cs="FrankRuehl" w:hint="cs"/>
          <w:rtl/>
        </w:rPr>
        <w:t xml:space="preserve">מי שמקום מגוריו האחרון היה באסיה, באירופה או באפריקה ובשנות </w:t>
      </w:r>
      <w:r w:rsidR="0049142F">
        <w:rPr>
          <w:rStyle w:val="default"/>
          <w:rFonts w:cs="FrankRuehl" w:hint="cs"/>
          <w:rtl/>
        </w:rPr>
        <w:t>1945-1939</w:t>
      </w:r>
      <w:r>
        <w:rPr>
          <w:rStyle w:val="default"/>
          <w:rFonts w:cs="FrankRuehl"/>
          <w:rtl/>
        </w:rPr>
        <w:t xml:space="preserve"> </w:t>
      </w:r>
      <w:r>
        <w:rPr>
          <w:rStyle w:val="default"/>
          <w:rFonts w:cs="FrankRuehl" w:hint="cs"/>
          <w:rtl/>
        </w:rPr>
        <w:t>נעלמו עקבותיו בנסיבות הנותנות יסוד לשער שמת עקב מאורעות מלחמה או עקב רדיפות גזעיות, דתיות, מדיניות או לאומיות;</w:t>
      </w:r>
    </w:p>
    <w:p w14:paraId="41693827" w14:textId="77777777" w:rsidR="00812F6F" w:rsidRDefault="00812F6F" w:rsidP="0049142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עדר" </w:t>
      </w:r>
      <w:r w:rsidR="0049142F">
        <w:rPr>
          <w:rStyle w:val="default"/>
          <w:rFonts w:cs="FrankRuehl"/>
          <w:rtl/>
        </w:rPr>
        <w:t>–</w:t>
      </w:r>
      <w:r>
        <w:rPr>
          <w:rStyle w:val="default"/>
          <w:rFonts w:cs="FrankRuehl"/>
          <w:rtl/>
        </w:rPr>
        <w:t xml:space="preserve"> </w:t>
      </w:r>
      <w:r>
        <w:rPr>
          <w:rStyle w:val="default"/>
          <w:rFonts w:cs="FrankRuehl" w:hint="cs"/>
          <w:rtl/>
        </w:rPr>
        <w:t>מי שאיננו נספה או נספה שנו</w:t>
      </w:r>
      <w:r>
        <w:rPr>
          <w:rStyle w:val="default"/>
          <w:rFonts w:cs="FrankRuehl"/>
          <w:rtl/>
        </w:rPr>
        <w:t>ת</w:t>
      </w:r>
      <w:r>
        <w:rPr>
          <w:rStyle w:val="default"/>
          <w:rFonts w:cs="FrankRuehl" w:hint="cs"/>
          <w:rtl/>
        </w:rPr>
        <w:t xml:space="preserve"> השואה ועקבותיו נעלמו זה שבע שנים וכל המאמצים לגלות את עקבותיו לא הצליחו, ובנסיבות הענין יש יסוד להנחה</w:t>
      </w:r>
      <w:r>
        <w:rPr>
          <w:rStyle w:val="default"/>
          <w:rFonts w:cs="FrankRuehl"/>
          <w:rtl/>
        </w:rPr>
        <w:t xml:space="preserve"> ש</w:t>
      </w:r>
      <w:r>
        <w:rPr>
          <w:rStyle w:val="default"/>
          <w:rFonts w:cs="FrankRuehl" w:hint="cs"/>
          <w:rtl/>
        </w:rPr>
        <w:t>מת.</w:t>
      </w:r>
    </w:p>
    <w:p w14:paraId="7C9C17B7" w14:textId="77777777" w:rsidR="00812F6F" w:rsidRDefault="00812F6F">
      <w:pPr>
        <w:pStyle w:val="P00"/>
        <w:spacing w:before="72"/>
        <w:ind w:left="0" w:right="1134"/>
        <w:rPr>
          <w:rStyle w:val="default"/>
          <w:rFonts w:cs="FrankRuehl"/>
          <w:rtl/>
        </w:rPr>
      </w:pPr>
      <w:bookmarkStart w:id="1" w:name="Seif1"/>
      <w:bookmarkEnd w:id="1"/>
      <w:r>
        <w:rPr>
          <w:lang w:val="he-IL"/>
        </w:rPr>
        <w:pict w14:anchorId="72DBFFFF">
          <v:rect id="_x0000_s1027" style="position:absolute;left:0;text-align:left;margin-left:464.5pt;margin-top:8.05pt;width:75.05pt;height:46.05pt;z-index:251654144" o:allowincell="f" filled="f" stroked="f" strokecolor="lime" strokeweight=".25pt">
            <v:textbox inset="0,0,0,0">
              <w:txbxContent>
                <w:p w14:paraId="1ED518FB" w14:textId="77777777" w:rsidR="00812F6F" w:rsidRDefault="00812F6F">
                  <w:pPr>
                    <w:spacing w:line="160" w:lineRule="exact"/>
                    <w:jc w:val="left"/>
                    <w:rPr>
                      <w:rFonts w:cs="Miriam"/>
                      <w:noProof/>
                      <w:sz w:val="18"/>
                      <w:szCs w:val="18"/>
                      <w:rtl/>
                    </w:rPr>
                  </w:pPr>
                  <w:r>
                    <w:rPr>
                      <w:rFonts w:cs="Miriam"/>
                      <w:sz w:val="18"/>
                      <w:szCs w:val="18"/>
                      <w:rtl/>
                    </w:rPr>
                    <w:t>הצ</w:t>
                  </w:r>
                  <w:r>
                    <w:rPr>
                      <w:rFonts w:cs="Miriam" w:hint="cs"/>
                      <w:sz w:val="18"/>
                      <w:szCs w:val="18"/>
                      <w:rtl/>
                    </w:rPr>
                    <w:t>הרה על מוות</w:t>
                  </w:r>
                </w:p>
                <w:p w14:paraId="702C0715" w14:textId="77777777" w:rsidR="00812F6F" w:rsidRDefault="00812F6F">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תשנ"א-</w:t>
                  </w:r>
                  <w:r>
                    <w:rPr>
                      <w:rFonts w:cs="Miriam"/>
                      <w:sz w:val="18"/>
                      <w:szCs w:val="18"/>
                      <w:rtl/>
                    </w:rPr>
                    <w:t>1991</w:t>
                  </w:r>
                </w:p>
                <w:p w14:paraId="6418AFC8" w14:textId="77777777" w:rsidR="00812F6F" w:rsidRDefault="00812F6F">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2.</w:t>
      </w:r>
      <w:r>
        <w:rPr>
          <w:rStyle w:val="big-number"/>
          <w:rFonts w:cs="Miriam"/>
          <w:rtl/>
        </w:rPr>
        <w:tab/>
      </w:r>
      <w:r>
        <w:rPr>
          <w:rStyle w:val="default"/>
          <w:rFonts w:cs="FrankRuehl"/>
          <w:rtl/>
        </w:rPr>
        <w:t>בי</w:t>
      </w:r>
      <w:r>
        <w:rPr>
          <w:rStyle w:val="default"/>
          <w:rFonts w:cs="FrankRuehl" w:hint="cs"/>
          <w:rtl/>
        </w:rPr>
        <w:t>ת משפט לעניני משפחה רשאי, על פי בקשתו של מעונין או על פי בקשת היועץ המשפטי לממשלה או בא-כוחו, להצהיר על מותו של נספה, נספה שנות השואה או נעדר אם נתקיימה בו אחת מאלה:</w:t>
      </w:r>
    </w:p>
    <w:p w14:paraId="0B46C8BC" w14:textId="77777777" w:rsidR="00812F6F" w:rsidRDefault="00812F6F" w:rsidP="0049142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ושבו האחרון או מקום מגוריו האחרון היה בארץ-ישראל;</w:t>
      </w:r>
    </w:p>
    <w:p w14:paraId="358F9483" w14:textId="77777777" w:rsidR="00812F6F" w:rsidRDefault="00812F6F" w:rsidP="0049142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כושו נמצא בישראל;</w:t>
      </w:r>
    </w:p>
    <w:p w14:paraId="6041329D" w14:textId="77777777" w:rsidR="00812F6F" w:rsidRDefault="00812F6F" w:rsidP="0049142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קבותיו נעלמו בארץ ישראל;</w:t>
      </w:r>
    </w:p>
    <w:p w14:paraId="403FA6BF" w14:textId="77777777" w:rsidR="00812F6F" w:rsidRDefault="00812F6F" w:rsidP="0049142F">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ושבו או מקום מגוריו של המבקש הוא בישראל.</w:t>
      </w:r>
    </w:p>
    <w:p w14:paraId="64ECD4F0" w14:textId="77777777" w:rsidR="00812F6F" w:rsidRPr="0049142F" w:rsidRDefault="00812F6F">
      <w:pPr>
        <w:pStyle w:val="P22"/>
        <w:spacing w:before="0"/>
        <w:ind w:left="0" w:right="1134"/>
        <w:rPr>
          <w:rStyle w:val="default"/>
          <w:rFonts w:cs="FrankRuehl" w:hint="cs"/>
          <w:vanish/>
          <w:color w:val="FF0000"/>
          <w:sz w:val="20"/>
          <w:szCs w:val="20"/>
          <w:shd w:val="clear" w:color="auto" w:fill="FFFF99"/>
          <w:rtl/>
        </w:rPr>
      </w:pPr>
      <w:bookmarkStart w:id="2" w:name="Rov12"/>
      <w:r w:rsidRPr="0049142F">
        <w:rPr>
          <w:rStyle w:val="default"/>
          <w:rFonts w:cs="FrankRuehl" w:hint="cs"/>
          <w:vanish/>
          <w:color w:val="FF0000"/>
          <w:sz w:val="20"/>
          <w:szCs w:val="20"/>
          <w:shd w:val="clear" w:color="auto" w:fill="FFFF99"/>
          <w:rtl/>
        </w:rPr>
        <w:t>מיום 29.5.1991</w:t>
      </w:r>
    </w:p>
    <w:p w14:paraId="6CB1D613" w14:textId="77777777" w:rsidR="00812F6F" w:rsidRPr="0049142F" w:rsidRDefault="00812F6F">
      <w:pPr>
        <w:pStyle w:val="P22"/>
        <w:spacing w:before="0"/>
        <w:ind w:left="0" w:right="1134"/>
        <w:rPr>
          <w:rStyle w:val="default"/>
          <w:rFonts w:cs="FrankRuehl" w:hint="cs"/>
          <w:b/>
          <w:bCs/>
          <w:vanish/>
          <w:sz w:val="20"/>
          <w:szCs w:val="20"/>
          <w:shd w:val="clear" w:color="auto" w:fill="FFFF99"/>
          <w:rtl/>
        </w:rPr>
      </w:pPr>
      <w:r w:rsidRPr="0049142F">
        <w:rPr>
          <w:rStyle w:val="default"/>
          <w:rFonts w:cs="FrankRuehl" w:hint="cs"/>
          <w:b/>
          <w:bCs/>
          <w:vanish/>
          <w:sz w:val="20"/>
          <w:szCs w:val="20"/>
          <w:shd w:val="clear" w:color="auto" w:fill="FFFF99"/>
          <w:rtl/>
        </w:rPr>
        <w:t>תיקון מס' 1</w:t>
      </w:r>
    </w:p>
    <w:p w14:paraId="7D6E7D67" w14:textId="77777777" w:rsidR="00812F6F" w:rsidRPr="0049142F" w:rsidRDefault="00812F6F">
      <w:pPr>
        <w:pStyle w:val="P22"/>
        <w:spacing w:before="0"/>
        <w:ind w:left="0" w:right="1134"/>
        <w:rPr>
          <w:rStyle w:val="default"/>
          <w:rFonts w:cs="FrankRuehl" w:hint="cs"/>
          <w:vanish/>
          <w:sz w:val="20"/>
          <w:szCs w:val="20"/>
          <w:shd w:val="clear" w:color="auto" w:fill="FFFF99"/>
          <w:rtl/>
        </w:rPr>
      </w:pPr>
      <w:hyperlink r:id="rId6" w:history="1">
        <w:r w:rsidRPr="0049142F">
          <w:rPr>
            <w:rStyle w:val="Hyperlink"/>
            <w:rFonts w:cs="FrankRuehl" w:hint="cs"/>
            <w:vanish/>
            <w:szCs w:val="20"/>
            <w:shd w:val="clear" w:color="auto" w:fill="FFFF99"/>
            <w:rtl/>
          </w:rPr>
          <w:t>ס"ח תשנ"א מס' 1356</w:t>
        </w:r>
      </w:hyperlink>
      <w:r w:rsidRPr="0049142F">
        <w:rPr>
          <w:rStyle w:val="default"/>
          <w:rFonts w:cs="FrankRuehl" w:hint="cs"/>
          <w:vanish/>
          <w:sz w:val="20"/>
          <w:szCs w:val="20"/>
          <w:shd w:val="clear" w:color="auto" w:fill="FFFF99"/>
          <w:rtl/>
        </w:rPr>
        <w:t xml:space="preserve"> מיום 29.5.1991 עמ' 156 (</w:t>
      </w:r>
      <w:hyperlink r:id="rId7" w:history="1">
        <w:r w:rsidRPr="0049142F">
          <w:rPr>
            <w:rStyle w:val="Hyperlink"/>
            <w:rFonts w:cs="FrankRuehl" w:hint="cs"/>
            <w:vanish/>
            <w:szCs w:val="20"/>
            <w:shd w:val="clear" w:color="auto" w:fill="FFFF99"/>
            <w:rtl/>
          </w:rPr>
          <w:t>ה"ח 2048</w:t>
        </w:r>
      </w:hyperlink>
      <w:r w:rsidRPr="0049142F">
        <w:rPr>
          <w:rStyle w:val="default"/>
          <w:rFonts w:cs="FrankRuehl" w:hint="cs"/>
          <w:vanish/>
          <w:sz w:val="20"/>
          <w:szCs w:val="20"/>
          <w:shd w:val="clear" w:color="auto" w:fill="FFFF99"/>
          <w:rtl/>
        </w:rPr>
        <w:t>)</w:t>
      </w:r>
    </w:p>
    <w:p w14:paraId="12CDC4D8" w14:textId="77777777" w:rsidR="00812F6F" w:rsidRPr="0049142F" w:rsidRDefault="00812F6F">
      <w:pPr>
        <w:pStyle w:val="P00"/>
        <w:ind w:left="0" w:right="1134"/>
        <w:rPr>
          <w:rStyle w:val="default"/>
          <w:rFonts w:cs="FrankRuehl" w:hint="cs"/>
          <w:vanish/>
          <w:sz w:val="22"/>
          <w:szCs w:val="22"/>
          <w:shd w:val="clear" w:color="auto" w:fill="FFFF99"/>
          <w:rtl/>
        </w:rPr>
      </w:pPr>
      <w:r w:rsidRPr="0049142F">
        <w:rPr>
          <w:rStyle w:val="big-number"/>
          <w:rFonts w:cs="FrankRuehl"/>
          <w:vanish/>
          <w:sz w:val="22"/>
          <w:szCs w:val="22"/>
          <w:shd w:val="clear" w:color="auto" w:fill="FFFF99"/>
          <w:rtl/>
        </w:rPr>
        <w:t>2.</w:t>
      </w:r>
      <w:r w:rsidRPr="0049142F">
        <w:rPr>
          <w:rStyle w:val="big-number"/>
          <w:rFonts w:cs="FrankRuehl"/>
          <w:vanish/>
          <w:sz w:val="22"/>
          <w:szCs w:val="22"/>
          <w:shd w:val="clear" w:color="auto" w:fill="FFFF99"/>
          <w:rtl/>
        </w:rPr>
        <w:tab/>
      </w:r>
      <w:r w:rsidRPr="0049142F">
        <w:rPr>
          <w:rStyle w:val="big-number"/>
          <w:rFonts w:cs="FrankRuehl" w:hint="cs"/>
          <w:strike/>
          <w:vanish/>
          <w:sz w:val="22"/>
          <w:szCs w:val="22"/>
          <w:shd w:val="clear" w:color="auto" w:fill="FFFF99"/>
          <w:rtl/>
        </w:rPr>
        <w:t>בית המשפט המחוזי בירושלים</w:t>
      </w:r>
      <w:r w:rsidRPr="0049142F">
        <w:rPr>
          <w:rStyle w:val="big-number"/>
          <w:rFonts w:cs="FrankRuehl" w:hint="cs"/>
          <w:vanish/>
          <w:sz w:val="22"/>
          <w:szCs w:val="22"/>
          <w:shd w:val="clear" w:color="auto" w:fill="FFFF99"/>
          <w:rtl/>
        </w:rPr>
        <w:t xml:space="preserve"> </w:t>
      </w:r>
      <w:r w:rsidRPr="0049142F">
        <w:rPr>
          <w:rStyle w:val="default"/>
          <w:rFonts w:cs="FrankRuehl" w:hint="cs"/>
          <w:vanish/>
          <w:sz w:val="22"/>
          <w:szCs w:val="22"/>
          <w:u w:val="single"/>
          <w:shd w:val="clear" w:color="auto" w:fill="FFFF99"/>
          <w:rtl/>
        </w:rPr>
        <w:t>בית משפט מחוזי</w:t>
      </w:r>
      <w:r w:rsidRPr="0049142F">
        <w:rPr>
          <w:rStyle w:val="default"/>
          <w:rFonts w:cs="FrankRuehl" w:hint="cs"/>
          <w:vanish/>
          <w:sz w:val="22"/>
          <w:szCs w:val="22"/>
          <w:shd w:val="clear" w:color="auto" w:fill="FFFF99"/>
          <w:rtl/>
        </w:rPr>
        <w:t xml:space="preserve"> רשאי, על פי בקשתו של מעונין או על פי בקשת היועץ המשפטי לממשלה או בא-כוחו, להצהיר על מותו של נספה, נספה שנות השואה או נעדר אם נתקיימה בו אחת מאלה:</w:t>
      </w:r>
    </w:p>
    <w:p w14:paraId="7B053FA6" w14:textId="77777777" w:rsidR="00812F6F" w:rsidRPr="0049142F" w:rsidRDefault="00812F6F">
      <w:pPr>
        <w:pStyle w:val="P00"/>
        <w:spacing w:before="0"/>
        <w:ind w:left="0" w:right="1134"/>
        <w:rPr>
          <w:rStyle w:val="default"/>
          <w:rFonts w:cs="FrankRuehl" w:hint="cs"/>
          <w:vanish/>
          <w:color w:val="FF0000"/>
          <w:sz w:val="20"/>
          <w:szCs w:val="20"/>
          <w:shd w:val="clear" w:color="auto" w:fill="FFFF99"/>
          <w:rtl/>
        </w:rPr>
      </w:pPr>
    </w:p>
    <w:p w14:paraId="1367B174" w14:textId="77777777" w:rsidR="00812F6F" w:rsidRPr="0049142F" w:rsidRDefault="00812F6F">
      <w:pPr>
        <w:pStyle w:val="P00"/>
        <w:spacing w:before="0"/>
        <w:ind w:left="0" w:right="1134"/>
        <w:rPr>
          <w:rStyle w:val="default"/>
          <w:rFonts w:cs="FrankRuehl" w:hint="cs"/>
          <w:vanish/>
          <w:color w:val="FF0000"/>
          <w:sz w:val="20"/>
          <w:szCs w:val="20"/>
          <w:shd w:val="clear" w:color="auto" w:fill="FFFF99"/>
          <w:rtl/>
        </w:rPr>
      </w:pPr>
      <w:r w:rsidRPr="0049142F">
        <w:rPr>
          <w:rStyle w:val="default"/>
          <w:rFonts w:cs="FrankRuehl" w:hint="cs"/>
          <w:vanish/>
          <w:color w:val="FF0000"/>
          <w:sz w:val="20"/>
          <w:szCs w:val="20"/>
          <w:shd w:val="clear" w:color="auto" w:fill="FFFF99"/>
          <w:rtl/>
        </w:rPr>
        <w:t>מיום 1.9.1998</w:t>
      </w:r>
    </w:p>
    <w:p w14:paraId="0C0F6338" w14:textId="77777777" w:rsidR="00812F6F" w:rsidRPr="0049142F" w:rsidRDefault="00812F6F">
      <w:pPr>
        <w:pStyle w:val="P00"/>
        <w:spacing w:before="0"/>
        <w:ind w:left="0" w:right="1134"/>
        <w:rPr>
          <w:rStyle w:val="default"/>
          <w:rFonts w:cs="FrankRuehl" w:hint="cs"/>
          <w:b/>
          <w:bCs/>
          <w:vanish/>
          <w:sz w:val="20"/>
          <w:szCs w:val="20"/>
          <w:shd w:val="clear" w:color="auto" w:fill="FFFF99"/>
          <w:rtl/>
        </w:rPr>
      </w:pPr>
      <w:r w:rsidRPr="0049142F">
        <w:rPr>
          <w:rStyle w:val="default"/>
          <w:rFonts w:cs="FrankRuehl" w:hint="cs"/>
          <w:b/>
          <w:bCs/>
          <w:vanish/>
          <w:sz w:val="20"/>
          <w:szCs w:val="20"/>
          <w:shd w:val="clear" w:color="auto" w:fill="FFFF99"/>
          <w:rtl/>
        </w:rPr>
        <w:t>תיקון מס' 2</w:t>
      </w:r>
    </w:p>
    <w:p w14:paraId="455E1809" w14:textId="77777777" w:rsidR="00812F6F" w:rsidRPr="0049142F" w:rsidRDefault="00812F6F">
      <w:pPr>
        <w:pStyle w:val="P00"/>
        <w:spacing w:before="0"/>
        <w:ind w:left="0" w:right="1134"/>
        <w:rPr>
          <w:rStyle w:val="default"/>
          <w:rFonts w:cs="FrankRuehl" w:hint="cs"/>
          <w:vanish/>
          <w:sz w:val="20"/>
          <w:szCs w:val="20"/>
          <w:shd w:val="clear" w:color="auto" w:fill="FFFF99"/>
          <w:rtl/>
        </w:rPr>
      </w:pPr>
      <w:hyperlink r:id="rId8" w:history="1">
        <w:r w:rsidRPr="0049142F">
          <w:rPr>
            <w:rStyle w:val="Hyperlink"/>
            <w:rFonts w:cs="FrankRuehl" w:hint="cs"/>
            <w:vanish/>
            <w:szCs w:val="20"/>
            <w:shd w:val="clear" w:color="auto" w:fill="FFFF99"/>
            <w:rtl/>
          </w:rPr>
          <w:t>ס"ח תשנ"ח מס' 1670</w:t>
        </w:r>
      </w:hyperlink>
      <w:r w:rsidRPr="0049142F">
        <w:rPr>
          <w:rStyle w:val="default"/>
          <w:rFonts w:cs="FrankRuehl" w:hint="cs"/>
          <w:vanish/>
          <w:sz w:val="20"/>
          <w:szCs w:val="20"/>
          <w:shd w:val="clear" w:color="auto" w:fill="FFFF99"/>
          <w:rtl/>
        </w:rPr>
        <w:t xml:space="preserve"> מיום 30.6.1998 עמ' 244 (</w:t>
      </w:r>
      <w:hyperlink r:id="rId9" w:history="1">
        <w:r w:rsidRPr="0049142F">
          <w:rPr>
            <w:rStyle w:val="Hyperlink"/>
            <w:rFonts w:cs="FrankRuehl" w:hint="cs"/>
            <w:vanish/>
            <w:szCs w:val="20"/>
            <w:shd w:val="clear" w:color="auto" w:fill="FFFF99"/>
            <w:rtl/>
          </w:rPr>
          <w:t>ה"ח 2637</w:t>
        </w:r>
      </w:hyperlink>
      <w:r w:rsidRPr="0049142F">
        <w:rPr>
          <w:rStyle w:val="default"/>
          <w:rFonts w:cs="FrankRuehl" w:hint="cs"/>
          <w:vanish/>
          <w:sz w:val="20"/>
          <w:szCs w:val="20"/>
          <w:shd w:val="clear" w:color="auto" w:fill="FFFF99"/>
          <w:rtl/>
        </w:rPr>
        <w:t>)</w:t>
      </w:r>
    </w:p>
    <w:p w14:paraId="45CCF00E" w14:textId="77777777" w:rsidR="00812F6F" w:rsidRDefault="00812F6F">
      <w:pPr>
        <w:pStyle w:val="P00"/>
        <w:ind w:left="0" w:right="1134"/>
        <w:rPr>
          <w:rStyle w:val="default"/>
          <w:rFonts w:cs="FrankRuehl" w:hint="cs"/>
          <w:sz w:val="2"/>
          <w:szCs w:val="2"/>
          <w:rtl/>
        </w:rPr>
      </w:pPr>
      <w:r w:rsidRPr="0049142F">
        <w:rPr>
          <w:rStyle w:val="big-number"/>
          <w:rFonts w:cs="FrankRuehl"/>
          <w:vanish/>
          <w:sz w:val="22"/>
          <w:szCs w:val="22"/>
          <w:shd w:val="clear" w:color="auto" w:fill="FFFF99"/>
          <w:rtl/>
        </w:rPr>
        <w:t>2.</w:t>
      </w:r>
      <w:r w:rsidRPr="0049142F">
        <w:rPr>
          <w:rStyle w:val="big-number"/>
          <w:rFonts w:cs="FrankRuehl"/>
          <w:vanish/>
          <w:sz w:val="22"/>
          <w:szCs w:val="22"/>
          <w:shd w:val="clear" w:color="auto" w:fill="FFFF99"/>
          <w:rtl/>
        </w:rPr>
        <w:tab/>
      </w:r>
      <w:r w:rsidRPr="0049142F">
        <w:rPr>
          <w:rStyle w:val="default"/>
          <w:rFonts w:cs="FrankRuehl" w:hint="cs"/>
          <w:strike/>
          <w:vanish/>
          <w:sz w:val="22"/>
          <w:szCs w:val="22"/>
          <w:shd w:val="clear" w:color="auto" w:fill="FFFF99"/>
          <w:rtl/>
        </w:rPr>
        <w:t>בית משפט מחוזי</w:t>
      </w:r>
      <w:r w:rsidRPr="0049142F">
        <w:rPr>
          <w:rStyle w:val="default"/>
          <w:rFonts w:cs="FrankRuehl" w:hint="cs"/>
          <w:vanish/>
          <w:sz w:val="22"/>
          <w:szCs w:val="22"/>
          <w:shd w:val="clear" w:color="auto" w:fill="FFFF99"/>
          <w:rtl/>
        </w:rPr>
        <w:t xml:space="preserve"> </w:t>
      </w:r>
      <w:r w:rsidRPr="0049142F">
        <w:rPr>
          <w:rStyle w:val="default"/>
          <w:rFonts w:cs="FrankRuehl" w:hint="cs"/>
          <w:vanish/>
          <w:sz w:val="22"/>
          <w:szCs w:val="22"/>
          <w:u w:val="single"/>
          <w:shd w:val="clear" w:color="auto" w:fill="FFFF99"/>
          <w:rtl/>
        </w:rPr>
        <w:t>בית משפט לענייני משפחה</w:t>
      </w:r>
      <w:r w:rsidRPr="0049142F">
        <w:rPr>
          <w:rStyle w:val="default"/>
          <w:rFonts w:cs="FrankRuehl" w:hint="cs"/>
          <w:vanish/>
          <w:sz w:val="22"/>
          <w:szCs w:val="22"/>
          <w:shd w:val="clear" w:color="auto" w:fill="FFFF99"/>
          <w:rtl/>
        </w:rPr>
        <w:t xml:space="preserve"> רשאי, על פי בקשתו של מעונין או על פי בקשת היועץ המשפטי לממשלה או בא-כוחו, להצהיר על מותו של נספה, נספה שנות השואה או נעדר אם נתקיימה בו אחת מאלה:</w:t>
      </w:r>
      <w:bookmarkEnd w:id="2"/>
    </w:p>
    <w:p w14:paraId="62221A4E" w14:textId="77777777" w:rsidR="00812F6F" w:rsidRDefault="00812F6F">
      <w:pPr>
        <w:pStyle w:val="P00"/>
        <w:spacing w:before="72"/>
        <w:ind w:left="0" w:right="1134"/>
        <w:rPr>
          <w:rStyle w:val="default"/>
          <w:rFonts w:cs="FrankRuehl"/>
          <w:rtl/>
        </w:rPr>
      </w:pPr>
      <w:bookmarkStart w:id="3" w:name="Seif2"/>
      <w:bookmarkEnd w:id="3"/>
      <w:r>
        <w:rPr>
          <w:lang w:val="he-IL"/>
        </w:rPr>
        <w:pict w14:anchorId="7CF8DA0F">
          <v:rect id="_x0000_s1028" style="position:absolute;left:0;text-align:left;margin-left:464.5pt;margin-top:8.05pt;width:75.05pt;height:8pt;z-index:251655168" o:allowincell="f" filled="f" stroked="f" strokecolor="lime" strokeweight=".25pt">
            <v:textbox inset="0,0,0,0">
              <w:txbxContent>
                <w:p w14:paraId="37D8BA84" w14:textId="77777777" w:rsidR="00812F6F" w:rsidRDefault="00812F6F">
                  <w:pPr>
                    <w:spacing w:line="160" w:lineRule="exact"/>
                    <w:jc w:val="left"/>
                    <w:rPr>
                      <w:rFonts w:cs="Miriam"/>
                      <w:noProof/>
                      <w:sz w:val="18"/>
                      <w:szCs w:val="18"/>
                      <w:rtl/>
                    </w:rPr>
                  </w:pPr>
                  <w:r>
                    <w:rPr>
                      <w:rFonts w:cs="Miriam"/>
                      <w:sz w:val="18"/>
                      <w:szCs w:val="18"/>
                      <w:rtl/>
                    </w:rPr>
                    <w:t>זמ</w:t>
                  </w:r>
                  <w:r>
                    <w:rPr>
                      <w:rFonts w:cs="Miriam" w:hint="cs"/>
                      <w:sz w:val="18"/>
                      <w:szCs w:val="18"/>
                      <w:rtl/>
                    </w:rPr>
                    <w:t>ן המוות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w:t>
      </w:r>
      <w:r>
        <w:rPr>
          <w:rStyle w:val="default"/>
          <w:rFonts w:cs="FrankRuehl"/>
          <w:rtl/>
        </w:rPr>
        <w:t>ת</w:t>
      </w:r>
      <w:r>
        <w:rPr>
          <w:rStyle w:val="default"/>
          <w:rFonts w:cs="FrankRuehl" w:hint="cs"/>
          <w:rtl/>
        </w:rPr>
        <w:t xml:space="preserve"> המשפט יקבע את מותו של נספה או של נספה שנות השואה או של נעדר ואת יום המוות ושעתו על סמך כל ראיה שהובאה לפניו בדבר הנסיבות או הזמן שבהם אירע המוות.</w:t>
      </w:r>
    </w:p>
    <w:p w14:paraId="51581EA4" w14:textId="77777777" w:rsidR="00812F6F" w:rsidRDefault="00812F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ראה בית המשפט </w:t>
      </w:r>
      <w:r>
        <w:rPr>
          <w:rStyle w:val="default"/>
          <w:rFonts w:cs="FrankRuehl"/>
          <w:rtl/>
        </w:rPr>
        <w:t>לק</w:t>
      </w:r>
      <w:r>
        <w:rPr>
          <w:rStyle w:val="default"/>
          <w:rFonts w:cs="FrankRuehl" w:hint="cs"/>
          <w:rtl/>
        </w:rPr>
        <w:t xml:space="preserve">בוע כאמור בסעיף קטן (א), יקבע את המוות, יומו ושעתו </w:t>
      </w:r>
      <w:r w:rsidR="0049142F">
        <w:rPr>
          <w:rStyle w:val="default"/>
          <w:rFonts w:cs="FrankRuehl"/>
          <w:rtl/>
        </w:rPr>
        <w:t>–</w:t>
      </w:r>
    </w:p>
    <w:p w14:paraId="3C9C6088" w14:textId="77777777" w:rsidR="00812F6F" w:rsidRDefault="00812F6F" w:rsidP="0049142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נספה </w:t>
      </w:r>
      <w:r w:rsidR="0049142F">
        <w:rPr>
          <w:rStyle w:val="default"/>
          <w:rFonts w:cs="FrankRuehl"/>
          <w:rtl/>
        </w:rPr>
        <w:t>–</w:t>
      </w:r>
      <w:r>
        <w:rPr>
          <w:rStyle w:val="default"/>
          <w:rFonts w:cs="FrankRuehl"/>
          <w:rtl/>
        </w:rPr>
        <w:t xml:space="preserve"> </w:t>
      </w:r>
      <w:r>
        <w:rPr>
          <w:rStyle w:val="default"/>
          <w:rFonts w:cs="FrankRuehl" w:hint="cs"/>
          <w:rtl/>
        </w:rPr>
        <w:t>בתום שנתיים מיו</w:t>
      </w:r>
      <w:r>
        <w:rPr>
          <w:rStyle w:val="default"/>
          <w:rFonts w:cs="FrankRuehl"/>
          <w:rtl/>
        </w:rPr>
        <w:t>ם</w:t>
      </w:r>
      <w:r>
        <w:rPr>
          <w:rStyle w:val="default"/>
          <w:rFonts w:cs="FrankRuehl" w:hint="cs"/>
          <w:rtl/>
        </w:rPr>
        <w:t xml:space="preserve"> שנעלמו עקבותיו;</w:t>
      </w:r>
    </w:p>
    <w:p w14:paraId="56300AE9" w14:textId="77777777" w:rsidR="00812F6F" w:rsidRDefault="00812F6F" w:rsidP="0049142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נספה שנות השואה </w:t>
      </w:r>
      <w:r w:rsidR="0049142F">
        <w:rPr>
          <w:rStyle w:val="default"/>
          <w:rFonts w:cs="FrankRuehl"/>
          <w:rtl/>
        </w:rPr>
        <w:t>–</w:t>
      </w:r>
      <w:r>
        <w:rPr>
          <w:rStyle w:val="default"/>
          <w:rFonts w:cs="FrankRuehl"/>
          <w:rtl/>
        </w:rPr>
        <w:t xml:space="preserve"> </w:t>
      </w:r>
      <w:r>
        <w:rPr>
          <w:rStyle w:val="default"/>
          <w:rFonts w:cs="FrankRuehl" w:hint="cs"/>
          <w:rtl/>
        </w:rPr>
        <w:t>ביום שבו נעלמו עקבותיו;</w:t>
      </w:r>
    </w:p>
    <w:p w14:paraId="0C1F6DC1" w14:textId="77777777" w:rsidR="00812F6F" w:rsidRDefault="00812F6F" w:rsidP="0049142F">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גבי נעדר </w:t>
      </w:r>
      <w:r w:rsidR="0049142F">
        <w:rPr>
          <w:rStyle w:val="default"/>
          <w:rFonts w:cs="FrankRuehl"/>
          <w:rtl/>
        </w:rPr>
        <w:t>–</w:t>
      </w:r>
      <w:r>
        <w:rPr>
          <w:rStyle w:val="default"/>
          <w:rFonts w:cs="FrankRuehl"/>
          <w:rtl/>
        </w:rPr>
        <w:t xml:space="preserve"> </w:t>
      </w:r>
      <w:r>
        <w:rPr>
          <w:rStyle w:val="default"/>
          <w:rFonts w:cs="FrankRuehl" w:hint="cs"/>
          <w:rtl/>
        </w:rPr>
        <w:t>בתום שבע שנים מהיום שבו נעלמו עקבותיו.</w:t>
      </w:r>
    </w:p>
    <w:p w14:paraId="2CC2482D" w14:textId="77777777" w:rsidR="00812F6F" w:rsidRDefault="00812F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יום שבו נעלמו עקבותיו של אדם הוא היום שבו היה הסימן הידוע האחרון על היותו בחיים.</w:t>
      </w:r>
    </w:p>
    <w:p w14:paraId="3457AFA1" w14:textId="77777777" w:rsidR="00812F6F" w:rsidRDefault="00812F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אין כל ראיה בדבר שעת </w:t>
      </w:r>
      <w:r>
        <w:rPr>
          <w:rStyle w:val="default"/>
          <w:rFonts w:cs="FrankRuehl"/>
          <w:rtl/>
        </w:rPr>
        <w:t>המ</w:t>
      </w:r>
      <w:r>
        <w:rPr>
          <w:rStyle w:val="default"/>
          <w:rFonts w:cs="FrankRuehl" w:hint="cs"/>
          <w:rtl/>
        </w:rPr>
        <w:t>וות, ייקבע שהמוות אירע ברגע האחרון של יום המוות המוצהר.</w:t>
      </w:r>
    </w:p>
    <w:p w14:paraId="22F97FB1" w14:textId="77777777" w:rsidR="00812F6F" w:rsidRDefault="00812F6F">
      <w:pPr>
        <w:pStyle w:val="P00"/>
        <w:spacing w:before="72"/>
        <w:ind w:left="0" w:right="1134"/>
        <w:rPr>
          <w:rStyle w:val="default"/>
          <w:rFonts w:cs="FrankRuehl"/>
          <w:rtl/>
        </w:rPr>
      </w:pPr>
      <w:bookmarkStart w:id="4" w:name="Seif3"/>
      <w:bookmarkEnd w:id="4"/>
      <w:r>
        <w:rPr>
          <w:lang w:val="he-IL"/>
        </w:rPr>
        <w:pict w14:anchorId="71D27E89">
          <v:rect id="_x0000_s1029" style="position:absolute;left:0;text-align:left;margin-left:464.5pt;margin-top:8.05pt;width:75.05pt;height:16pt;z-index:251656192" o:allowincell="f" filled="f" stroked="f" strokecolor="lime" strokeweight=".25pt">
            <v:textbox inset="0,0,0,0">
              <w:txbxContent>
                <w:p w14:paraId="6B42E8A0" w14:textId="77777777" w:rsidR="00812F6F" w:rsidRDefault="00812F6F">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הצהרת </w:t>
                  </w:r>
                  <w:r>
                    <w:rPr>
                      <w:rFonts w:cs="Miriam"/>
                      <w:sz w:val="18"/>
                      <w:szCs w:val="18"/>
                      <w:rtl/>
                    </w:rPr>
                    <w:t>מו</w:t>
                  </w:r>
                  <w:r>
                    <w:rPr>
                      <w:rFonts w:cs="Miriam" w:hint="cs"/>
                      <w:sz w:val="18"/>
                      <w:szCs w:val="18"/>
                      <w:rtl/>
                    </w:rPr>
                    <w:t>ות או ביטולה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יתקן הצהרת מוות, אם מי שזכאי היה לבקש את ההצהרה הביא לפניו ראיה שיום המוות או שעתו או פרט אחר מפרטי ההצהרה שונים מאלה שבהצהרה.</w:t>
      </w:r>
    </w:p>
    <w:p w14:paraId="58A478B9" w14:textId="77777777" w:rsidR="00812F6F" w:rsidRDefault="00812F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יבטל הצהרת מוות לפי בקשת אדם שעל מותו </w:t>
      </w:r>
      <w:r>
        <w:rPr>
          <w:rStyle w:val="default"/>
          <w:rFonts w:cs="FrankRuehl"/>
          <w:rtl/>
        </w:rPr>
        <w:t>הו</w:t>
      </w:r>
      <w:r>
        <w:rPr>
          <w:rStyle w:val="default"/>
          <w:rFonts w:cs="FrankRuehl" w:hint="cs"/>
          <w:rtl/>
        </w:rPr>
        <w:t>צהר, או אם מי שזכאי היה לבקש את ההצהרה הביא לפני בית המשפט ראיה שהאדם שעל מותו הוצהר עודנו בחיים.</w:t>
      </w:r>
    </w:p>
    <w:p w14:paraId="38B83FBA" w14:textId="77777777" w:rsidR="00812F6F" w:rsidRDefault="00812F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בתיקונה או בביטולה של הצהרת מוות כדי לגרוע מזכויות ברכוש או מזכויות אחרות שנרכשו בתמורה ובתום לב עקב ההצהרה לפני התיקון או הביטול.</w:t>
      </w:r>
    </w:p>
    <w:p w14:paraId="0F719957" w14:textId="77777777" w:rsidR="00812F6F" w:rsidRDefault="00812F6F">
      <w:pPr>
        <w:pStyle w:val="P00"/>
        <w:spacing w:before="72"/>
        <w:ind w:left="0" w:right="1134"/>
        <w:rPr>
          <w:rStyle w:val="default"/>
          <w:rFonts w:cs="FrankRuehl"/>
          <w:rtl/>
        </w:rPr>
      </w:pPr>
      <w:bookmarkStart w:id="5" w:name="Seif4"/>
      <w:bookmarkEnd w:id="5"/>
      <w:r>
        <w:rPr>
          <w:lang w:val="he-IL"/>
        </w:rPr>
        <w:pict w14:anchorId="334D4F2C">
          <v:rect id="_x0000_s1030" style="position:absolute;left:0;text-align:left;margin-left:464.5pt;margin-top:8.05pt;width:75.05pt;height:8pt;z-index:251657216" o:allowincell="f" filled="f" stroked="f" strokecolor="lime" strokeweight=".25pt">
            <v:textbox inset="0,0,0,0">
              <w:txbxContent>
                <w:p w14:paraId="29D61DDE" w14:textId="77777777" w:rsidR="00812F6F" w:rsidRDefault="00812F6F">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5.</w:t>
      </w:r>
      <w:r>
        <w:rPr>
          <w:rStyle w:val="big-number"/>
          <w:rFonts w:cs="Miriam"/>
          <w:rtl/>
        </w:rPr>
        <w:tab/>
      </w:r>
      <w:r>
        <w:rPr>
          <w:rStyle w:val="default"/>
          <w:rFonts w:cs="FrankRuehl"/>
          <w:rtl/>
        </w:rPr>
        <w:t>בי</w:t>
      </w:r>
      <w:r>
        <w:rPr>
          <w:rStyle w:val="default"/>
          <w:rFonts w:cs="FrankRuehl" w:hint="cs"/>
          <w:rtl/>
        </w:rPr>
        <w:t>ת המשפט, כ</w:t>
      </w:r>
      <w:r>
        <w:rPr>
          <w:rStyle w:val="default"/>
          <w:rFonts w:cs="FrankRuehl"/>
          <w:rtl/>
        </w:rPr>
        <w:t>שה</w:t>
      </w:r>
      <w:r>
        <w:rPr>
          <w:rStyle w:val="default"/>
          <w:rFonts w:cs="FrankRuehl" w:hint="cs"/>
          <w:rtl/>
        </w:rPr>
        <w:t>וא דן בבקשה להצהרת מוות, לתיקונה או לביטולה, רש</w:t>
      </w:r>
      <w:r>
        <w:rPr>
          <w:rStyle w:val="default"/>
          <w:rFonts w:cs="FrankRuehl"/>
          <w:rtl/>
        </w:rPr>
        <w:t>א</w:t>
      </w:r>
      <w:r>
        <w:rPr>
          <w:rStyle w:val="default"/>
          <w:rFonts w:cs="FrankRuehl" w:hint="cs"/>
          <w:rtl/>
        </w:rPr>
        <w:t>י לסטות מדיני הראיות, אם הוא משוכנע שנסיבות הענין מצדיקות סטיה כזאת; החליט בית המשפט לסטות מדיני הראיות, ירשום את הטעמים שהניעוהו להחלטתו.</w:t>
      </w:r>
    </w:p>
    <w:p w14:paraId="14145F1F" w14:textId="77777777" w:rsidR="00812F6F" w:rsidRDefault="00812F6F">
      <w:pPr>
        <w:pStyle w:val="P00"/>
        <w:spacing w:before="72"/>
        <w:ind w:left="0" w:right="1134"/>
        <w:rPr>
          <w:rStyle w:val="default"/>
          <w:rFonts w:cs="FrankRuehl"/>
          <w:rtl/>
        </w:rPr>
      </w:pPr>
      <w:bookmarkStart w:id="6" w:name="Seif5"/>
      <w:bookmarkEnd w:id="6"/>
      <w:r>
        <w:rPr>
          <w:lang w:val="he-IL"/>
        </w:rPr>
        <w:pict w14:anchorId="37E31923">
          <v:rect id="_x0000_s1031" style="position:absolute;left:0;text-align:left;margin-left:464.5pt;margin-top:8.05pt;width:75.05pt;height:24pt;z-index:251658240" o:allowincell="f" filled="f" stroked="f" strokecolor="lime" strokeweight=".25pt">
            <v:textbox inset="0,0,0,0">
              <w:txbxContent>
                <w:p w14:paraId="60144386" w14:textId="77777777" w:rsidR="00812F6F" w:rsidRDefault="00812F6F">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הרת מוות </w:t>
                  </w:r>
                  <w:r>
                    <w:rPr>
                      <w:rFonts w:cs="Miriam"/>
                      <w:sz w:val="18"/>
                      <w:szCs w:val="18"/>
                      <w:rtl/>
                    </w:rPr>
                    <w:t>לא</w:t>
                  </w:r>
                  <w:r>
                    <w:rPr>
                      <w:rFonts w:cs="Miriam" w:hint="cs"/>
                      <w:sz w:val="18"/>
                      <w:szCs w:val="18"/>
                      <w:rtl/>
                    </w:rPr>
                    <w:t xml:space="preserve"> תפגע </w:t>
                  </w:r>
                  <w:r>
                    <w:rPr>
                      <w:rFonts w:cs="Miriam"/>
                      <w:sz w:val="18"/>
                      <w:szCs w:val="18"/>
                      <w:rtl/>
                    </w:rPr>
                    <w:t>בד</w:t>
                  </w:r>
                  <w:r>
                    <w:rPr>
                      <w:rFonts w:cs="Miriam" w:hint="cs"/>
                      <w:sz w:val="18"/>
                      <w:szCs w:val="18"/>
                      <w:rtl/>
                    </w:rPr>
                    <w:t>יני נישואין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צהרת מוות המשמשת ראיה מכוח חוק זה לא תפגע בדיני התרת נישוא</w:t>
      </w:r>
      <w:r>
        <w:rPr>
          <w:rStyle w:val="default"/>
          <w:rFonts w:cs="FrankRuehl"/>
          <w:rtl/>
        </w:rPr>
        <w:t>ין</w:t>
      </w:r>
      <w:r>
        <w:rPr>
          <w:rStyle w:val="default"/>
          <w:rFonts w:cs="FrankRuehl" w:hint="cs"/>
          <w:rtl/>
        </w:rPr>
        <w:t>.</w:t>
      </w:r>
    </w:p>
    <w:p w14:paraId="6C91EACC" w14:textId="77777777" w:rsidR="00812F6F" w:rsidRDefault="00812F6F">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הצהרת מוות, ימציא רשם בית המשפט העתק ההצהרה לבית הדין הדתי העליון המוסמך לגבי האדם שעל מותו הוצהר, או לגבי בן זוגו, כחומר בדיוני בית הדין הדתי בבקשת היתר נישואין.</w:t>
      </w:r>
    </w:p>
    <w:p w14:paraId="34E97957" w14:textId="77777777" w:rsidR="00812F6F" w:rsidRDefault="00812F6F">
      <w:pPr>
        <w:pStyle w:val="P00"/>
        <w:spacing w:before="72"/>
        <w:ind w:left="0" w:right="1134"/>
        <w:rPr>
          <w:rStyle w:val="default"/>
          <w:rFonts w:cs="FrankRuehl"/>
          <w:rtl/>
        </w:rPr>
      </w:pPr>
      <w:bookmarkStart w:id="7" w:name="Seif6"/>
      <w:bookmarkEnd w:id="7"/>
      <w:r>
        <w:rPr>
          <w:lang w:val="he-IL"/>
        </w:rPr>
        <w:pict w14:anchorId="1E481880">
          <v:rect id="_x0000_s1032" style="position:absolute;left:0;text-align:left;margin-left:464.5pt;margin-top:8.05pt;width:75.05pt;height:8pt;z-index:251659264" o:allowincell="f" filled="f" stroked="f" strokecolor="lime" strokeweight=".25pt">
            <v:textbox inset="0,0,0,0">
              <w:txbxContent>
                <w:p w14:paraId="40FC4523" w14:textId="77777777" w:rsidR="00812F6F" w:rsidRDefault="00812F6F">
                  <w:pPr>
                    <w:spacing w:line="160" w:lineRule="exact"/>
                    <w:jc w:val="left"/>
                    <w:rPr>
                      <w:rFonts w:cs="Miriam"/>
                      <w:noProof/>
                      <w:sz w:val="18"/>
                      <w:szCs w:val="18"/>
                      <w:rtl/>
                    </w:rPr>
                  </w:pPr>
                  <w:r>
                    <w:rPr>
                      <w:rFonts w:cs="Miriam"/>
                      <w:sz w:val="18"/>
                      <w:szCs w:val="18"/>
                      <w:rtl/>
                    </w:rPr>
                    <w:t>די</w:t>
                  </w:r>
                  <w:r>
                    <w:rPr>
                      <w:rFonts w:cs="Miriam" w:hint="cs"/>
                      <w:sz w:val="18"/>
                      <w:szCs w:val="18"/>
                      <w:rtl/>
                    </w:rPr>
                    <w:t>ן הצהרות חוץ</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צהרת מוות שניתנה כדין לפי האמנה בדבר הצהרה על מותם של נעדרים, ניו-</w:t>
      </w:r>
      <w:r>
        <w:rPr>
          <w:rStyle w:val="default"/>
          <w:rFonts w:cs="FrankRuehl"/>
          <w:rtl/>
        </w:rPr>
        <w:t>י</w:t>
      </w:r>
      <w:r>
        <w:rPr>
          <w:rStyle w:val="default"/>
          <w:rFonts w:cs="FrankRuehl" w:hint="cs"/>
          <w:rtl/>
        </w:rPr>
        <w:t>ור</w:t>
      </w:r>
      <w:r>
        <w:rPr>
          <w:rStyle w:val="default"/>
          <w:rFonts w:cs="FrankRuehl"/>
          <w:rtl/>
        </w:rPr>
        <w:t xml:space="preserve">ק, 1950, </w:t>
      </w:r>
      <w:r>
        <w:rPr>
          <w:rStyle w:val="default"/>
          <w:rFonts w:cs="FrankRuehl" w:hint="cs"/>
          <w:rtl/>
        </w:rPr>
        <w:t>תשמש ראיה לכאורה בדבר המוות ומועד המוות.</w:t>
      </w:r>
    </w:p>
    <w:p w14:paraId="7BE0C15D" w14:textId="77777777" w:rsidR="00812F6F" w:rsidRDefault="00812F6F" w:rsidP="004914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קטן (א) אינו גורע, לגבי הצהרות מוות אחרות, מהאמור בסעיף 11 לחוק אכיפת פסקי חוץ, תשי"ח</w:t>
      </w:r>
      <w:r w:rsidR="0049142F">
        <w:rPr>
          <w:rStyle w:val="default"/>
          <w:rFonts w:cs="FrankRuehl" w:hint="cs"/>
          <w:rtl/>
        </w:rPr>
        <w:t>-</w:t>
      </w:r>
      <w:r>
        <w:rPr>
          <w:rStyle w:val="default"/>
          <w:rFonts w:cs="FrankRuehl"/>
          <w:rtl/>
        </w:rPr>
        <w:t>1958.</w:t>
      </w:r>
    </w:p>
    <w:p w14:paraId="786706EA" w14:textId="77777777" w:rsidR="00812F6F" w:rsidRDefault="00812F6F">
      <w:pPr>
        <w:pStyle w:val="P00"/>
        <w:spacing w:before="72"/>
        <w:ind w:left="0" w:right="1134"/>
        <w:rPr>
          <w:rStyle w:val="default"/>
          <w:rFonts w:cs="FrankRuehl"/>
          <w:rtl/>
        </w:rPr>
      </w:pPr>
      <w:bookmarkStart w:id="8" w:name="Seif7"/>
      <w:bookmarkEnd w:id="8"/>
      <w:r>
        <w:rPr>
          <w:lang w:val="he-IL"/>
        </w:rPr>
        <w:pict w14:anchorId="4EE0B699">
          <v:rect id="_x0000_s1033" style="position:absolute;left:0;text-align:left;margin-left:464.5pt;margin-top:8.05pt;width:75.05pt;height:8pt;z-index:251660288" o:allowincell="f" filled="f" stroked="f" strokecolor="lime" strokeweight=".25pt">
            <v:textbox inset="0,0,0,0">
              <w:txbxContent>
                <w:p w14:paraId="61843008" w14:textId="77777777" w:rsidR="00812F6F" w:rsidRDefault="00812F6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ממונה על ביצוע חוק זה.</w:t>
      </w:r>
    </w:p>
    <w:p w14:paraId="23814236" w14:textId="77777777" w:rsidR="00812F6F" w:rsidRDefault="00812F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להתקין תקנות בכ</w:t>
      </w:r>
      <w:r>
        <w:rPr>
          <w:rStyle w:val="default"/>
          <w:rFonts w:cs="FrankRuehl"/>
          <w:rtl/>
        </w:rPr>
        <w:t xml:space="preserve">ל </w:t>
      </w:r>
      <w:r>
        <w:rPr>
          <w:rStyle w:val="default"/>
          <w:rFonts w:cs="FrankRuehl" w:hint="cs"/>
          <w:rtl/>
        </w:rPr>
        <w:t>ענין הנוגע לביצוע חוק זה, ובכללן תקנות בענין סדרי דין, אגרות בית משפט וערעור.</w:t>
      </w:r>
    </w:p>
    <w:p w14:paraId="30D5C731" w14:textId="77777777" w:rsidR="00812F6F" w:rsidRDefault="00812F6F" w:rsidP="0049142F">
      <w:pPr>
        <w:pStyle w:val="P00"/>
        <w:spacing w:before="72"/>
        <w:ind w:left="0" w:right="1134"/>
        <w:rPr>
          <w:rStyle w:val="default"/>
          <w:rFonts w:cs="FrankRuehl"/>
          <w:rtl/>
        </w:rPr>
      </w:pPr>
      <w:bookmarkStart w:id="9" w:name="Seif8"/>
      <w:bookmarkEnd w:id="9"/>
      <w:r>
        <w:rPr>
          <w:lang w:val="he-IL"/>
        </w:rPr>
        <w:pict w14:anchorId="1DC9EC18">
          <v:rect id="_x0000_s1034" style="position:absolute;left:0;text-align:left;margin-left:464.5pt;margin-top:8.05pt;width:75.05pt;height:8pt;z-index:251661312" o:allowincell="f" filled="f" stroked="f" strokecolor="lime" strokeweight=".25pt">
            <v:textbox inset="0,0,0,0">
              <w:txbxContent>
                <w:p w14:paraId="7E4271AD" w14:textId="77777777" w:rsidR="00812F6F" w:rsidRDefault="00812F6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9.</w:t>
      </w:r>
      <w:r>
        <w:rPr>
          <w:rStyle w:val="big-number"/>
          <w:rFonts w:cs="Miriam"/>
          <w:rtl/>
        </w:rPr>
        <w:tab/>
      </w:r>
      <w:r>
        <w:rPr>
          <w:rStyle w:val="default"/>
          <w:rFonts w:cs="FrankRuehl"/>
          <w:rtl/>
        </w:rPr>
        <w:t>חו</w:t>
      </w:r>
      <w:r>
        <w:rPr>
          <w:rStyle w:val="default"/>
          <w:rFonts w:cs="FrankRuehl" w:hint="cs"/>
          <w:rtl/>
        </w:rPr>
        <w:t>ק הצהרות מוות, תשי"ב</w:t>
      </w:r>
      <w:r w:rsidR="0049142F">
        <w:rPr>
          <w:rStyle w:val="default"/>
          <w:rFonts w:cs="FrankRuehl" w:hint="cs"/>
          <w:rtl/>
        </w:rPr>
        <w:t>-</w:t>
      </w:r>
      <w:r>
        <w:rPr>
          <w:rStyle w:val="default"/>
          <w:rFonts w:cs="FrankRuehl"/>
          <w:rtl/>
        </w:rPr>
        <w:t xml:space="preserve">1952 </w:t>
      </w:r>
      <w:r w:rsidR="0049142F">
        <w:rPr>
          <w:rStyle w:val="default"/>
          <w:rFonts w:cs="FrankRuehl"/>
          <w:rtl/>
        </w:rPr>
        <w:t>–</w:t>
      </w:r>
      <w:r>
        <w:rPr>
          <w:rStyle w:val="default"/>
          <w:rFonts w:cs="FrankRuehl"/>
          <w:rtl/>
        </w:rPr>
        <w:t xml:space="preserve"> </w:t>
      </w:r>
      <w:r>
        <w:rPr>
          <w:rStyle w:val="default"/>
          <w:rFonts w:cs="FrankRuehl" w:hint="cs"/>
          <w:rtl/>
        </w:rPr>
        <w:t>בטל.</w:t>
      </w:r>
    </w:p>
    <w:p w14:paraId="144777C6" w14:textId="77777777" w:rsidR="00812F6F" w:rsidRDefault="00812F6F">
      <w:pPr>
        <w:pStyle w:val="P00"/>
        <w:spacing w:before="72"/>
        <w:ind w:left="0" w:right="1134"/>
        <w:rPr>
          <w:rStyle w:val="default"/>
          <w:rFonts w:cs="FrankRuehl"/>
          <w:rtl/>
        </w:rPr>
      </w:pPr>
      <w:bookmarkStart w:id="10" w:name="Seif9"/>
      <w:bookmarkEnd w:id="10"/>
      <w:r>
        <w:rPr>
          <w:lang w:val="he-IL"/>
        </w:rPr>
        <w:pict w14:anchorId="66730665">
          <v:rect id="_x0000_s1035" style="position:absolute;left:0;text-align:left;margin-left:464.5pt;margin-top:8.05pt;width:75.05pt;height:8pt;z-index:251662336" o:allowincell="f" filled="f" stroked="f" strokecolor="lime" strokeweight=".25pt">
            <v:textbox inset="0,0,0,0">
              <w:txbxContent>
                <w:p w14:paraId="3B4C7540" w14:textId="77777777" w:rsidR="00812F6F" w:rsidRDefault="00812F6F">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יחול על אדם שעקבותיו נעלמו לפני תחילתו.</w:t>
      </w:r>
    </w:p>
    <w:p w14:paraId="14CA99A9" w14:textId="77777777" w:rsidR="00812F6F" w:rsidRDefault="00812F6F" w:rsidP="004914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קבעו, אגב דיון בהליכים לפי חוק הירו</w:t>
      </w:r>
      <w:r>
        <w:rPr>
          <w:rStyle w:val="default"/>
          <w:rFonts w:cs="FrankRuehl"/>
          <w:rtl/>
        </w:rPr>
        <w:t>ש</w:t>
      </w:r>
      <w:r>
        <w:rPr>
          <w:rStyle w:val="default"/>
          <w:rFonts w:cs="FrankRuehl" w:hint="cs"/>
          <w:rtl/>
        </w:rPr>
        <w:t>ה, תשכ"ה</w:t>
      </w:r>
      <w:r w:rsidR="0049142F">
        <w:rPr>
          <w:rStyle w:val="default"/>
          <w:rFonts w:cs="FrankRuehl" w:hint="cs"/>
          <w:rtl/>
        </w:rPr>
        <w:t>-</w:t>
      </w:r>
      <w:r>
        <w:rPr>
          <w:rStyle w:val="default"/>
          <w:rFonts w:cs="FrankRuehl"/>
          <w:rtl/>
        </w:rPr>
        <w:t xml:space="preserve">1965 </w:t>
      </w:r>
      <w:r>
        <w:rPr>
          <w:rStyle w:val="default"/>
          <w:rFonts w:cs="FrankRuehl" w:hint="cs"/>
          <w:rtl/>
        </w:rPr>
        <w:t>לפני תחילתו של חוק זה עוב</w:t>
      </w:r>
      <w:r>
        <w:rPr>
          <w:rStyle w:val="default"/>
          <w:rFonts w:cs="FrankRuehl"/>
          <w:rtl/>
        </w:rPr>
        <w:t>דת</w:t>
      </w:r>
      <w:r>
        <w:rPr>
          <w:rStyle w:val="default"/>
          <w:rFonts w:cs="FrankRuehl" w:hint="cs"/>
          <w:rtl/>
        </w:rPr>
        <w:t xml:space="preserve"> מותו של אדם פלוני ומועד המוות, לא תבוטל ולא תשונה ההחלטה בהליכים אלה על יסוד הצהרת מוות שניתנה לגבי אותו אדם לפי סעיף 3(ב), אלא מטעמים מיוחדים שיפורשו בהחלטת הביטול או השינוי.</w:t>
      </w:r>
    </w:p>
    <w:p w14:paraId="3B759ABF" w14:textId="77777777" w:rsidR="00812F6F" w:rsidRDefault="00812F6F">
      <w:pPr>
        <w:pStyle w:val="P00"/>
        <w:spacing w:before="72"/>
        <w:ind w:left="0" w:right="1134"/>
        <w:rPr>
          <w:rStyle w:val="default"/>
          <w:rFonts w:cs="FrankRuehl" w:hint="cs"/>
          <w:rtl/>
        </w:rPr>
      </w:pPr>
    </w:p>
    <w:p w14:paraId="29BE6DA0" w14:textId="77777777" w:rsidR="00812F6F" w:rsidRDefault="00812F6F">
      <w:pPr>
        <w:pStyle w:val="P00"/>
        <w:spacing w:before="72"/>
        <w:ind w:left="0" w:right="1134"/>
        <w:rPr>
          <w:rStyle w:val="default"/>
          <w:rFonts w:cs="FrankRuehl" w:hint="cs"/>
          <w:rtl/>
        </w:rPr>
      </w:pPr>
    </w:p>
    <w:p w14:paraId="09805D9B" w14:textId="77777777" w:rsidR="0049142F" w:rsidRDefault="0049142F" w:rsidP="0049142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נחם בגין</w:t>
      </w:r>
      <w:r>
        <w:rPr>
          <w:rFonts w:cs="FrankRuehl"/>
          <w:sz w:val="26"/>
          <w:szCs w:val="26"/>
          <w:rtl/>
        </w:rPr>
        <w:tab/>
        <w:t>ש</w:t>
      </w:r>
      <w:r>
        <w:rPr>
          <w:rFonts w:cs="FrankRuehl" w:hint="cs"/>
          <w:sz w:val="26"/>
          <w:szCs w:val="26"/>
          <w:rtl/>
        </w:rPr>
        <w:t>מואל תמיר</w:t>
      </w:r>
    </w:p>
    <w:p w14:paraId="1C93CBEB" w14:textId="77777777" w:rsidR="0049142F" w:rsidRDefault="0049142F" w:rsidP="0049142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14:paraId="6D02AA38" w14:textId="77777777" w:rsidR="00812F6F" w:rsidRDefault="00812F6F" w:rsidP="0049142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א</w:t>
      </w:r>
      <w:r>
        <w:rPr>
          <w:rFonts w:cs="FrankRuehl" w:hint="cs"/>
          <w:sz w:val="26"/>
          <w:szCs w:val="26"/>
          <w:rtl/>
        </w:rPr>
        <w:t>פרים קציר</w:t>
      </w:r>
    </w:p>
    <w:p w14:paraId="1A491ADC" w14:textId="77777777" w:rsidR="00812F6F" w:rsidRDefault="00812F6F" w:rsidP="0049142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14:paraId="01982EC9" w14:textId="77777777" w:rsidR="00812F6F" w:rsidRDefault="00812F6F">
      <w:pPr>
        <w:pStyle w:val="sig-1"/>
        <w:widowControl/>
        <w:ind w:left="0" w:right="1134"/>
        <w:rPr>
          <w:rFonts w:cs="FrankRuehl"/>
          <w:sz w:val="22"/>
          <w:rtl/>
        </w:rPr>
      </w:pPr>
    </w:p>
    <w:p w14:paraId="464785B9" w14:textId="77777777" w:rsidR="00812F6F" w:rsidRDefault="00812F6F">
      <w:pPr>
        <w:pStyle w:val="sig-1"/>
        <w:widowControl/>
        <w:ind w:left="0" w:right="1134"/>
        <w:rPr>
          <w:rFonts w:cs="FrankRuehl"/>
          <w:sz w:val="22"/>
          <w:rtl/>
        </w:rPr>
      </w:pPr>
    </w:p>
    <w:p w14:paraId="40E1E698" w14:textId="77777777" w:rsidR="00812F6F" w:rsidRDefault="00812F6F">
      <w:pPr>
        <w:ind w:right="1134"/>
        <w:rPr>
          <w:rFonts w:cs="David"/>
          <w:sz w:val="24"/>
          <w:rtl/>
        </w:rPr>
      </w:pPr>
      <w:bookmarkStart w:id="11" w:name="LawPartEnd"/>
    </w:p>
    <w:bookmarkEnd w:id="11"/>
    <w:p w14:paraId="35583919" w14:textId="77777777" w:rsidR="00812F6F" w:rsidRDefault="00812F6F">
      <w:pPr>
        <w:ind w:right="1134"/>
        <w:rPr>
          <w:rFonts w:cs="David"/>
          <w:sz w:val="24"/>
          <w:rtl/>
        </w:rPr>
      </w:pPr>
    </w:p>
    <w:sectPr w:rsidR="00812F6F">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FD9E" w14:textId="77777777" w:rsidR="00926BE2" w:rsidRDefault="00926BE2">
      <w:r>
        <w:separator/>
      </w:r>
    </w:p>
  </w:endnote>
  <w:endnote w:type="continuationSeparator" w:id="0">
    <w:p w14:paraId="40B57B3E" w14:textId="77777777" w:rsidR="00926BE2" w:rsidRDefault="0092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5323" w14:textId="77777777" w:rsidR="00812F6F" w:rsidRDefault="00812F6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6E3118" w14:textId="77777777" w:rsidR="00812F6F" w:rsidRDefault="00812F6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5E3537" w14:textId="77777777" w:rsidR="00812F6F" w:rsidRDefault="00812F6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Z:\00000000-law\yael\revadim\06-03-29\119_001.doc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F23D" w14:textId="77777777" w:rsidR="00812F6F" w:rsidRDefault="00812F6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142F">
      <w:rPr>
        <w:rFonts w:hAnsi="FrankRuehl" w:cs="FrankRuehl"/>
        <w:noProof/>
        <w:sz w:val="24"/>
        <w:szCs w:val="24"/>
        <w:rtl/>
      </w:rPr>
      <w:t>2</w:t>
    </w:r>
    <w:r>
      <w:rPr>
        <w:rFonts w:hAnsi="FrankRuehl" w:cs="FrankRuehl"/>
        <w:sz w:val="24"/>
        <w:szCs w:val="24"/>
        <w:rtl/>
      </w:rPr>
      <w:fldChar w:fldCharType="end"/>
    </w:r>
  </w:p>
  <w:p w14:paraId="5665F569" w14:textId="77777777" w:rsidR="00812F6F" w:rsidRDefault="00812F6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84A286" w14:textId="77777777" w:rsidR="00812F6F" w:rsidRDefault="00812F6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Z:\00000000-law\yael\revadim\06-03-29\119_001.doc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3AF0" w14:textId="77777777" w:rsidR="00926BE2" w:rsidRDefault="00926BE2">
      <w:r>
        <w:separator/>
      </w:r>
    </w:p>
  </w:footnote>
  <w:footnote w:type="continuationSeparator" w:id="0">
    <w:p w14:paraId="7EE1EFB5" w14:textId="77777777" w:rsidR="00926BE2" w:rsidRDefault="00926BE2">
      <w:r>
        <w:continuationSeparator/>
      </w:r>
    </w:p>
  </w:footnote>
  <w:footnote w:id="1">
    <w:p w14:paraId="4C554DBF" w14:textId="77777777" w:rsidR="00812F6F" w:rsidRDefault="00812F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תשל"ח מס' 882</w:t>
        </w:r>
      </w:hyperlink>
      <w:r>
        <w:rPr>
          <w:rFonts w:cs="FrankRuehl" w:hint="cs"/>
          <w:rtl/>
        </w:rPr>
        <w:t xml:space="preserve"> מיום 12.1.1978 עמ' 56 (</w:t>
      </w:r>
      <w:hyperlink r:id="rId2" w:history="1">
        <w:r>
          <w:rPr>
            <w:rStyle w:val="Hyperlink"/>
            <w:rFonts w:cs="FrankRuehl" w:hint="cs"/>
            <w:rtl/>
          </w:rPr>
          <w:t>ה"ח תשל"ה מס' 1155</w:t>
        </w:r>
      </w:hyperlink>
      <w:r>
        <w:rPr>
          <w:rFonts w:cs="FrankRuehl" w:hint="cs"/>
          <w:rtl/>
        </w:rPr>
        <w:t xml:space="preserve"> עמ' 92).</w:t>
      </w:r>
    </w:p>
    <w:p w14:paraId="7F948541" w14:textId="77777777" w:rsidR="00812F6F" w:rsidRDefault="00812F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ס"ח </w:t>
        </w:r>
        <w:r>
          <w:rPr>
            <w:rStyle w:val="Hyperlink"/>
            <w:rFonts w:cs="FrankRuehl"/>
            <w:rtl/>
          </w:rPr>
          <w:t>תש</w:t>
        </w:r>
        <w:r>
          <w:rPr>
            <w:rStyle w:val="Hyperlink"/>
            <w:rFonts w:cs="FrankRuehl" w:hint="cs"/>
            <w:rtl/>
          </w:rPr>
          <w:t>נ"א מס' 1356</w:t>
        </w:r>
      </w:hyperlink>
      <w:r>
        <w:rPr>
          <w:rFonts w:cs="FrankRuehl" w:hint="cs"/>
          <w:rtl/>
        </w:rPr>
        <w:t xml:space="preserve"> מיום 29.5.1991 עמ' 156 (</w:t>
      </w:r>
      <w:hyperlink r:id="rId4" w:history="1">
        <w:r>
          <w:rPr>
            <w:rStyle w:val="Hyperlink"/>
            <w:rFonts w:cs="FrankRuehl" w:hint="cs"/>
            <w:rtl/>
          </w:rPr>
          <w:t>ה"ח תשנ"א מס' 2048</w:t>
        </w:r>
      </w:hyperlink>
      <w:r>
        <w:rPr>
          <w:rFonts w:cs="FrankRuehl" w:hint="cs"/>
          <w:rtl/>
        </w:rPr>
        <w:t xml:space="preserve"> עמ' 187) </w:t>
      </w:r>
      <w:r>
        <w:rPr>
          <w:rFonts w:cs="FrankRuehl"/>
          <w:rtl/>
        </w:rPr>
        <w:t>–</w:t>
      </w:r>
      <w:r>
        <w:rPr>
          <w:rFonts w:cs="FrankRuehl" w:hint="cs"/>
          <w:rtl/>
        </w:rPr>
        <w:t xml:space="preserve"> תיקון מס' 1.</w:t>
      </w:r>
    </w:p>
    <w:p w14:paraId="7FC90BE4" w14:textId="77777777" w:rsidR="00812F6F" w:rsidRDefault="00812F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תשנ"ח מס' 1670</w:t>
        </w:r>
      </w:hyperlink>
      <w:r>
        <w:rPr>
          <w:rFonts w:cs="FrankRuehl" w:hint="cs"/>
          <w:rtl/>
        </w:rPr>
        <w:t xml:space="preserve"> מיום 30.6.1998 עמ' 244 (</w:t>
      </w:r>
      <w:hyperlink r:id="rId6" w:history="1">
        <w:r>
          <w:rPr>
            <w:rStyle w:val="Hyperlink"/>
            <w:rFonts w:cs="FrankRuehl" w:hint="cs"/>
            <w:rtl/>
          </w:rPr>
          <w:t>ה"ח תשנ"ז מס' 2637</w:t>
        </w:r>
      </w:hyperlink>
      <w:r>
        <w:rPr>
          <w:rFonts w:cs="FrankRuehl" w:hint="cs"/>
          <w:rtl/>
        </w:rPr>
        <w:t xml:space="preserve"> עמ' 452) </w:t>
      </w:r>
      <w:r>
        <w:rPr>
          <w:rFonts w:cs="FrankRuehl"/>
          <w:rtl/>
        </w:rPr>
        <w:t>–</w:t>
      </w:r>
      <w:r>
        <w:rPr>
          <w:rFonts w:cs="FrankRuehl" w:hint="cs"/>
          <w:rtl/>
        </w:rPr>
        <w:t xml:space="preserve"> תיקון מס' 2</w:t>
      </w:r>
      <w:r>
        <w:rPr>
          <w:rFonts w:cs="FrankRuehl"/>
          <w:rtl/>
        </w:rPr>
        <w:t xml:space="preserve"> </w:t>
      </w:r>
      <w:r>
        <w:rPr>
          <w:rFonts w:cs="FrankRuehl" w:hint="cs"/>
          <w:rtl/>
        </w:rPr>
        <w:t>בסעיף 27 לחוק הירושה (תיקון מס' 7), תשנ"ח-</w:t>
      </w:r>
      <w:r>
        <w:rPr>
          <w:rFonts w:cs="FrankRuehl"/>
          <w:rtl/>
        </w:rPr>
        <w:t xml:space="preserve">1998; </w:t>
      </w:r>
      <w:r>
        <w:rPr>
          <w:rFonts w:cs="FrankRuehl" w:hint="cs"/>
          <w:rtl/>
        </w:rPr>
        <w:t>תחילתו ביום 1.9.1998.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B10C" w14:textId="77777777" w:rsidR="00812F6F" w:rsidRDefault="00812F6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הצהרות מוות, תשל"ח–1978</w:t>
    </w:r>
  </w:p>
  <w:p w14:paraId="49DF081A" w14:textId="77777777" w:rsidR="00812F6F" w:rsidRDefault="00812F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46B91F" w14:textId="77777777" w:rsidR="00812F6F" w:rsidRDefault="00812F6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3C2B" w14:textId="77777777" w:rsidR="00812F6F" w:rsidRDefault="00812F6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הצהרות מוות, תשל"ח</w:t>
    </w:r>
    <w:r>
      <w:rPr>
        <w:rFonts w:hAnsi="FrankRuehl" w:cs="FrankRuehl" w:hint="cs"/>
        <w:color w:val="000000"/>
        <w:sz w:val="28"/>
        <w:szCs w:val="28"/>
        <w:rtl/>
      </w:rPr>
      <w:t>-</w:t>
    </w:r>
    <w:r>
      <w:rPr>
        <w:rFonts w:hAnsi="FrankRuehl" w:cs="FrankRuehl"/>
        <w:color w:val="000000"/>
        <w:sz w:val="28"/>
        <w:szCs w:val="28"/>
        <w:rtl/>
      </w:rPr>
      <w:t>1978</w:t>
    </w:r>
  </w:p>
  <w:p w14:paraId="245D1849" w14:textId="77777777" w:rsidR="00812F6F" w:rsidRDefault="00812F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797A1E" w14:textId="77777777" w:rsidR="00812F6F" w:rsidRDefault="00812F6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3BB8"/>
    <w:rsid w:val="00091377"/>
    <w:rsid w:val="001F6E98"/>
    <w:rsid w:val="0049142F"/>
    <w:rsid w:val="00563BB8"/>
    <w:rsid w:val="00812F6F"/>
    <w:rsid w:val="00926BE2"/>
    <w:rsid w:val="00EE7A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B00B8E"/>
  <w15:chartTrackingRefBased/>
  <w15:docId w15:val="{8753B559-E293-40C9-90AA-C447761D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670.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7/PROP-2048.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356.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2637.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356.pdf" TargetMode="External"/><Relationship Id="rId2" Type="http://schemas.openxmlformats.org/officeDocument/2006/relationships/hyperlink" Target="http://www.nevo.co.il/Law_word/law17/PROP-1155.pdf" TargetMode="External"/><Relationship Id="rId1" Type="http://schemas.openxmlformats.org/officeDocument/2006/relationships/hyperlink" Target="http://www.nevo.co.il/Law_word/law14/LAW-0882.pdf" TargetMode="External"/><Relationship Id="rId6" Type="http://schemas.openxmlformats.org/officeDocument/2006/relationships/hyperlink" Target="http://www.nevo.co.il/Law_word/law17/PROP-2637.pdf" TargetMode="External"/><Relationship Id="rId5" Type="http://schemas.openxmlformats.org/officeDocument/2006/relationships/hyperlink" Target="http://www.nevo.co.il/Law_word/law14/LAW-1670.pdf" TargetMode="External"/><Relationship Id="rId4" Type="http://schemas.openxmlformats.org/officeDocument/2006/relationships/hyperlink" Target="http://www.nevo.co.il/Law_word/law17/PROP-20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119</vt:lpstr>
    </vt:vector>
  </TitlesOfParts>
  <Company/>
  <LinksUpToDate>false</LinksUpToDate>
  <CharactersWithSpaces>4903</CharactersWithSpaces>
  <SharedDoc>false</SharedDoc>
  <HLinks>
    <vt:vector size="120" baseType="variant">
      <vt:variant>
        <vt:i4>524412</vt:i4>
      </vt:variant>
      <vt:variant>
        <vt:i4>69</vt:i4>
      </vt:variant>
      <vt:variant>
        <vt:i4>0</vt:i4>
      </vt:variant>
      <vt:variant>
        <vt:i4>5</vt:i4>
      </vt:variant>
      <vt:variant>
        <vt:lpwstr>http://www.nevo.co.il/Law_word/law17/PROP-2637.pdf</vt:lpwstr>
      </vt:variant>
      <vt:variant>
        <vt:lpwstr/>
      </vt:variant>
      <vt:variant>
        <vt:i4>7929871</vt:i4>
      </vt:variant>
      <vt:variant>
        <vt:i4>66</vt:i4>
      </vt:variant>
      <vt:variant>
        <vt:i4>0</vt:i4>
      </vt:variant>
      <vt:variant>
        <vt:i4>5</vt:i4>
      </vt:variant>
      <vt:variant>
        <vt:lpwstr>http://www.nevo.co.il/Law_word/law14/LAW-1670.pdf</vt:lpwstr>
      </vt:variant>
      <vt:variant>
        <vt:lpwstr/>
      </vt:variant>
      <vt:variant>
        <vt:i4>65659</vt:i4>
      </vt:variant>
      <vt:variant>
        <vt:i4>63</vt:i4>
      </vt:variant>
      <vt:variant>
        <vt:i4>0</vt:i4>
      </vt:variant>
      <vt:variant>
        <vt:i4>5</vt:i4>
      </vt:variant>
      <vt:variant>
        <vt:lpwstr>http://www.nevo.co.il/Law_word/law17/PROP-2048.pdf</vt:lpwstr>
      </vt:variant>
      <vt:variant>
        <vt:lpwstr/>
      </vt:variant>
      <vt:variant>
        <vt:i4>8060940</vt:i4>
      </vt:variant>
      <vt:variant>
        <vt:i4>60</vt:i4>
      </vt:variant>
      <vt:variant>
        <vt:i4>0</vt:i4>
      </vt:variant>
      <vt:variant>
        <vt:i4>5</vt:i4>
      </vt:variant>
      <vt:variant>
        <vt:lpwstr>http://www.nevo.co.il/Law_word/law14/LAW-1356.pdf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524412</vt:i4>
      </vt:variant>
      <vt:variant>
        <vt:i4>15</vt:i4>
      </vt:variant>
      <vt:variant>
        <vt:i4>0</vt:i4>
      </vt:variant>
      <vt:variant>
        <vt:i4>5</vt:i4>
      </vt:variant>
      <vt:variant>
        <vt:lpwstr>http://www.nevo.co.il/Law_word/law17/PROP-2637.pdf</vt:lpwstr>
      </vt:variant>
      <vt:variant>
        <vt:lpwstr/>
      </vt:variant>
      <vt:variant>
        <vt:i4>7929871</vt:i4>
      </vt:variant>
      <vt:variant>
        <vt:i4>12</vt:i4>
      </vt:variant>
      <vt:variant>
        <vt:i4>0</vt:i4>
      </vt:variant>
      <vt:variant>
        <vt:i4>5</vt:i4>
      </vt:variant>
      <vt:variant>
        <vt:lpwstr>http://www.nevo.co.il/Law_word/law14/LAW-1670.pdf</vt:lpwstr>
      </vt:variant>
      <vt:variant>
        <vt:lpwstr/>
      </vt:variant>
      <vt:variant>
        <vt:i4>65659</vt:i4>
      </vt:variant>
      <vt:variant>
        <vt:i4>9</vt:i4>
      </vt:variant>
      <vt:variant>
        <vt:i4>0</vt:i4>
      </vt:variant>
      <vt:variant>
        <vt:i4>5</vt:i4>
      </vt:variant>
      <vt:variant>
        <vt:lpwstr>http://www.nevo.co.il/Law_word/law17/PROP-2048.pdf</vt:lpwstr>
      </vt:variant>
      <vt:variant>
        <vt:lpwstr/>
      </vt:variant>
      <vt:variant>
        <vt:i4>8060940</vt:i4>
      </vt:variant>
      <vt:variant>
        <vt:i4>6</vt:i4>
      </vt:variant>
      <vt:variant>
        <vt:i4>0</vt:i4>
      </vt:variant>
      <vt:variant>
        <vt:i4>5</vt:i4>
      </vt:variant>
      <vt:variant>
        <vt:lpwstr>http://www.nevo.co.il/Law_word/law14/LAW-1356.pdf</vt:lpwstr>
      </vt:variant>
      <vt:variant>
        <vt:lpwstr/>
      </vt:variant>
      <vt:variant>
        <vt:i4>852089</vt:i4>
      </vt:variant>
      <vt:variant>
        <vt:i4>3</vt:i4>
      </vt:variant>
      <vt:variant>
        <vt:i4>0</vt:i4>
      </vt:variant>
      <vt:variant>
        <vt:i4>5</vt:i4>
      </vt:variant>
      <vt:variant>
        <vt:lpwstr>http://www.nevo.co.il/Law_word/law17/PROP-1155.pdf</vt:lpwstr>
      </vt:variant>
      <vt:variant>
        <vt:lpwstr/>
      </vt:variant>
      <vt:variant>
        <vt:i4>7798787</vt:i4>
      </vt:variant>
      <vt:variant>
        <vt:i4>0</vt:i4>
      </vt:variant>
      <vt:variant>
        <vt:i4>0</vt:i4>
      </vt:variant>
      <vt:variant>
        <vt:i4>5</vt:i4>
      </vt:variant>
      <vt:variant>
        <vt:lpwstr>http://www.nevo.co.il/Law_word/law14/LAW-0882.pdf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119</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0119</vt:lpwstr>
  </property>
  <property fmtid="{D5CDD505-2E9C-101B-9397-08002B2CF9AE}" pid="3" name="CHNAME">
    <vt:lpwstr>הצהרות מוות</vt:lpwstr>
  </property>
  <property fmtid="{D5CDD505-2E9C-101B-9397-08002B2CF9AE}" pid="4" name="LAWNAME">
    <vt:lpwstr>חוק הצהרות מוות, תשל"ח-1978</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מוות</vt:lpwstr>
  </property>
  <property fmtid="{D5CDD505-2E9C-101B-9397-08002B2CF9AE}" pid="24" name="NOSE31">
    <vt:lpwstr>הצהרות מוות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