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CC25" w14:textId="77777777" w:rsidR="007C5E89" w:rsidRDefault="007C5E89" w:rsidP="00B17FA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הרבנות הראשית לישראל </w:t>
      </w:r>
      <w:r w:rsidR="00B17FA4">
        <w:rPr>
          <w:rFonts w:cs="FrankRuehl" w:hint="cs"/>
          <w:sz w:val="32"/>
          <w:rtl/>
        </w:rPr>
        <w:t xml:space="preserve">(הארכת כהונה של הרבנים הראשיים לישראל) </w:t>
      </w:r>
      <w:r>
        <w:rPr>
          <w:rFonts w:cs="FrankRuehl" w:hint="cs"/>
          <w:sz w:val="32"/>
          <w:rtl/>
        </w:rPr>
        <w:t xml:space="preserve">(הוראת שעה), </w:t>
      </w:r>
      <w:r w:rsidR="00B17FA4">
        <w:rPr>
          <w:rFonts w:cs="FrankRuehl" w:hint="cs"/>
          <w:sz w:val="32"/>
          <w:rtl/>
        </w:rPr>
        <w:t>תשע"ג-2013</w:t>
      </w:r>
    </w:p>
    <w:p w14:paraId="3A5389BF" w14:textId="77777777" w:rsidR="00852290" w:rsidRPr="00852290" w:rsidRDefault="00852290" w:rsidP="00852290">
      <w:pPr>
        <w:spacing w:line="320" w:lineRule="auto"/>
        <w:rPr>
          <w:rFonts w:cs="FrankRuehl"/>
          <w:szCs w:val="26"/>
          <w:rtl/>
        </w:rPr>
      </w:pPr>
    </w:p>
    <w:p w14:paraId="31D84A37" w14:textId="77777777" w:rsidR="00852290" w:rsidRDefault="00852290" w:rsidP="00852290">
      <w:pPr>
        <w:spacing w:line="320" w:lineRule="auto"/>
        <w:rPr>
          <w:rtl/>
        </w:rPr>
      </w:pPr>
    </w:p>
    <w:p w14:paraId="51A3F40D" w14:textId="77777777" w:rsidR="00852290" w:rsidRPr="00852290" w:rsidRDefault="00852290" w:rsidP="00852290">
      <w:pPr>
        <w:spacing w:line="320" w:lineRule="auto"/>
        <w:rPr>
          <w:rFonts w:cs="Miriam"/>
          <w:szCs w:val="22"/>
        </w:rPr>
      </w:pPr>
      <w:r w:rsidRPr="00852290">
        <w:rPr>
          <w:rFonts w:cs="Miriam"/>
          <w:szCs w:val="22"/>
          <w:rtl/>
        </w:rPr>
        <w:t>רשויות ומשפט מנהלי</w:t>
      </w:r>
      <w:r w:rsidRPr="00852290">
        <w:rPr>
          <w:rFonts w:cs="FrankRuehl"/>
          <w:szCs w:val="26"/>
        </w:rPr>
        <w:t xml:space="preserve"> – </w:t>
      </w:r>
      <w:r w:rsidRPr="00852290">
        <w:rPr>
          <w:rFonts w:cs="FrankRuehl"/>
          <w:szCs w:val="26"/>
          <w:rtl/>
        </w:rPr>
        <w:t>רבנות ושירותי דת</w:t>
      </w:r>
      <w:r w:rsidRPr="00852290">
        <w:rPr>
          <w:rFonts w:cs="FrankRuehl"/>
          <w:szCs w:val="26"/>
        </w:rPr>
        <w:t xml:space="preserve"> – </w:t>
      </w:r>
      <w:r w:rsidRPr="00852290">
        <w:rPr>
          <w:rFonts w:cs="FrankRuehl"/>
          <w:szCs w:val="26"/>
          <w:rtl/>
        </w:rPr>
        <w:t>רבנות ראשית</w:t>
      </w:r>
    </w:p>
    <w:p w14:paraId="19D668EC" w14:textId="77777777" w:rsidR="007C5E89" w:rsidRDefault="007C5E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C7308" w:rsidRPr="003C7308" w14:paraId="7CAD41D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83E32D" w14:textId="77777777" w:rsidR="003C7308" w:rsidRPr="003C7308" w:rsidRDefault="003C7308" w:rsidP="003C7308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BAF0D17" w14:textId="77777777" w:rsidR="003C7308" w:rsidRPr="003C7308" w:rsidRDefault="003C7308" w:rsidP="003C7308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הארכת כהונה   הוראת שעה</w:t>
            </w:r>
          </w:p>
        </w:tc>
        <w:tc>
          <w:tcPr>
            <w:tcW w:w="567" w:type="dxa"/>
          </w:tcPr>
          <w:p w14:paraId="1595F9BC" w14:textId="77777777" w:rsidR="003C7308" w:rsidRPr="003C7308" w:rsidRDefault="003C7308" w:rsidP="003C7308">
            <w:pPr>
              <w:rPr>
                <w:rStyle w:val="Hyperlink"/>
                <w:rFonts w:hint="cs"/>
                <w:rtl/>
              </w:rPr>
            </w:pPr>
            <w:hyperlink w:anchor="Seif1" w:tooltip="הארכת כהונה   הוראת שעה" w:history="1">
              <w:r w:rsidRPr="003C73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9A54A0" w14:textId="77777777" w:rsidR="003C7308" w:rsidRPr="003C7308" w:rsidRDefault="003C7308" w:rsidP="003C7308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DC4768E" w14:textId="77777777" w:rsidR="007C5E89" w:rsidRDefault="007C5E8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504F324" w14:textId="77777777" w:rsidR="007C5E89" w:rsidRDefault="007C5E89" w:rsidP="0085229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852290">
        <w:rPr>
          <w:rFonts w:cs="FrankRuehl" w:hint="cs"/>
          <w:sz w:val="32"/>
          <w:rtl/>
        </w:rPr>
        <w:lastRenderedPageBreak/>
        <w:t>חוק הרבנות הראשית לישראל (הארכת כהונה של הרבנים הראשיים לישראל) (הוראת שעה), תשע"ג-2013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9F05F7A" w14:textId="77777777" w:rsidR="007C5E89" w:rsidRDefault="007C5E89" w:rsidP="008522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C582022">
          <v:rect id="_x0000_s1026" style="position:absolute;left:0;text-align:left;margin-left:464.35pt;margin-top:7.1pt;width:75.05pt;height:16.95pt;z-index:251657728" o:allowincell="f" filled="f" stroked="f" strokecolor="lime" strokeweight=".25pt">
            <v:textbox style="mso-next-textbox:#_x0000_s1026" inset="0,0,0,0">
              <w:txbxContent>
                <w:p w14:paraId="40A0215B" w14:textId="77777777" w:rsidR="007C5E89" w:rsidRDefault="007C5E8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הארכת כהונה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על אף הוראות סעיף 16 לחוק הרבנות הראשית לישראל, התש"ם-1980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</w:t>
      </w:r>
      <w:r w:rsidR="00852290">
        <w:rPr>
          <w:rStyle w:val="default"/>
          <w:rFonts w:cs="FrankRuehl" w:hint="cs"/>
          <w:rtl/>
        </w:rPr>
        <w:t xml:space="preserve"> העיקרי</w:t>
      </w:r>
      <w:r>
        <w:rPr>
          <w:rStyle w:val="default"/>
          <w:rFonts w:cs="FrankRuehl" w:hint="cs"/>
          <w:rtl/>
        </w:rPr>
        <w:t xml:space="preserve">), </w:t>
      </w:r>
      <w:r w:rsidR="00852290">
        <w:rPr>
          <w:rStyle w:val="default"/>
          <w:rFonts w:cs="FrankRuehl" w:hint="cs"/>
          <w:rtl/>
        </w:rPr>
        <w:t>שני הרבנים הראשיים לישראל שכיהנו ערב תחילתו של חוק זה</w:t>
      </w:r>
      <w:r>
        <w:rPr>
          <w:rStyle w:val="default"/>
          <w:rFonts w:cs="FrankRuehl" w:hint="cs"/>
          <w:rtl/>
        </w:rPr>
        <w:t xml:space="preserve">, יוסיפו לכהן עד </w:t>
      </w:r>
      <w:r w:rsidR="00852290">
        <w:rPr>
          <w:rStyle w:val="default"/>
          <w:rFonts w:cs="FrankRuehl" w:hint="cs"/>
          <w:rtl/>
        </w:rPr>
        <w:t xml:space="preserve">מועד </w:t>
      </w:r>
      <w:r>
        <w:rPr>
          <w:rStyle w:val="default"/>
          <w:rFonts w:cs="FrankRuehl" w:hint="cs"/>
          <w:rtl/>
        </w:rPr>
        <w:t xml:space="preserve">היבחרם של </w:t>
      </w:r>
      <w:r w:rsidR="00852290">
        <w:rPr>
          <w:rStyle w:val="default"/>
          <w:rFonts w:cs="FrankRuehl" w:hint="cs"/>
          <w:rtl/>
        </w:rPr>
        <w:t>הרבנים הראשיים לישראל לפי החוק העיקרי</w:t>
      </w:r>
      <w:r>
        <w:rPr>
          <w:rStyle w:val="default"/>
          <w:rFonts w:cs="FrankRuehl" w:hint="cs"/>
          <w:rtl/>
        </w:rPr>
        <w:t xml:space="preserve"> או עד יום </w:t>
      </w:r>
      <w:r w:rsidR="00852290">
        <w:rPr>
          <w:rStyle w:val="default"/>
          <w:rFonts w:cs="FrankRuehl" w:hint="cs"/>
          <w:rtl/>
        </w:rPr>
        <w:t>י"ז באב התשע"ג (24 ביולי 2013</w:t>
      </w:r>
      <w:r>
        <w:rPr>
          <w:rStyle w:val="default"/>
          <w:rFonts w:cs="FrankRuehl" w:hint="cs"/>
          <w:rtl/>
        </w:rPr>
        <w:t>), לפי המוקדם.</w:t>
      </w:r>
    </w:p>
    <w:p w14:paraId="158BBC64" w14:textId="77777777" w:rsidR="007C5E89" w:rsidRDefault="007C5E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C6FF8D" w14:textId="77777777" w:rsidR="007C5E89" w:rsidRDefault="007C5E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46990A" w14:textId="77777777" w:rsidR="007C5E89" w:rsidRDefault="007C5E89" w:rsidP="008522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 w:rsidR="00852290">
        <w:rPr>
          <w:rStyle w:val="default"/>
          <w:rFonts w:cs="FrankRuehl" w:hint="cs"/>
          <w:rtl/>
        </w:rPr>
        <w:t>בנימין נתניהו</w:t>
      </w:r>
    </w:p>
    <w:p w14:paraId="546A0626" w14:textId="77777777" w:rsidR="007C5E89" w:rsidRDefault="007C5E89" w:rsidP="008522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  <w:tab w:val="center" w:pos="623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ראש הממשלה</w:t>
      </w:r>
    </w:p>
    <w:p w14:paraId="027AC0C4" w14:textId="77777777" w:rsidR="007C5E89" w:rsidRDefault="007C5E89" w:rsidP="008522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שמעון פרס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 w:rsidR="00852290">
        <w:rPr>
          <w:rStyle w:val="default"/>
          <w:rFonts w:cs="FrankRuehl" w:hint="cs"/>
          <w:rtl/>
        </w:rPr>
        <w:t>יולי יואל אדלשטיין</w:t>
      </w:r>
    </w:p>
    <w:p w14:paraId="3A41D454" w14:textId="77777777" w:rsidR="007C5E89" w:rsidRDefault="007C5E89" w:rsidP="008522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  <w:tab w:val="center" w:pos="623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נשיא המדינה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יושב ראש הכנסת</w:t>
      </w:r>
    </w:p>
    <w:p w14:paraId="0A7B6C0B" w14:textId="77777777" w:rsidR="00852290" w:rsidRDefault="0085229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3BEC9E17" w14:textId="77777777" w:rsidR="007C5E89" w:rsidRDefault="007C5E89">
      <w:pPr>
        <w:pStyle w:val="sig-0"/>
        <w:ind w:left="0" w:right="1134"/>
        <w:rPr>
          <w:rFonts w:cs="FrankRuehl" w:hint="cs"/>
          <w:sz w:val="26"/>
          <w:rtl/>
        </w:rPr>
      </w:pPr>
    </w:p>
    <w:p w14:paraId="7F79A5C1" w14:textId="77777777" w:rsidR="003C7308" w:rsidRDefault="003C7308">
      <w:pPr>
        <w:pStyle w:val="sig-0"/>
        <w:ind w:left="0" w:right="1134"/>
        <w:rPr>
          <w:rFonts w:cs="FrankRuehl"/>
          <w:sz w:val="26"/>
          <w:rtl/>
        </w:rPr>
      </w:pPr>
    </w:p>
    <w:p w14:paraId="78D8CF4D" w14:textId="77777777" w:rsidR="003C7308" w:rsidRDefault="003C7308">
      <w:pPr>
        <w:pStyle w:val="sig-0"/>
        <w:ind w:left="0" w:right="1134"/>
        <w:rPr>
          <w:rFonts w:cs="FrankRuehl"/>
          <w:sz w:val="26"/>
          <w:rtl/>
        </w:rPr>
      </w:pPr>
    </w:p>
    <w:p w14:paraId="3095B648" w14:textId="77777777" w:rsidR="003C7308" w:rsidRDefault="003C7308" w:rsidP="003C7308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A7EC4FD" w14:textId="77777777" w:rsidR="007C5E89" w:rsidRPr="003C7308" w:rsidRDefault="007C5E89" w:rsidP="003C7308">
      <w:pPr>
        <w:pStyle w:val="sig-0"/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7C5E89" w:rsidRPr="003C730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A2F44" w14:textId="77777777" w:rsidR="00634881" w:rsidRDefault="00634881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4B2C98EC" w14:textId="77777777" w:rsidR="00634881" w:rsidRDefault="00634881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1BD33" w14:textId="77777777" w:rsidR="007C5E89" w:rsidRDefault="007C5E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7C44ACF" w14:textId="77777777" w:rsidR="007C5E89" w:rsidRDefault="007C5E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076B5A6" w14:textId="77777777" w:rsidR="007C5E89" w:rsidRDefault="007C5E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C7308">
      <w:rPr>
        <w:rFonts w:cs="TopType Jerushalmi"/>
        <w:noProof/>
        <w:color w:val="000000"/>
        <w:sz w:val="14"/>
        <w:szCs w:val="14"/>
      </w:rPr>
      <w:t>Z:\000-law\yael\2013\2013-03-27\tav\500_858.doc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A058" w14:textId="77777777" w:rsidR="007C5E89" w:rsidRDefault="007C5E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C730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D3D320D" w14:textId="77777777" w:rsidR="007C5E89" w:rsidRDefault="007C5E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FB5EDB8" w14:textId="77777777" w:rsidR="007C5E89" w:rsidRDefault="007C5E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C7308">
      <w:rPr>
        <w:rFonts w:cs="TopType Jerushalmi"/>
        <w:noProof/>
        <w:color w:val="000000"/>
        <w:sz w:val="14"/>
        <w:szCs w:val="14"/>
      </w:rPr>
      <w:t>Z:\000-law\yael\2013\2013-03-27\tav\500_858.doc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5ACDE" w14:textId="77777777" w:rsidR="00634881" w:rsidRDefault="00634881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2EEFA34B" w14:textId="77777777" w:rsidR="00634881" w:rsidRDefault="00634881">
      <w:pPr>
        <w:rPr>
          <w:rFonts w:cs="Arial"/>
          <w:szCs w:val="20"/>
        </w:rPr>
      </w:pPr>
      <w:r>
        <w:continuationSeparator/>
      </w:r>
    </w:p>
  </w:footnote>
  <w:footnote w:id="1">
    <w:p w14:paraId="30DE947D" w14:textId="77777777" w:rsidR="005244BC" w:rsidRDefault="007C5E89" w:rsidP="005244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5244BC">
          <w:rPr>
            <w:rStyle w:val="Hyperlink"/>
            <w:rFonts w:cs="FrankRuehl" w:hint="cs"/>
            <w:rtl/>
          </w:rPr>
          <w:t xml:space="preserve">ס"ח </w:t>
        </w:r>
        <w:r w:rsidR="00852290" w:rsidRPr="005244BC">
          <w:rPr>
            <w:rStyle w:val="Hyperlink"/>
            <w:rFonts w:cs="FrankRuehl" w:hint="cs"/>
            <w:rtl/>
          </w:rPr>
          <w:t>תשע"ג</w:t>
        </w:r>
        <w:r w:rsidRPr="005244BC">
          <w:rPr>
            <w:rStyle w:val="Hyperlink"/>
            <w:rFonts w:cs="FrankRuehl" w:hint="cs"/>
            <w:rtl/>
          </w:rPr>
          <w:t xml:space="preserve"> מס' </w:t>
        </w:r>
        <w:r w:rsidR="00852290" w:rsidRPr="005244BC">
          <w:rPr>
            <w:rStyle w:val="Hyperlink"/>
            <w:rFonts w:cs="FrankRuehl" w:hint="cs"/>
            <w:rtl/>
          </w:rPr>
          <w:t>2391</w:t>
        </w:r>
      </w:hyperlink>
      <w:r>
        <w:rPr>
          <w:rFonts w:cs="FrankRuehl" w:hint="cs"/>
          <w:rtl/>
        </w:rPr>
        <w:t xml:space="preserve"> מיום </w:t>
      </w:r>
      <w:r w:rsidR="00852290">
        <w:rPr>
          <w:rFonts w:cs="FrankRuehl" w:hint="cs"/>
          <w:rtl/>
        </w:rPr>
        <w:t>20.3.2013</w:t>
      </w:r>
      <w:r>
        <w:rPr>
          <w:rFonts w:cs="FrankRuehl" w:hint="cs"/>
          <w:rtl/>
        </w:rPr>
        <w:t xml:space="preserve"> עמ' </w:t>
      </w:r>
      <w:r w:rsidR="00852290">
        <w:rPr>
          <w:rFonts w:cs="FrankRuehl" w:hint="cs"/>
          <w:rtl/>
        </w:rPr>
        <w:t>52</w:t>
      </w:r>
      <w:r>
        <w:rPr>
          <w:rFonts w:cs="FrankRuehl" w:hint="cs"/>
          <w:rtl/>
        </w:rPr>
        <w:t xml:space="preserve"> (</w:t>
      </w:r>
      <w:hyperlink r:id="rId2" w:history="1">
        <w:r w:rsidRPr="00852290">
          <w:rPr>
            <w:rStyle w:val="Hyperlink"/>
            <w:rFonts w:cs="FrankRuehl" w:hint="cs"/>
            <w:rtl/>
          </w:rPr>
          <w:t xml:space="preserve">ה"ח הממשלה </w:t>
        </w:r>
        <w:r w:rsidR="00852290" w:rsidRPr="00852290">
          <w:rPr>
            <w:rStyle w:val="Hyperlink"/>
            <w:rFonts w:cs="FrankRuehl" w:hint="cs"/>
            <w:rtl/>
          </w:rPr>
          <w:t>תשע"ג מס' 748</w:t>
        </w:r>
      </w:hyperlink>
      <w:r>
        <w:rPr>
          <w:rFonts w:cs="FrankRuehl" w:hint="cs"/>
          <w:rtl/>
        </w:rPr>
        <w:t xml:space="preserve"> עמ' </w:t>
      </w:r>
      <w:r w:rsidR="00852290">
        <w:rPr>
          <w:rFonts w:cs="FrankRuehl" w:hint="cs"/>
          <w:rtl/>
        </w:rPr>
        <w:t>258</w:t>
      </w:r>
      <w:r>
        <w:rPr>
          <w:rFonts w:cs="FrankRuehl"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4A32" w14:textId="77777777" w:rsidR="007C5E89" w:rsidRDefault="007C5E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0140DA6" w14:textId="77777777"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5C5698" w14:textId="77777777"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5E9D8" w14:textId="77777777" w:rsidR="007C5E89" w:rsidRDefault="007C5E89" w:rsidP="00B17FA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הרבנות הראשית לישראל </w:t>
    </w:r>
    <w:r w:rsidR="00B17FA4">
      <w:rPr>
        <w:rFonts w:hAnsi="FrankRuehl" w:cs="FrankRuehl" w:hint="cs"/>
        <w:color w:val="000000"/>
        <w:sz w:val="28"/>
        <w:szCs w:val="28"/>
        <w:rtl/>
      </w:rPr>
      <w:t xml:space="preserve">(הארכת כהונה של הרבנים הראשיים לישראל) </w:t>
    </w:r>
    <w:r>
      <w:rPr>
        <w:rFonts w:hAnsi="FrankRuehl" w:cs="FrankRuehl" w:hint="cs"/>
        <w:color w:val="000000"/>
        <w:sz w:val="28"/>
        <w:szCs w:val="28"/>
        <w:rtl/>
      </w:rPr>
      <w:t xml:space="preserve">(הוראת שעה), </w:t>
    </w:r>
    <w:r w:rsidR="00B17FA4">
      <w:rPr>
        <w:rFonts w:hAnsi="FrankRuehl" w:cs="FrankRuehl" w:hint="cs"/>
        <w:color w:val="000000"/>
        <w:sz w:val="28"/>
        <w:szCs w:val="28"/>
        <w:rtl/>
      </w:rPr>
      <w:t>תשע"ג-2013</w:t>
    </w:r>
  </w:p>
  <w:p w14:paraId="0818D418" w14:textId="77777777"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8D6147" w14:textId="77777777"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4242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2EE4"/>
    <w:rsid w:val="003B2EE4"/>
    <w:rsid w:val="003C7308"/>
    <w:rsid w:val="005244BC"/>
    <w:rsid w:val="00634881"/>
    <w:rsid w:val="007C5E89"/>
    <w:rsid w:val="00852290"/>
    <w:rsid w:val="00991B47"/>
    <w:rsid w:val="00B17FA4"/>
    <w:rsid w:val="00CF476F"/>
    <w:rsid w:val="00FF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3445BF4"/>
  <w15:chartTrackingRefBased/>
  <w15:docId w15:val="{D7BB5BC2-AA6D-48F8-90D0-DE120AD1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5/memshala-748.pdf" TargetMode="External"/><Relationship Id="rId1" Type="http://schemas.openxmlformats.org/officeDocument/2006/relationships/hyperlink" Target="http://www.nevo.co.il/Law_word/law14/LAW-23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857</CharactersWithSpaces>
  <SharedDoc>false</SharedDoc>
  <HLinks>
    <vt:vector size="24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7864412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http://www.nevo.co.il/Law_word/law15/memshala-748.pdf</vt:lpwstr>
      </vt:variant>
      <vt:variant>
        <vt:lpwstr/>
      </vt:variant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http://www.nevo.co.il/Law_word/law14/LAW-2391.pdf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2023-06-05T19:00:00Z</dcterms:created>
  <dcterms:modified xsi:type="dcterms:W3CDTF">2023-06-05T19:00:00Z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חוק הרבנות הראשית לישראל (הארכת כהונה של הרבנים הראשיים לישראל) (הוראת שעה), תשע"ג-2013</vt:lpwstr>
  </property>
  <property fmtid="{D5CDD505-2E9C-101B-9397-08002B2CF9AE}" pid="4" name="LAWNUMBER">
    <vt:lpwstr>0858</vt:lpwstr>
  </property>
  <property fmtid="{D5CDD505-2E9C-101B-9397-08002B2CF9AE}" pid="5" name="TYPE">
    <vt:lpwstr>01</vt:lpwstr>
  </property>
  <property fmtid="{D5CDD505-2E9C-101B-9397-08002B2CF9AE}" pid="6" name="CHNAME">
    <vt:lpwstr>שירותי דת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רשויות ומשפט מנהלי</vt:lpwstr>
  </property>
  <property fmtid="{D5CDD505-2E9C-101B-9397-08002B2CF9AE}" pid="21" name="NOSE21">
    <vt:lpwstr>רבנות ושירותי דת</vt:lpwstr>
  </property>
  <property fmtid="{D5CDD505-2E9C-101B-9397-08002B2CF9AE}" pid="22" name="NOSE31">
    <vt:lpwstr>רבנות ראשית</vt:lpwstr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SAMCHUT">
    <vt:lpwstr/>
  </property>
  <property fmtid="{D5CDD505-2E9C-101B-9397-08002B2CF9AE}" pid="61" name="LINKK1">
    <vt:lpwstr>http://www.nevo.co.il/Law_word/law14/LAW-2391.pdf;‎רשומות - ספר חוקים#פורסם ס"ח תשע"ג ‏מס' 2391 #מיום 20.3.2013 עמ' 52‏</vt:lpwstr>
  </property>
  <property fmtid="{D5CDD505-2E9C-101B-9397-08002B2CF9AE}" pid="62" name="LINKK2">
    <vt:lpwstr/>
  </property>
</Properties>
</file>