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B43" w:rsidRDefault="00B02B43">
      <w:pPr>
        <w:pStyle w:val="big-header"/>
        <w:ind w:left="0" w:right="1134"/>
        <w:rPr>
          <w:rFonts w:cs="FrankRuehl"/>
          <w:sz w:val="32"/>
        </w:rPr>
      </w:pPr>
      <w:r>
        <w:rPr>
          <w:rFonts w:cs="FrankRuehl" w:hint="cs"/>
          <w:sz w:val="32"/>
          <w:rtl/>
        </w:rPr>
        <w:t>חוק הרשויות המקומיות (ביטול איחוד המועצות המקומיות אבו סנאן, ג'וליס, ינוח-ג'ת וירכא), תשס"ד-2004</w:t>
      </w:r>
    </w:p>
    <w:p w:rsidR="00A521D7" w:rsidRPr="00A521D7" w:rsidRDefault="00A521D7" w:rsidP="00A521D7">
      <w:pPr>
        <w:spacing w:line="320" w:lineRule="auto"/>
        <w:rPr>
          <w:rFonts w:cs="FrankRuehl"/>
          <w:szCs w:val="26"/>
          <w:rtl/>
        </w:rPr>
      </w:pPr>
    </w:p>
    <w:p w:rsidR="00A521D7" w:rsidRDefault="00A521D7" w:rsidP="00A521D7">
      <w:pPr>
        <w:spacing w:line="320" w:lineRule="auto"/>
        <w:rPr>
          <w:rtl/>
        </w:rPr>
      </w:pPr>
    </w:p>
    <w:p w:rsidR="00A521D7" w:rsidRPr="00A521D7" w:rsidRDefault="00A521D7" w:rsidP="00A521D7">
      <w:pPr>
        <w:spacing w:line="320" w:lineRule="auto"/>
        <w:rPr>
          <w:rFonts w:cs="Miriam"/>
          <w:szCs w:val="22"/>
          <w:rtl/>
        </w:rPr>
      </w:pPr>
      <w:r w:rsidRPr="00A521D7">
        <w:rPr>
          <w:rFonts w:cs="Miriam"/>
          <w:szCs w:val="22"/>
          <w:rtl/>
        </w:rPr>
        <w:t>רשויות ומשפט מנהלי</w:t>
      </w:r>
      <w:r w:rsidRPr="00A521D7">
        <w:rPr>
          <w:rFonts w:cs="FrankRuehl"/>
          <w:szCs w:val="26"/>
          <w:rtl/>
        </w:rPr>
        <w:t xml:space="preserve"> – רשויות מקומיות</w:t>
      </w:r>
    </w:p>
    <w:p w:rsidR="00B02B43" w:rsidRDefault="00B02B43">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0" w:tooltip="הגדרות" w:history="1">
              <w:r>
                <w:rPr>
                  <w:rStyle w:val="Hyperlink"/>
                </w:rPr>
                <w:t>Go</w:t>
              </w:r>
            </w:hyperlink>
          </w:p>
        </w:tc>
        <w:tc>
          <w:tcPr>
            <w:tcW w:w="5669" w:type="dxa"/>
          </w:tcPr>
          <w:p w:rsidR="00384DC1" w:rsidRDefault="00384DC1">
            <w:pPr>
              <w:rPr>
                <w:rtl/>
              </w:rPr>
            </w:pPr>
            <w:r>
              <w:rPr>
                <w:rtl/>
              </w:rPr>
              <w:t>הגדרות</w:t>
            </w:r>
          </w:p>
        </w:tc>
        <w:tc>
          <w:tcPr>
            <w:tcW w:w="1247" w:type="dxa"/>
          </w:tcPr>
          <w:p w:rsidR="00384DC1" w:rsidRDefault="00384DC1">
            <w:pPr>
              <w:rPr>
                <w:rFonts w:hint="cs"/>
              </w:rPr>
            </w:pPr>
            <w:r>
              <w:rPr>
                <w:rtl/>
              </w:rPr>
              <w:t xml:space="preserve">סעיף 1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1" w:tooltip="השבת מעמדן של רשויות מקומיות מסוימות" w:history="1">
              <w:r>
                <w:rPr>
                  <w:rStyle w:val="Hyperlink"/>
                </w:rPr>
                <w:t>Go</w:t>
              </w:r>
            </w:hyperlink>
          </w:p>
        </w:tc>
        <w:tc>
          <w:tcPr>
            <w:tcW w:w="5669" w:type="dxa"/>
          </w:tcPr>
          <w:p w:rsidR="00384DC1" w:rsidRDefault="00384DC1">
            <w:pPr>
              <w:rPr>
                <w:rtl/>
              </w:rPr>
            </w:pPr>
            <w:r>
              <w:rPr>
                <w:rtl/>
              </w:rPr>
              <w:t>השבת מעמדן של רשויות מקומיות מסוימות</w:t>
            </w:r>
          </w:p>
        </w:tc>
        <w:tc>
          <w:tcPr>
            <w:tcW w:w="1247" w:type="dxa"/>
          </w:tcPr>
          <w:p w:rsidR="00384DC1" w:rsidRDefault="00384DC1">
            <w:pPr>
              <w:rPr>
                <w:rFonts w:hint="cs"/>
              </w:rPr>
            </w:pPr>
            <w:r>
              <w:rPr>
                <w:rtl/>
              </w:rPr>
              <w:t xml:space="preserve">סעיף 2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2" w:tooltip="בחירות" w:history="1">
              <w:r>
                <w:rPr>
                  <w:rStyle w:val="Hyperlink"/>
                </w:rPr>
                <w:t>Go</w:t>
              </w:r>
            </w:hyperlink>
          </w:p>
        </w:tc>
        <w:tc>
          <w:tcPr>
            <w:tcW w:w="5669" w:type="dxa"/>
          </w:tcPr>
          <w:p w:rsidR="00384DC1" w:rsidRDefault="00384DC1">
            <w:pPr>
              <w:rPr>
                <w:rtl/>
              </w:rPr>
            </w:pPr>
            <w:r>
              <w:rPr>
                <w:rtl/>
              </w:rPr>
              <w:t>בחירות</w:t>
            </w:r>
          </w:p>
        </w:tc>
        <w:tc>
          <w:tcPr>
            <w:tcW w:w="1247" w:type="dxa"/>
          </w:tcPr>
          <w:p w:rsidR="00384DC1" w:rsidRDefault="00384DC1">
            <w:pPr>
              <w:rPr>
                <w:rFonts w:hint="cs"/>
              </w:rPr>
            </w:pPr>
            <w:r>
              <w:rPr>
                <w:rtl/>
              </w:rPr>
              <w:t xml:space="preserve">סעיף 3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3" w:tooltip="תקופת מעבר" w:history="1">
              <w:r>
                <w:rPr>
                  <w:rStyle w:val="Hyperlink"/>
                </w:rPr>
                <w:t>Go</w:t>
              </w:r>
            </w:hyperlink>
          </w:p>
        </w:tc>
        <w:tc>
          <w:tcPr>
            <w:tcW w:w="5669" w:type="dxa"/>
          </w:tcPr>
          <w:p w:rsidR="00384DC1" w:rsidRDefault="00384DC1">
            <w:pPr>
              <w:rPr>
                <w:rtl/>
              </w:rPr>
            </w:pPr>
            <w:r>
              <w:rPr>
                <w:rtl/>
              </w:rPr>
              <w:t>תקופת מעבר</w:t>
            </w:r>
          </w:p>
        </w:tc>
        <w:tc>
          <w:tcPr>
            <w:tcW w:w="1247" w:type="dxa"/>
          </w:tcPr>
          <w:p w:rsidR="00384DC1" w:rsidRDefault="00384DC1">
            <w:pPr>
              <w:rPr>
                <w:rFonts w:hint="cs"/>
              </w:rPr>
            </w:pPr>
            <w:r>
              <w:rPr>
                <w:rtl/>
              </w:rPr>
              <w:t xml:space="preserve">סעיף 4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4" w:tooltip="ביטול הרשות המאוחדת" w:history="1">
              <w:r>
                <w:rPr>
                  <w:rStyle w:val="Hyperlink"/>
                </w:rPr>
                <w:t>Go</w:t>
              </w:r>
            </w:hyperlink>
          </w:p>
        </w:tc>
        <w:tc>
          <w:tcPr>
            <w:tcW w:w="5669" w:type="dxa"/>
          </w:tcPr>
          <w:p w:rsidR="00384DC1" w:rsidRDefault="00384DC1">
            <w:pPr>
              <w:rPr>
                <w:rtl/>
              </w:rPr>
            </w:pPr>
            <w:r>
              <w:rPr>
                <w:rtl/>
              </w:rPr>
              <w:t>ביטול הרשות המאוחדת</w:t>
            </w:r>
          </w:p>
        </w:tc>
        <w:tc>
          <w:tcPr>
            <w:tcW w:w="1247" w:type="dxa"/>
          </w:tcPr>
          <w:p w:rsidR="00384DC1" w:rsidRDefault="00384DC1">
            <w:pPr>
              <w:rPr>
                <w:rFonts w:hint="cs"/>
              </w:rPr>
            </w:pPr>
            <w:r>
              <w:rPr>
                <w:rtl/>
              </w:rPr>
              <w:t xml:space="preserve">סעיף 5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5" w:tooltip="איסור התקשרויות חדשות" w:history="1">
              <w:r>
                <w:rPr>
                  <w:rStyle w:val="Hyperlink"/>
                </w:rPr>
                <w:t>Go</w:t>
              </w:r>
            </w:hyperlink>
          </w:p>
        </w:tc>
        <w:tc>
          <w:tcPr>
            <w:tcW w:w="5669" w:type="dxa"/>
          </w:tcPr>
          <w:p w:rsidR="00384DC1" w:rsidRDefault="00384DC1">
            <w:pPr>
              <w:rPr>
                <w:rtl/>
              </w:rPr>
            </w:pPr>
            <w:r>
              <w:rPr>
                <w:rtl/>
              </w:rPr>
              <w:t>איסור התקשרויות חדשות</w:t>
            </w:r>
          </w:p>
        </w:tc>
        <w:tc>
          <w:tcPr>
            <w:tcW w:w="1247" w:type="dxa"/>
          </w:tcPr>
          <w:p w:rsidR="00384DC1" w:rsidRDefault="00384DC1">
            <w:pPr>
              <w:rPr>
                <w:rFonts w:hint="cs"/>
              </w:rPr>
            </w:pPr>
            <w:r>
              <w:rPr>
                <w:rtl/>
              </w:rPr>
              <w:t xml:space="preserve">סעיף 6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6" w:tooltip="תיאום חשבונות וחלוקת חובות וזכויות" w:history="1">
              <w:r>
                <w:rPr>
                  <w:rStyle w:val="Hyperlink"/>
                </w:rPr>
                <w:t>Go</w:t>
              </w:r>
            </w:hyperlink>
          </w:p>
        </w:tc>
        <w:tc>
          <w:tcPr>
            <w:tcW w:w="5669" w:type="dxa"/>
          </w:tcPr>
          <w:p w:rsidR="00384DC1" w:rsidRDefault="00384DC1">
            <w:pPr>
              <w:rPr>
                <w:rtl/>
              </w:rPr>
            </w:pPr>
            <w:r>
              <w:rPr>
                <w:rtl/>
              </w:rPr>
              <w:t>תיאום חשבונות וחלוקת חובות וזכויות</w:t>
            </w:r>
          </w:p>
        </w:tc>
        <w:tc>
          <w:tcPr>
            <w:tcW w:w="1247" w:type="dxa"/>
          </w:tcPr>
          <w:p w:rsidR="00384DC1" w:rsidRDefault="00384DC1">
            <w:pPr>
              <w:rPr>
                <w:rFonts w:hint="cs"/>
              </w:rPr>
            </w:pPr>
            <w:r>
              <w:rPr>
                <w:rtl/>
              </w:rPr>
              <w:t xml:space="preserve">סעיף 7 </w:t>
            </w:r>
          </w:p>
        </w:tc>
      </w:tr>
      <w:tr w:rsidR="00384DC1">
        <w:tblPrEx>
          <w:tblCellMar>
            <w:top w:w="0" w:type="dxa"/>
            <w:bottom w:w="0" w:type="dxa"/>
          </w:tblCellMar>
        </w:tblPrEx>
        <w:trPr>
          <w:jc w:val="right"/>
        </w:trPr>
        <w:tc>
          <w:tcPr>
            <w:tcW w:w="850" w:type="dxa"/>
          </w:tcPr>
          <w:p w:rsidR="00384DC1" w:rsidRDefault="00384DC1">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sidR="00B02B43">
              <w:rPr>
                <w:noProof/>
                <w:rtl/>
              </w:rPr>
              <w:t>2</w:t>
            </w:r>
            <w:r>
              <w:rPr>
                <w:rtl/>
              </w:rPr>
              <w:fldChar w:fldCharType="end"/>
            </w:r>
          </w:p>
        </w:tc>
        <w:tc>
          <w:tcPr>
            <w:tcW w:w="567" w:type="dxa"/>
          </w:tcPr>
          <w:p w:rsidR="00384DC1" w:rsidRDefault="00384DC1">
            <w:pPr>
              <w:rPr>
                <w:rFonts w:hint="cs"/>
              </w:rPr>
            </w:pPr>
            <w:hyperlink w:anchor="Seif7" w:tooltip="ביצוע ותקנות" w:history="1">
              <w:r>
                <w:rPr>
                  <w:rStyle w:val="Hyperlink"/>
                </w:rPr>
                <w:t>Go</w:t>
              </w:r>
            </w:hyperlink>
          </w:p>
        </w:tc>
        <w:tc>
          <w:tcPr>
            <w:tcW w:w="5669" w:type="dxa"/>
          </w:tcPr>
          <w:p w:rsidR="00384DC1" w:rsidRDefault="00384DC1">
            <w:pPr>
              <w:rPr>
                <w:rtl/>
              </w:rPr>
            </w:pPr>
            <w:r>
              <w:rPr>
                <w:rtl/>
              </w:rPr>
              <w:t>ביצוע ותקנות</w:t>
            </w:r>
          </w:p>
        </w:tc>
        <w:tc>
          <w:tcPr>
            <w:tcW w:w="1247" w:type="dxa"/>
          </w:tcPr>
          <w:p w:rsidR="00384DC1" w:rsidRDefault="00384DC1">
            <w:pPr>
              <w:rPr>
                <w:rFonts w:hint="cs"/>
              </w:rPr>
            </w:pPr>
            <w:r>
              <w:rPr>
                <w:rtl/>
              </w:rPr>
              <w:t xml:space="preserve">סעיף 8 </w:t>
            </w:r>
          </w:p>
        </w:tc>
      </w:tr>
    </w:tbl>
    <w:p w:rsidR="00B02B43" w:rsidRDefault="00B02B43">
      <w:pPr>
        <w:pStyle w:val="big-header"/>
        <w:ind w:left="0" w:right="1134"/>
        <w:rPr>
          <w:rFonts w:cs="FrankRuehl" w:hint="cs"/>
          <w:sz w:val="32"/>
          <w:rtl/>
        </w:rPr>
      </w:pPr>
    </w:p>
    <w:p w:rsidR="00384DC1" w:rsidRDefault="00B02B43" w:rsidP="00A521D7">
      <w:pPr>
        <w:pStyle w:val="big-header"/>
        <w:ind w:left="0" w:right="1134"/>
        <w:rPr>
          <w:rFonts w:cs="FrankRuehl" w:hint="cs"/>
          <w:sz w:val="32"/>
          <w:rtl/>
        </w:rPr>
      </w:pPr>
      <w:r>
        <w:rPr>
          <w:rFonts w:cs="FrankRuehl"/>
          <w:sz w:val="32"/>
          <w:rtl/>
        </w:rPr>
        <w:br w:type="page"/>
      </w:r>
      <w:r w:rsidR="00384DC1">
        <w:rPr>
          <w:rFonts w:cs="FrankRuehl" w:hint="cs"/>
          <w:sz w:val="32"/>
          <w:rtl/>
        </w:rPr>
        <w:lastRenderedPageBreak/>
        <w:t>חוק הרשויות המקומיות (ביטול איחוד המועצות המקומיות אבו סנאן, ג'וליס, ינוח-ג'ת וירכא), תשס"ד-2004</w:t>
      </w:r>
      <w:r w:rsidR="00384DC1">
        <w:rPr>
          <w:rStyle w:val="default"/>
          <w:sz w:val="22"/>
          <w:szCs w:val="22"/>
          <w:rtl/>
        </w:rPr>
        <w:footnoteReference w:customMarkFollows="1" w:id="1"/>
        <w:t>*</w:t>
      </w:r>
    </w:p>
    <w:p w:rsidR="00384DC1" w:rsidRDefault="00384DC1">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8pt;margin-top:4.25pt;width:70.55pt;height:10pt;z-index:251654144" filled="f" stroked="f" strokecolor="lime" strokeweight=".25pt">
            <v:textbox style="mso-next-textbox:#_x0000_s1026" inset="1mm,0,1mm,0">
              <w:txbxContent>
                <w:p w:rsidR="00384DC1" w:rsidRDefault="00384DC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rsidR="00384DC1" w:rsidRDefault="00384DC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"בחירות", "בחירות למועצה מקומית" </w:t>
      </w:r>
      <w:r>
        <w:rPr>
          <w:rStyle w:val="big-number"/>
          <w:rFonts w:cs="FrankRuehl"/>
          <w:sz w:val="26"/>
          <w:szCs w:val="26"/>
          <w:rtl/>
        </w:rPr>
        <w:t>–</w:t>
      </w:r>
      <w:r>
        <w:rPr>
          <w:rStyle w:val="big-number"/>
          <w:rFonts w:cs="FrankRuehl" w:hint="cs"/>
          <w:sz w:val="26"/>
          <w:szCs w:val="26"/>
          <w:rtl/>
        </w:rPr>
        <w:t xml:space="preserve"> בחירות למועצת המועצה המקומית ולראש המועצה המקומית;</w:t>
      </w:r>
    </w:p>
    <w:p w:rsidR="00384DC1" w:rsidRDefault="00384DC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התכנית להבראת כלכלת ישראל" </w:t>
      </w:r>
      <w:r>
        <w:rPr>
          <w:rStyle w:val="big-number"/>
          <w:rFonts w:cs="FrankRuehl"/>
          <w:sz w:val="26"/>
          <w:szCs w:val="26"/>
          <w:rtl/>
        </w:rPr>
        <w:t>–</w:t>
      </w:r>
      <w:r>
        <w:rPr>
          <w:rStyle w:val="big-number"/>
          <w:rFonts w:cs="FrankRuehl" w:hint="cs"/>
          <w:sz w:val="26"/>
          <w:szCs w:val="26"/>
          <w:rtl/>
        </w:rPr>
        <w:t xml:space="preserve"> חוק התכנית להבראת כלכלת ישראל (תיקוני חקיקה להשגת יעדי התקציב והמדיניות הכלכלית לשנות הכספים 2003 ו-2004) (מס' 2), התשס"ג-2003;</w:t>
      </w:r>
    </w:p>
    <w:p w:rsidR="00384DC1" w:rsidRDefault="00384DC1">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"המועד הקובע" </w:t>
      </w:r>
      <w:r>
        <w:rPr>
          <w:rStyle w:val="big-number"/>
          <w:rFonts w:cs="FrankRuehl"/>
          <w:sz w:val="26"/>
          <w:szCs w:val="26"/>
          <w:rtl/>
        </w:rPr>
        <w:t>–</w:t>
      </w:r>
      <w:r>
        <w:rPr>
          <w:rStyle w:val="big-number"/>
          <w:rFonts w:cs="FrankRuehl" w:hint="cs"/>
          <w:sz w:val="26"/>
          <w:szCs w:val="26"/>
          <w:rtl/>
        </w:rPr>
        <w:t xml:space="preserve"> יום א' בחשון התשס"ד (27 באוקטובר 2003).</w:t>
      </w:r>
    </w:p>
    <w:p w:rsidR="00384DC1" w:rsidRDefault="00384DC1">
      <w:pPr>
        <w:pStyle w:val="P00"/>
        <w:spacing w:before="72"/>
        <w:ind w:left="0" w:right="1134"/>
        <w:rPr>
          <w:rStyle w:val="default"/>
          <w:rFonts w:cs="FrankRuehl" w:hint="cs"/>
          <w:rtl/>
        </w:rPr>
      </w:pPr>
      <w:bookmarkStart w:id="1" w:name="Seif1"/>
      <w:bookmarkEnd w:id="1"/>
      <w:r>
        <w:rPr>
          <w:rFonts w:cs="Miriam"/>
          <w:lang w:val="he-IL"/>
        </w:rPr>
        <w:pict>
          <v:rect id="_x0000_s1152" style="position:absolute;left:0;text-align:left;margin-left:468pt;margin-top:8.05pt;width:70.55pt;height:29.9pt;z-index:251655168" filled="f" stroked="f" strokecolor="lime" strokeweight=".25pt">
            <v:textbox style="mso-next-textbox:#_x0000_s1152" inset="1mm,0,1mm,0">
              <w:txbxContent>
                <w:p w:rsidR="00384DC1" w:rsidRDefault="00384DC1">
                  <w:pPr>
                    <w:spacing w:line="160" w:lineRule="exact"/>
                    <w:rPr>
                      <w:rFonts w:cs="Miriam" w:hint="cs"/>
                      <w:noProof/>
                      <w:sz w:val="18"/>
                      <w:szCs w:val="18"/>
                      <w:rtl/>
                    </w:rPr>
                  </w:pPr>
                  <w:r>
                    <w:rPr>
                      <w:rFonts w:cs="Miriam" w:hint="cs"/>
                      <w:sz w:val="18"/>
                      <w:szCs w:val="18"/>
                      <w:rtl/>
                    </w:rPr>
                    <w:t>השבת מעמדן של רשויות מקומיות מסוימות</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 xml:space="preserve">אבו סנאן, ג'וליס, ינוח-ג'ת וירכא (להלן </w:t>
      </w:r>
      <w:r>
        <w:rPr>
          <w:rStyle w:val="default"/>
          <w:rFonts w:cs="FrankRuehl"/>
          <w:rtl/>
        </w:rPr>
        <w:t>–</w:t>
      </w:r>
      <w:r>
        <w:rPr>
          <w:rStyle w:val="default"/>
          <w:rFonts w:cs="FrankRuehl" w:hint="cs"/>
          <w:rtl/>
        </w:rPr>
        <w:t xml:space="preserve"> המועצות המקומיות), יהיו מועצות מקומיות במעמד שהיה להן במועד הקובע, ויחולו עליהן, החל בבחירות למועצות המקומיות שייקבעו לפי הוראות סעיף 3, כל הוראות הדין שחלו עליהן במועד האמור, בשינויים המפורטים בחוק זה.</w:t>
      </w:r>
    </w:p>
    <w:p w:rsidR="00384DC1" w:rsidRDefault="00384DC1">
      <w:pPr>
        <w:pStyle w:val="P00"/>
        <w:spacing w:before="72"/>
        <w:ind w:left="0" w:right="1134"/>
        <w:rPr>
          <w:rStyle w:val="big-number"/>
          <w:rFonts w:cs="FrankRuehl" w:hint="cs"/>
          <w:sz w:val="26"/>
          <w:szCs w:val="26"/>
          <w:rtl/>
        </w:rPr>
      </w:pPr>
      <w:bookmarkStart w:id="2" w:name="Seif2"/>
      <w:bookmarkEnd w:id="2"/>
      <w:r>
        <w:rPr>
          <w:rFonts w:cs="Miriam"/>
          <w:lang w:val="he-IL"/>
        </w:rPr>
        <w:pict>
          <v:rect id="_x0000_s1166" style="position:absolute;left:0;text-align:left;margin-left:468pt;margin-top:8.05pt;width:70.55pt;height:10.95pt;z-index:251656192" filled="f" stroked="f" strokecolor="lime" strokeweight=".25pt">
            <v:textbox style="mso-next-textbox:#_x0000_s1166" inset="1mm,0,1mm,0">
              <w:txbxContent>
                <w:p w:rsidR="00384DC1" w:rsidRDefault="00384DC1">
                  <w:pPr>
                    <w:spacing w:line="160" w:lineRule="exact"/>
                    <w:rPr>
                      <w:rFonts w:cs="Miriam" w:hint="cs"/>
                      <w:noProof/>
                      <w:sz w:val="18"/>
                      <w:szCs w:val="18"/>
                      <w:rtl/>
                    </w:rPr>
                  </w:pPr>
                  <w:r>
                    <w:rPr>
                      <w:rFonts w:cs="Miriam" w:hint="cs"/>
                      <w:sz w:val="18"/>
                      <w:szCs w:val="18"/>
                      <w:rtl/>
                    </w:rPr>
                    <w:t>בחירות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הבחירות למועצות המקומיות יתקיימו במועד שיקבע שר הפנים, שיהיה לא לפני תום מאה ימים מיום פרסומו של חוק זה ולא יאוחר ממאה ועשרים ימים מיום פרסומו.</w:t>
      </w:r>
    </w:p>
    <w:p w:rsidR="00384DC1" w:rsidRDefault="00384DC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לענין סעיפים 24 ו-25 לחוק הרשויות המקומיות (בחירות), התשכ"ה-1965, יראו את המועצה היוצאת של כל אחת מהמועצות המקומיות כמורכבת מחברי המועצה שכיהנו באותה המועצה במועד הקובע.</w:t>
      </w:r>
    </w:p>
    <w:p w:rsidR="00384DC1" w:rsidRDefault="00384DC1">
      <w:pPr>
        <w:pStyle w:val="P00"/>
        <w:spacing w:before="72"/>
        <w:ind w:left="0" w:right="1134"/>
        <w:rPr>
          <w:rStyle w:val="big-number"/>
          <w:rFonts w:cs="FrankRuehl" w:hint="cs"/>
          <w:sz w:val="26"/>
          <w:szCs w:val="26"/>
          <w:rtl/>
        </w:rPr>
      </w:pPr>
      <w:bookmarkStart w:id="3" w:name="Seif3"/>
      <w:bookmarkEnd w:id="3"/>
      <w:r>
        <w:rPr>
          <w:rFonts w:cs="Miriam"/>
          <w:lang w:val="he-IL"/>
        </w:rPr>
        <w:pict>
          <v:rect id="_x0000_s1169" style="position:absolute;left:0;text-align:left;margin-left:468pt;margin-top:8.05pt;width:70.55pt;height:9.15pt;z-index:251657216" filled="f" stroked="f" strokecolor="lime" strokeweight=".25pt">
            <v:textbox style="mso-next-textbox:#_x0000_s1169" inset="1mm,0,1mm,0">
              <w:txbxContent>
                <w:p w:rsidR="00384DC1" w:rsidRDefault="00384DC1">
                  <w:pPr>
                    <w:spacing w:line="160" w:lineRule="exact"/>
                    <w:rPr>
                      <w:rFonts w:cs="Miriam" w:hint="cs"/>
                      <w:noProof/>
                      <w:sz w:val="18"/>
                      <w:szCs w:val="18"/>
                      <w:rtl/>
                    </w:rPr>
                  </w:pPr>
                  <w:r>
                    <w:rPr>
                      <w:rFonts w:cs="Miriam" w:hint="cs"/>
                      <w:sz w:val="18"/>
                      <w:szCs w:val="18"/>
                      <w:rtl/>
                    </w:rPr>
                    <w:t>תקופת מעבר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בכפוף להוראות חוק זה ועד לתחילת כהונתם של המועצות המקומיות וראשי המועצות המקומיות, לפי המועד המאוחר מביניהם (להלן </w:t>
      </w:r>
      <w:r>
        <w:rPr>
          <w:rStyle w:val="big-number"/>
          <w:rFonts w:cs="FrankRuehl"/>
          <w:sz w:val="26"/>
          <w:szCs w:val="26"/>
          <w:rtl/>
        </w:rPr>
        <w:t>–</w:t>
      </w:r>
      <w:r>
        <w:rPr>
          <w:rStyle w:val="big-number"/>
          <w:rFonts w:cs="FrankRuehl" w:hint="cs"/>
          <w:sz w:val="26"/>
          <w:szCs w:val="26"/>
          <w:rtl/>
        </w:rPr>
        <w:t xml:space="preserve"> תקופת המעבר), ימשיכו ויחולו הוראות פרק ב' בחוק התכנית להבראת כלכלת ישראל.</w:t>
      </w:r>
    </w:p>
    <w:p w:rsidR="00384DC1" w:rsidRDefault="00384DC1">
      <w:pPr>
        <w:pStyle w:val="P00"/>
        <w:spacing w:before="72"/>
        <w:ind w:left="0" w:right="1134"/>
        <w:rPr>
          <w:rStyle w:val="big-number"/>
          <w:rFonts w:cs="FrankRuehl" w:hint="cs"/>
          <w:sz w:val="26"/>
          <w:szCs w:val="26"/>
          <w:rtl/>
        </w:rPr>
      </w:pPr>
      <w:bookmarkStart w:id="4" w:name="Seif4"/>
      <w:bookmarkEnd w:id="4"/>
      <w:r>
        <w:rPr>
          <w:rFonts w:cs="Miriam"/>
          <w:lang w:val="he-IL"/>
        </w:rPr>
        <w:pict>
          <v:rect id="_x0000_s1170" style="position:absolute;left:0;text-align:left;margin-left:468pt;margin-top:8.05pt;width:70.55pt;height:16.75pt;z-index:251658240" filled="f" stroked="f" strokecolor="lime" strokeweight=".25pt">
            <v:textbox style="mso-next-textbox:#_x0000_s1170" inset="1mm,0,1mm,0">
              <w:txbxContent>
                <w:p w:rsidR="00384DC1" w:rsidRDefault="00384DC1">
                  <w:pPr>
                    <w:spacing w:line="160" w:lineRule="exact"/>
                    <w:rPr>
                      <w:rFonts w:cs="Miriam" w:hint="cs"/>
                      <w:noProof/>
                      <w:sz w:val="18"/>
                      <w:szCs w:val="18"/>
                      <w:rtl/>
                    </w:rPr>
                  </w:pPr>
                  <w:r>
                    <w:rPr>
                      <w:rFonts w:cs="Miriam" w:hint="cs"/>
                      <w:sz w:val="18"/>
                      <w:szCs w:val="18"/>
                      <w:rtl/>
                    </w:rPr>
                    <w:t>ביטול הרשות המאוחדת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בתום תקופת המעבר תבוטל הרשות המאוחדת המנויה בפרט 7 בתוספת החוק בתכנית להבראת כלכלת ישראל (להלן </w:t>
      </w:r>
      <w:r>
        <w:rPr>
          <w:rStyle w:val="big-number"/>
          <w:rFonts w:cs="FrankRuehl"/>
          <w:sz w:val="26"/>
          <w:szCs w:val="26"/>
          <w:rtl/>
        </w:rPr>
        <w:t>–</w:t>
      </w:r>
      <w:r>
        <w:rPr>
          <w:rStyle w:val="big-number"/>
          <w:rFonts w:cs="FrankRuehl" w:hint="cs"/>
          <w:sz w:val="26"/>
          <w:szCs w:val="26"/>
          <w:rtl/>
        </w:rPr>
        <w:t xml:space="preserve"> הרשות המאוחדת), ותחדל להיות אישיות משפטית.</w:t>
      </w:r>
    </w:p>
    <w:p w:rsidR="00384DC1" w:rsidRDefault="00384DC1">
      <w:pPr>
        <w:pStyle w:val="P00"/>
        <w:spacing w:before="72"/>
        <w:ind w:left="0" w:right="1134"/>
        <w:rPr>
          <w:rStyle w:val="big-number"/>
          <w:rFonts w:cs="FrankRuehl" w:hint="cs"/>
          <w:sz w:val="26"/>
          <w:szCs w:val="26"/>
          <w:rtl/>
        </w:rPr>
      </w:pPr>
      <w:bookmarkStart w:id="5" w:name="Seif5"/>
      <w:bookmarkEnd w:id="5"/>
      <w:r>
        <w:rPr>
          <w:rFonts w:cs="Miriam"/>
          <w:lang w:val="he-IL"/>
        </w:rPr>
        <w:pict>
          <v:rect id="_x0000_s1171" style="position:absolute;left:0;text-align:left;margin-left:468pt;margin-top:8.05pt;width:70.55pt;height:18.6pt;z-index:251659264" filled="f" stroked="f" strokecolor="lime" strokeweight=".25pt">
            <v:textbox style="mso-next-textbox:#_x0000_s1171" inset="1mm,0,1mm,0">
              <w:txbxContent>
                <w:p w:rsidR="00384DC1" w:rsidRDefault="00384DC1">
                  <w:pPr>
                    <w:spacing w:line="160" w:lineRule="exact"/>
                    <w:rPr>
                      <w:rFonts w:cs="Miriam" w:hint="cs"/>
                      <w:noProof/>
                      <w:sz w:val="18"/>
                      <w:szCs w:val="18"/>
                      <w:rtl/>
                    </w:rPr>
                  </w:pPr>
                  <w:r>
                    <w:rPr>
                      <w:rFonts w:cs="Miriam" w:hint="cs"/>
                      <w:sz w:val="18"/>
                      <w:szCs w:val="18"/>
                      <w:rtl/>
                    </w:rPr>
                    <w:t>איסור התקשרויות חדשות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החל ביום תחילתו של חוק זה ועד תום תקופת המעבר, לא תתקשר כל אחת מהמועצות המקומיות והרשות המאוחדת, בהתקשרות אשר תקופתה, ביצועה והזכויות והחיובים על פיה הם מעבר ליום שנקבע לבחירות במועצות המקומיות לפי חוק זה, אלא באישור מראש מאת שר הפנים.</w:t>
      </w:r>
    </w:p>
    <w:p w:rsidR="00384DC1" w:rsidRDefault="00384DC1">
      <w:pPr>
        <w:pStyle w:val="P00"/>
        <w:spacing w:before="72"/>
        <w:ind w:left="0" w:right="1134"/>
        <w:rPr>
          <w:rStyle w:val="big-number"/>
          <w:rFonts w:cs="FrankRuehl" w:hint="cs"/>
          <w:sz w:val="26"/>
          <w:szCs w:val="26"/>
          <w:rtl/>
        </w:rPr>
      </w:pPr>
      <w:bookmarkStart w:id="6" w:name="Seif6"/>
      <w:bookmarkEnd w:id="6"/>
      <w:r>
        <w:rPr>
          <w:rFonts w:cs="Miriam"/>
          <w:lang w:val="he-IL"/>
        </w:rPr>
        <w:pict>
          <v:rect id="_x0000_s1172" style="position:absolute;left:0;text-align:left;margin-left:468pt;margin-top:8.05pt;width:70.55pt;height:28.7pt;z-index:251660288" filled="f" stroked="f" strokecolor="lime" strokeweight=".25pt">
            <v:textbox style="mso-next-textbox:#_x0000_s1172" inset="1mm,0,1mm,0">
              <w:txbxContent>
                <w:p w:rsidR="00384DC1" w:rsidRDefault="00384DC1">
                  <w:pPr>
                    <w:spacing w:line="160" w:lineRule="exact"/>
                    <w:rPr>
                      <w:rFonts w:cs="Miriam" w:hint="cs"/>
                      <w:noProof/>
                      <w:sz w:val="18"/>
                      <w:szCs w:val="18"/>
                      <w:rtl/>
                    </w:rPr>
                  </w:pPr>
                  <w:r>
                    <w:rPr>
                      <w:rFonts w:cs="Miriam" w:hint="cs"/>
                      <w:sz w:val="18"/>
                      <w:szCs w:val="18"/>
                      <w:rtl/>
                    </w:rPr>
                    <w:t>תיאום חשבונות וחלוקת חובות וזכויות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שר הפנים רשאי לקבוע הוראות בדבר תיאום חשבונות וחלוקת חובות וזכויות של הרשות המאוחדת בין המועצות המקומיות.</w:t>
      </w:r>
    </w:p>
    <w:p w:rsidR="00384DC1" w:rsidRDefault="00384DC1">
      <w:pPr>
        <w:pStyle w:val="P00"/>
        <w:spacing w:before="72"/>
        <w:ind w:left="0" w:right="1134"/>
        <w:rPr>
          <w:rStyle w:val="big-number"/>
          <w:rFonts w:cs="FrankRuehl" w:hint="cs"/>
          <w:sz w:val="26"/>
          <w:szCs w:val="26"/>
          <w:rtl/>
        </w:rPr>
      </w:pPr>
      <w:bookmarkStart w:id="7" w:name="Seif7"/>
      <w:bookmarkEnd w:id="7"/>
      <w:r>
        <w:rPr>
          <w:rFonts w:cs="Miriam"/>
          <w:lang w:val="he-IL"/>
        </w:rPr>
        <w:pict>
          <v:rect id="_x0000_s1173" style="position:absolute;left:0;text-align:left;margin-left:468pt;margin-top:8.05pt;width:70.55pt;height:10.55pt;z-index:251661312" filled="f" stroked="f" strokecolor="lime" strokeweight=".25pt">
            <v:textbox style="mso-next-textbox:#_x0000_s1173" inset="1mm,0,1mm,0">
              <w:txbxContent>
                <w:p w:rsidR="00384DC1" w:rsidRDefault="00384DC1">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שר הפנים ממונה על ביצוע חוק זה והוא רשאי לקבוע הוראות לביצועו, לרבות בכל ענין הנוגע לשינויים הנובעים והנדרשים מהשבת מעמדן של המועצות המקומיות וביטולה של הרשות המאוחדת.</w:t>
      </w:r>
    </w:p>
    <w:p w:rsidR="00384DC1" w:rsidRDefault="00384DC1">
      <w:pPr>
        <w:pStyle w:val="P00"/>
        <w:spacing w:before="72"/>
        <w:ind w:left="0" w:right="1134"/>
        <w:rPr>
          <w:rStyle w:val="default"/>
          <w:rFonts w:cs="FrankRuehl" w:hint="cs"/>
          <w:rtl/>
        </w:rPr>
      </w:pPr>
    </w:p>
    <w:p w:rsidR="00384DC1" w:rsidRDefault="00384DC1">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אברהם פורז</w:t>
      </w:r>
    </w:p>
    <w:p w:rsidR="00384DC1" w:rsidRDefault="00384DC1">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הפנים</w:t>
      </w:r>
    </w:p>
    <w:p w:rsidR="00384DC1" w:rsidRDefault="00384DC1">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384DC1" w:rsidRDefault="00384DC1">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B02B43" w:rsidRPr="00B02B43" w:rsidRDefault="00B02B43" w:rsidP="00B02B43">
      <w:pPr>
        <w:pStyle w:val="P00"/>
        <w:spacing w:before="72"/>
        <w:ind w:left="0" w:right="1134"/>
        <w:rPr>
          <w:rStyle w:val="default"/>
          <w:rFonts w:cs="FrankRuehl" w:hint="cs"/>
          <w:rtl/>
        </w:rPr>
      </w:pPr>
    </w:p>
    <w:sectPr w:rsidR="00B02B43" w:rsidRPr="00B02B43">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6CCE" w:rsidRDefault="00DC6CCE">
      <w:r>
        <w:separator/>
      </w:r>
    </w:p>
  </w:endnote>
  <w:endnote w:type="continuationSeparator" w:id="0">
    <w:p w:rsidR="00DC6CCE" w:rsidRDefault="00DC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DC1" w:rsidRDefault="00384DC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84DC1" w:rsidRDefault="00384DC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4DC1" w:rsidRDefault="00384DC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2B43">
      <w:rPr>
        <w:rFonts w:cs="TopType Jerushalmi"/>
        <w:noProof/>
        <w:color w:val="000000"/>
        <w:sz w:val="14"/>
        <w:szCs w:val="14"/>
      </w:rPr>
      <w:t>C:\Yael\hakika\Revadim\999_296.doc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DC1" w:rsidRDefault="00384DC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21D7">
      <w:rPr>
        <w:rFonts w:hAnsi="FrankRuehl" w:cs="FrankRuehl"/>
        <w:noProof/>
        <w:sz w:val="24"/>
        <w:szCs w:val="24"/>
        <w:rtl/>
      </w:rPr>
      <w:t>2</w:t>
    </w:r>
    <w:r>
      <w:rPr>
        <w:rFonts w:hAnsi="FrankRuehl" w:cs="FrankRuehl"/>
        <w:sz w:val="24"/>
        <w:szCs w:val="24"/>
        <w:rtl/>
      </w:rPr>
      <w:fldChar w:fldCharType="end"/>
    </w:r>
  </w:p>
  <w:p w:rsidR="00384DC1" w:rsidRDefault="00384DC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4DC1" w:rsidRDefault="00384DC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2B43">
      <w:rPr>
        <w:rFonts w:cs="TopType Jerushalmi"/>
        <w:noProof/>
        <w:color w:val="000000"/>
        <w:sz w:val="14"/>
        <w:szCs w:val="14"/>
      </w:rPr>
      <w:t>C:\Yael\hakika\Revadim\999_296.doc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6CCE" w:rsidRDefault="00DC6CCE" w:rsidP="00B02B43">
      <w:pPr>
        <w:spacing w:before="60"/>
        <w:ind w:right="1134"/>
      </w:pPr>
      <w:r>
        <w:separator/>
      </w:r>
    </w:p>
  </w:footnote>
  <w:footnote w:type="continuationSeparator" w:id="0">
    <w:p w:rsidR="00DC6CCE" w:rsidRDefault="00DC6CCE">
      <w:r>
        <w:continuationSeparator/>
      </w:r>
    </w:p>
  </w:footnote>
  <w:footnote w:id="1">
    <w:p w:rsidR="00384DC1" w:rsidRDefault="00384D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0E2D6F">
          <w:rPr>
            <w:rStyle w:val="Hyperlink"/>
            <w:rFonts w:cs="FrankRuehl" w:hint="cs"/>
            <w:rtl/>
          </w:rPr>
          <w:t>ס"ח תשס"ד מס'</w:t>
        </w:r>
        <w:r w:rsidRPr="000E2D6F">
          <w:rPr>
            <w:rStyle w:val="Hyperlink"/>
            <w:rFonts w:cs="FrankRuehl" w:hint="cs"/>
            <w:rtl/>
          </w:rPr>
          <w:t xml:space="preserve"> </w:t>
        </w:r>
        <w:r w:rsidRPr="000E2D6F">
          <w:rPr>
            <w:rStyle w:val="Hyperlink"/>
            <w:rFonts w:cs="FrankRuehl" w:hint="cs"/>
            <w:rtl/>
          </w:rPr>
          <w:t>194</w:t>
        </w:r>
        <w:r w:rsidRPr="000E2D6F">
          <w:rPr>
            <w:rStyle w:val="Hyperlink"/>
            <w:rFonts w:cs="FrankRuehl" w:hint="cs"/>
            <w:rtl/>
          </w:rPr>
          <w:t>0</w:t>
        </w:r>
      </w:hyperlink>
      <w:r>
        <w:rPr>
          <w:rFonts w:cs="FrankRuehl" w:hint="cs"/>
          <w:rtl/>
        </w:rPr>
        <w:t xml:space="preserve"> מיום 27.5.2004 עמ' 384 (</w:t>
      </w:r>
      <w:hyperlink r:id="rId2" w:history="1">
        <w:r w:rsidRPr="000E2D6F">
          <w:rPr>
            <w:rStyle w:val="Hyperlink"/>
            <w:rFonts w:cs="FrankRuehl" w:hint="cs"/>
            <w:rtl/>
          </w:rPr>
          <w:t>ה"ח הכנסת תשס"ד מס' 41</w:t>
        </w:r>
      </w:hyperlink>
      <w:r>
        <w:rPr>
          <w:rFonts w:cs="FrankRuehl" w:hint="cs"/>
          <w:rtl/>
        </w:rPr>
        <w:t xml:space="preserve"> עמ' 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DC1" w:rsidRDefault="00384DC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84DC1" w:rsidRDefault="00384DC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4DC1" w:rsidRDefault="00384DC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DC1" w:rsidRDefault="00384D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הרשויות המקומיות (ביטול איחוד המועצות המקומיות אבו סנאן, ג'וליס, ינוח-ג'ת וירכא), תשס"ד-2004</w:t>
    </w:r>
  </w:p>
  <w:p w:rsidR="00384DC1" w:rsidRDefault="00384DC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4DC1" w:rsidRDefault="00384DC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35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D6F"/>
    <w:rsid w:val="000E2D6F"/>
    <w:rsid w:val="002C4E84"/>
    <w:rsid w:val="00384DC1"/>
    <w:rsid w:val="005659CF"/>
    <w:rsid w:val="00876A09"/>
    <w:rsid w:val="00A521D7"/>
    <w:rsid w:val="00B02B43"/>
    <w:rsid w:val="00DC6C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A54487D6-850E-48B2-8B48-220A090D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sid w:val="002C4E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41.pdf" TargetMode="External"/><Relationship Id="rId1" Type="http://schemas.openxmlformats.org/officeDocument/2006/relationships/hyperlink" Target="http://www.nevo.co.il/Law_word/law14/LAW-19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2916</CharactersWithSpaces>
  <SharedDoc>false</SharedDoc>
  <HLinks>
    <vt:vector size="60"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5963809</vt:i4>
      </vt:variant>
      <vt:variant>
        <vt:i4>3</vt:i4>
      </vt:variant>
      <vt:variant>
        <vt:i4>0</vt:i4>
      </vt:variant>
      <vt:variant>
        <vt:i4>5</vt:i4>
      </vt:variant>
      <vt:variant>
        <vt:lpwstr>http://www.nevo.co.il/Law_word/law16/KNESSET-41.pdf</vt:lpwstr>
      </vt:variant>
      <vt:variant>
        <vt:lpwstr/>
      </vt:variant>
      <vt:variant>
        <vt:i4>7995392</vt:i4>
      </vt:variant>
      <vt:variant>
        <vt:i4>0</vt:i4>
      </vt:variant>
      <vt:variant>
        <vt:i4>0</vt:i4>
      </vt:variant>
      <vt:variant>
        <vt:i4>5</vt:i4>
      </vt:variant>
      <vt:variant>
        <vt:lpwstr>http://www.nevo.co.il/Law_word/law14/LAW-1940.pdf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הרשויות המקומיות (ביטול איחוד המועצות המקומיות אבו סנאן, ג'וליס, ינוח-ג'ת וירכא), תשס"ד-2004</vt:lpwstr>
  </property>
  <property fmtid="{D5CDD505-2E9C-101B-9397-08002B2CF9AE}" pid="4" name="LAWNUMBER">
    <vt:lpwstr>0296</vt:lpwstr>
  </property>
  <property fmtid="{D5CDD505-2E9C-101B-9397-08002B2CF9AE}" pid="5" name="TYPE">
    <vt:lpwstr>01</vt:lpwstr>
  </property>
  <property fmtid="{D5CDD505-2E9C-101B-9397-08002B2CF9AE}" pid="6" name="CHNAME">
    <vt:lpwstr>רשויות מקומיות</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