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373" w:rsidRDefault="00536373" w:rsidP="000A14E3">
      <w:pPr>
        <w:pStyle w:val="big-header"/>
        <w:ind w:left="0" w:right="1134"/>
        <w:rPr>
          <w:rFonts w:hint="cs"/>
          <w:rtl/>
        </w:rPr>
      </w:pPr>
      <w:r>
        <w:rPr>
          <w:rtl/>
        </w:rPr>
        <w:t>חוק הרשויות המקומיות (הסמכה מיוחדת), תשי"ז</w:t>
      </w:r>
      <w:r w:rsidR="000A14E3">
        <w:rPr>
          <w:rFonts w:hint="cs"/>
          <w:rtl/>
        </w:rPr>
        <w:t>-</w:t>
      </w:r>
      <w:r>
        <w:rPr>
          <w:rtl/>
        </w:rPr>
        <w:t>1956</w:t>
      </w:r>
    </w:p>
    <w:p w:rsidR="001E394B" w:rsidRDefault="001E394B" w:rsidP="001E394B">
      <w:pPr>
        <w:spacing w:line="320" w:lineRule="auto"/>
        <w:jc w:val="left"/>
        <w:rPr>
          <w:rFonts w:hint="cs"/>
          <w:rtl/>
        </w:rPr>
      </w:pPr>
    </w:p>
    <w:p w:rsidR="004A5DAF" w:rsidRDefault="004A5DAF" w:rsidP="001E394B">
      <w:pPr>
        <w:spacing w:line="320" w:lineRule="auto"/>
        <w:jc w:val="left"/>
        <w:rPr>
          <w:rFonts w:hint="cs"/>
          <w:rtl/>
        </w:rPr>
      </w:pPr>
    </w:p>
    <w:p w:rsidR="001E394B" w:rsidRPr="001E394B" w:rsidRDefault="001E394B" w:rsidP="001E394B">
      <w:pPr>
        <w:spacing w:line="320" w:lineRule="auto"/>
        <w:jc w:val="left"/>
        <w:rPr>
          <w:rFonts w:cs="Miriam"/>
          <w:szCs w:val="22"/>
          <w:rtl/>
        </w:rPr>
      </w:pPr>
      <w:r w:rsidRPr="001E394B">
        <w:rPr>
          <w:rFonts w:cs="Miriam"/>
          <w:szCs w:val="22"/>
          <w:rtl/>
        </w:rPr>
        <w:t>רשויות ומשפט מנהלי</w:t>
      </w:r>
      <w:r w:rsidRPr="001E394B">
        <w:rPr>
          <w:rFonts w:cs="FrankRuehl"/>
          <w:szCs w:val="26"/>
          <w:rtl/>
        </w:rPr>
        <w:t xml:space="preserve"> – רשויות מקומיות – הסמכה מיוחדת</w:t>
      </w:r>
    </w:p>
    <w:p w:rsidR="00536373" w:rsidRDefault="0053637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36373">
        <w:tblPrEx>
          <w:tblCellMar>
            <w:top w:w="0" w:type="dxa"/>
            <w:bottom w:w="0" w:type="dxa"/>
          </w:tblCellMar>
        </w:tblPrEx>
        <w:tc>
          <w:tcPr>
            <w:tcW w:w="850" w:type="dxa"/>
          </w:tcPr>
          <w:p w:rsidR="00536373" w:rsidRDefault="0053637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A14E3">
              <w:rPr>
                <w:noProof/>
                <w:sz w:val="24"/>
                <w:rtl/>
              </w:rPr>
              <w:t>2</w:t>
            </w:r>
            <w:r>
              <w:rPr>
                <w:sz w:val="24"/>
                <w:rtl/>
              </w:rPr>
              <w:fldChar w:fldCharType="end"/>
            </w:r>
          </w:p>
        </w:tc>
        <w:tc>
          <w:tcPr>
            <w:tcW w:w="567" w:type="dxa"/>
          </w:tcPr>
          <w:p w:rsidR="00536373" w:rsidRDefault="00536373">
            <w:pPr>
              <w:spacing w:line="240" w:lineRule="auto"/>
              <w:rPr>
                <w:sz w:val="24"/>
              </w:rPr>
            </w:pPr>
            <w:hyperlink w:anchor="Seif0" w:tooltip="איסור גידול חזיר והחזקתו ומכירת בשר חזיר ומוצריו" w:history="1">
              <w:r>
                <w:rPr>
                  <w:rStyle w:val="Hyperlink"/>
                </w:rPr>
                <w:t>Go</w:t>
              </w:r>
            </w:hyperlink>
          </w:p>
        </w:tc>
        <w:tc>
          <w:tcPr>
            <w:tcW w:w="5669" w:type="dxa"/>
          </w:tcPr>
          <w:p w:rsidR="00536373" w:rsidRDefault="00536373">
            <w:pPr>
              <w:spacing w:line="240" w:lineRule="auto"/>
              <w:rPr>
                <w:sz w:val="24"/>
                <w:rtl/>
              </w:rPr>
            </w:pPr>
            <w:r>
              <w:rPr>
                <w:sz w:val="24"/>
                <w:rtl/>
              </w:rPr>
              <w:t>איסור גידול חזיר והחזקתו ומכירת בשר חזיר ומוצריו</w:t>
            </w:r>
          </w:p>
        </w:tc>
        <w:tc>
          <w:tcPr>
            <w:tcW w:w="1247" w:type="dxa"/>
          </w:tcPr>
          <w:p w:rsidR="00536373" w:rsidRDefault="00536373">
            <w:pPr>
              <w:spacing w:line="240" w:lineRule="auto"/>
              <w:rPr>
                <w:sz w:val="24"/>
              </w:rPr>
            </w:pPr>
            <w:r>
              <w:rPr>
                <w:sz w:val="24"/>
                <w:rtl/>
              </w:rPr>
              <w:t xml:space="preserve">סעיף 1 </w:t>
            </w:r>
          </w:p>
        </w:tc>
      </w:tr>
      <w:tr w:rsidR="00536373">
        <w:tblPrEx>
          <w:tblCellMar>
            <w:top w:w="0" w:type="dxa"/>
            <w:bottom w:w="0" w:type="dxa"/>
          </w:tblCellMar>
        </w:tblPrEx>
        <w:tc>
          <w:tcPr>
            <w:tcW w:w="850" w:type="dxa"/>
          </w:tcPr>
          <w:p w:rsidR="00536373" w:rsidRDefault="0053637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A14E3">
              <w:rPr>
                <w:noProof/>
                <w:sz w:val="24"/>
                <w:rtl/>
              </w:rPr>
              <w:t>2</w:t>
            </w:r>
            <w:r>
              <w:rPr>
                <w:sz w:val="24"/>
                <w:rtl/>
              </w:rPr>
              <w:fldChar w:fldCharType="end"/>
            </w:r>
          </w:p>
        </w:tc>
        <w:tc>
          <w:tcPr>
            <w:tcW w:w="567" w:type="dxa"/>
          </w:tcPr>
          <w:p w:rsidR="00536373" w:rsidRDefault="00536373">
            <w:pPr>
              <w:spacing w:line="240" w:lineRule="auto"/>
              <w:rPr>
                <w:sz w:val="24"/>
              </w:rPr>
            </w:pPr>
            <w:hyperlink w:anchor="Seif1" w:tooltip="תחולת האיסור" w:history="1">
              <w:r>
                <w:rPr>
                  <w:rStyle w:val="Hyperlink"/>
                </w:rPr>
                <w:t>Go</w:t>
              </w:r>
            </w:hyperlink>
          </w:p>
        </w:tc>
        <w:tc>
          <w:tcPr>
            <w:tcW w:w="5669" w:type="dxa"/>
          </w:tcPr>
          <w:p w:rsidR="00536373" w:rsidRDefault="00536373">
            <w:pPr>
              <w:spacing w:line="240" w:lineRule="auto"/>
              <w:rPr>
                <w:sz w:val="24"/>
                <w:rtl/>
              </w:rPr>
            </w:pPr>
            <w:r>
              <w:rPr>
                <w:sz w:val="24"/>
                <w:rtl/>
              </w:rPr>
              <w:t>תחולת האיסור</w:t>
            </w:r>
          </w:p>
        </w:tc>
        <w:tc>
          <w:tcPr>
            <w:tcW w:w="1247" w:type="dxa"/>
          </w:tcPr>
          <w:p w:rsidR="00536373" w:rsidRDefault="00536373">
            <w:pPr>
              <w:spacing w:line="240" w:lineRule="auto"/>
              <w:rPr>
                <w:sz w:val="24"/>
              </w:rPr>
            </w:pPr>
            <w:r>
              <w:rPr>
                <w:sz w:val="24"/>
                <w:rtl/>
              </w:rPr>
              <w:t xml:space="preserve">סעיף 2 </w:t>
            </w:r>
          </w:p>
        </w:tc>
      </w:tr>
      <w:tr w:rsidR="00536373">
        <w:tblPrEx>
          <w:tblCellMar>
            <w:top w:w="0" w:type="dxa"/>
            <w:bottom w:w="0" w:type="dxa"/>
          </w:tblCellMar>
        </w:tblPrEx>
        <w:tc>
          <w:tcPr>
            <w:tcW w:w="850" w:type="dxa"/>
          </w:tcPr>
          <w:p w:rsidR="00536373" w:rsidRDefault="0053637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A14E3">
              <w:rPr>
                <w:noProof/>
                <w:sz w:val="24"/>
                <w:rtl/>
              </w:rPr>
              <w:t>2</w:t>
            </w:r>
            <w:r>
              <w:rPr>
                <w:sz w:val="24"/>
                <w:rtl/>
              </w:rPr>
              <w:fldChar w:fldCharType="end"/>
            </w:r>
          </w:p>
        </w:tc>
        <w:tc>
          <w:tcPr>
            <w:tcW w:w="567" w:type="dxa"/>
          </w:tcPr>
          <w:p w:rsidR="00536373" w:rsidRDefault="00536373">
            <w:pPr>
              <w:spacing w:line="240" w:lineRule="auto"/>
              <w:rPr>
                <w:sz w:val="24"/>
              </w:rPr>
            </w:pPr>
            <w:hyperlink w:anchor="Seif2" w:tooltip="סמכויות עזר" w:history="1">
              <w:r>
                <w:rPr>
                  <w:rStyle w:val="Hyperlink"/>
                </w:rPr>
                <w:t>Go</w:t>
              </w:r>
            </w:hyperlink>
          </w:p>
        </w:tc>
        <w:tc>
          <w:tcPr>
            <w:tcW w:w="5669" w:type="dxa"/>
          </w:tcPr>
          <w:p w:rsidR="00536373" w:rsidRDefault="00536373">
            <w:pPr>
              <w:spacing w:line="240" w:lineRule="auto"/>
              <w:rPr>
                <w:sz w:val="24"/>
                <w:rtl/>
              </w:rPr>
            </w:pPr>
            <w:r>
              <w:rPr>
                <w:sz w:val="24"/>
                <w:rtl/>
              </w:rPr>
              <w:t>סמכויות עזר</w:t>
            </w:r>
          </w:p>
        </w:tc>
        <w:tc>
          <w:tcPr>
            <w:tcW w:w="1247" w:type="dxa"/>
          </w:tcPr>
          <w:p w:rsidR="00536373" w:rsidRDefault="00536373">
            <w:pPr>
              <w:spacing w:line="240" w:lineRule="auto"/>
              <w:rPr>
                <w:sz w:val="24"/>
              </w:rPr>
            </w:pPr>
            <w:r>
              <w:rPr>
                <w:sz w:val="24"/>
                <w:rtl/>
              </w:rPr>
              <w:t xml:space="preserve">סעיף 3 </w:t>
            </w:r>
          </w:p>
        </w:tc>
      </w:tr>
      <w:tr w:rsidR="00536373">
        <w:tblPrEx>
          <w:tblCellMar>
            <w:top w:w="0" w:type="dxa"/>
            <w:bottom w:w="0" w:type="dxa"/>
          </w:tblCellMar>
        </w:tblPrEx>
        <w:tc>
          <w:tcPr>
            <w:tcW w:w="850" w:type="dxa"/>
          </w:tcPr>
          <w:p w:rsidR="00536373" w:rsidRDefault="0053637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A14E3">
              <w:rPr>
                <w:noProof/>
                <w:sz w:val="24"/>
                <w:rtl/>
              </w:rPr>
              <w:t>2</w:t>
            </w:r>
            <w:r>
              <w:rPr>
                <w:sz w:val="24"/>
                <w:rtl/>
              </w:rPr>
              <w:fldChar w:fldCharType="end"/>
            </w:r>
          </w:p>
        </w:tc>
        <w:tc>
          <w:tcPr>
            <w:tcW w:w="567" w:type="dxa"/>
          </w:tcPr>
          <w:p w:rsidR="00536373" w:rsidRDefault="00536373">
            <w:pPr>
              <w:spacing w:line="240" w:lineRule="auto"/>
              <w:rPr>
                <w:sz w:val="24"/>
              </w:rPr>
            </w:pPr>
            <w:hyperlink w:anchor="Seif3" w:tooltip="עונשין" w:history="1">
              <w:r>
                <w:rPr>
                  <w:rStyle w:val="Hyperlink"/>
                </w:rPr>
                <w:t>Go</w:t>
              </w:r>
            </w:hyperlink>
          </w:p>
        </w:tc>
        <w:tc>
          <w:tcPr>
            <w:tcW w:w="5669" w:type="dxa"/>
          </w:tcPr>
          <w:p w:rsidR="00536373" w:rsidRDefault="00536373">
            <w:pPr>
              <w:spacing w:line="240" w:lineRule="auto"/>
              <w:rPr>
                <w:sz w:val="24"/>
                <w:rtl/>
              </w:rPr>
            </w:pPr>
            <w:r>
              <w:rPr>
                <w:sz w:val="24"/>
                <w:rtl/>
              </w:rPr>
              <w:t>עונשין</w:t>
            </w:r>
          </w:p>
        </w:tc>
        <w:tc>
          <w:tcPr>
            <w:tcW w:w="1247" w:type="dxa"/>
          </w:tcPr>
          <w:p w:rsidR="00536373" w:rsidRDefault="00536373">
            <w:pPr>
              <w:spacing w:line="240" w:lineRule="auto"/>
              <w:rPr>
                <w:sz w:val="24"/>
              </w:rPr>
            </w:pPr>
            <w:r>
              <w:rPr>
                <w:sz w:val="24"/>
                <w:rtl/>
              </w:rPr>
              <w:t xml:space="preserve">סעיף 4 </w:t>
            </w:r>
          </w:p>
        </w:tc>
      </w:tr>
      <w:tr w:rsidR="00536373">
        <w:tblPrEx>
          <w:tblCellMar>
            <w:top w:w="0" w:type="dxa"/>
            <w:bottom w:w="0" w:type="dxa"/>
          </w:tblCellMar>
        </w:tblPrEx>
        <w:tc>
          <w:tcPr>
            <w:tcW w:w="850" w:type="dxa"/>
          </w:tcPr>
          <w:p w:rsidR="00536373" w:rsidRDefault="0053637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A14E3">
              <w:rPr>
                <w:noProof/>
                <w:sz w:val="24"/>
                <w:rtl/>
              </w:rPr>
              <w:t>2</w:t>
            </w:r>
            <w:r>
              <w:rPr>
                <w:sz w:val="24"/>
                <w:rtl/>
              </w:rPr>
              <w:fldChar w:fldCharType="end"/>
            </w:r>
          </w:p>
        </w:tc>
        <w:tc>
          <w:tcPr>
            <w:tcW w:w="567" w:type="dxa"/>
          </w:tcPr>
          <w:p w:rsidR="00536373" w:rsidRDefault="00536373">
            <w:pPr>
              <w:spacing w:line="240" w:lineRule="auto"/>
              <w:rPr>
                <w:sz w:val="24"/>
              </w:rPr>
            </w:pPr>
            <w:hyperlink w:anchor="Seif4" w:tooltip="שמירת סמכויות" w:history="1">
              <w:r>
                <w:rPr>
                  <w:rStyle w:val="Hyperlink"/>
                </w:rPr>
                <w:t>Go</w:t>
              </w:r>
            </w:hyperlink>
          </w:p>
        </w:tc>
        <w:tc>
          <w:tcPr>
            <w:tcW w:w="5669" w:type="dxa"/>
          </w:tcPr>
          <w:p w:rsidR="00536373" w:rsidRDefault="00536373">
            <w:pPr>
              <w:spacing w:line="240" w:lineRule="auto"/>
              <w:rPr>
                <w:sz w:val="24"/>
                <w:rtl/>
              </w:rPr>
            </w:pPr>
            <w:r>
              <w:rPr>
                <w:sz w:val="24"/>
                <w:rtl/>
              </w:rPr>
              <w:t>שמירת סמכויות</w:t>
            </w:r>
          </w:p>
        </w:tc>
        <w:tc>
          <w:tcPr>
            <w:tcW w:w="1247" w:type="dxa"/>
          </w:tcPr>
          <w:p w:rsidR="00536373" w:rsidRDefault="00536373">
            <w:pPr>
              <w:spacing w:line="240" w:lineRule="auto"/>
              <w:rPr>
                <w:sz w:val="24"/>
              </w:rPr>
            </w:pPr>
            <w:r>
              <w:rPr>
                <w:sz w:val="24"/>
                <w:rtl/>
              </w:rPr>
              <w:t xml:space="preserve">סעיף 5 </w:t>
            </w:r>
          </w:p>
        </w:tc>
      </w:tr>
      <w:tr w:rsidR="00536373">
        <w:tblPrEx>
          <w:tblCellMar>
            <w:top w:w="0" w:type="dxa"/>
            <w:bottom w:w="0" w:type="dxa"/>
          </w:tblCellMar>
        </w:tblPrEx>
        <w:tc>
          <w:tcPr>
            <w:tcW w:w="850" w:type="dxa"/>
          </w:tcPr>
          <w:p w:rsidR="00536373" w:rsidRDefault="0053637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A14E3">
              <w:rPr>
                <w:noProof/>
                <w:sz w:val="24"/>
                <w:rtl/>
              </w:rPr>
              <w:t>2</w:t>
            </w:r>
            <w:r>
              <w:rPr>
                <w:sz w:val="24"/>
                <w:rtl/>
              </w:rPr>
              <w:fldChar w:fldCharType="end"/>
            </w:r>
          </w:p>
        </w:tc>
        <w:tc>
          <w:tcPr>
            <w:tcW w:w="567" w:type="dxa"/>
          </w:tcPr>
          <w:p w:rsidR="00536373" w:rsidRDefault="00536373">
            <w:pPr>
              <w:spacing w:line="240" w:lineRule="auto"/>
              <w:rPr>
                <w:sz w:val="24"/>
              </w:rPr>
            </w:pPr>
            <w:hyperlink w:anchor="Seif5" w:tooltip="אישור חוקי עזר" w:history="1">
              <w:r>
                <w:rPr>
                  <w:rStyle w:val="Hyperlink"/>
                </w:rPr>
                <w:t>Go</w:t>
              </w:r>
            </w:hyperlink>
          </w:p>
        </w:tc>
        <w:tc>
          <w:tcPr>
            <w:tcW w:w="5669" w:type="dxa"/>
          </w:tcPr>
          <w:p w:rsidR="00536373" w:rsidRDefault="00536373">
            <w:pPr>
              <w:spacing w:line="240" w:lineRule="auto"/>
              <w:rPr>
                <w:sz w:val="24"/>
                <w:rtl/>
              </w:rPr>
            </w:pPr>
            <w:r>
              <w:rPr>
                <w:sz w:val="24"/>
                <w:rtl/>
              </w:rPr>
              <w:t>אישור חוקי עזר</w:t>
            </w:r>
          </w:p>
        </w:tc>
        <w:tc>
          <w:tcPr>
            <w:tcW w:w="1247" w:type="dxa"/>
          </w:tcPr>
          <w:p w:rsidR="00536373" w:rsidRDefault="00536373">
            <w:pPr>
              <w:spacing w:line="240" w:lineRule="auto"/>
              <w:rPr>
                <w:sz w:val="24"/>
              </w:rPr>
            </w:pPr>
            <w:r>
              <w:rPr>
                <w:sz w:val="24"/>
                <w:rtl/>
              </w:rPr>
              <w:t xml:space="preserve">סעיף 6 </w:t>
            </w:r>
          </w:p>
        </w:tc>
      </w:tr>
    </w:tbl>
    <w:p w:rsidR="00536373" w:rsidRDefault="00536373">
      <w:pPr>
        <w:pStyle w:val="big-header"/>
        <w:ind w:left="0" w:right="1134"/>
        <w:rPr>
          <w:rtl/>
        </w:rPr>
      </w:pPr>
    </w:p>
    <w:p w:rsidR="00536373" w:rsidRDefault="00536373" w:rsidP="001E394B">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(הסמכה מיוחדת), תשי"ז</w:t>
      </w:r>
      <w:r w:rsidR="000A14E3">
        <w:rPr>
          <w:rFonts w:hint="cs"/>
          <w:rtl/>
        </w:rPr>
        <w:t>-</w:t>
      </w:r>
      <w:r>
        <w:rPr>
          <w:rFonts w:hint="cs"/>
          <w:rtl/>
        </w:rPr>
        <w:t>1956</w:t>
      </w:r>
      <w:r w:rsidR="000A14E3" w:rsidRPr="000A14E3">
        <w:rPr>
          <w:rStyle w:val="default"/>
          <w:rtl/>
        </w:rPr>
        <w:footnoteReference w:customMarkFollows="1" w:id="1"/>
        <w:t>*</w:t>
      </w:r>
    </w:p>
    <w:p w:rsidR="00536373" w:rsidRDefault="00536373" w:rsidP="000A14E3">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45pt;z-index:251655168" o:allowincell="f" filled="f" stroked="f" strokecolor="lime" strokeweight=".25pt">
            <v:textbox style="mso-next-textbox:#_x0000_s1026" inset="0,0,0,0">
              <w:txbxContent>
                <w:p w:rsidR="00536373" w:rsidRDefault="00536373" w:rsidP="000A14E3">
                  <w:pPr>
                    <w:spacing w:line="160" w:lineRule="exact"/>
                    <w:jc w:val="left"/>
                    <w:rPr>
                      <w:rFonts w:cs="Miriam" w:hint="cs"/>
                      <w:szCs w:val="18"/>
                      <w:rtl/>
                    </w:rPr>
                  </w:pPr>
                  <w:r>
                    <w:rPr>
                      <w:rFonts w:cs="Miriam"/>
                      <w:szCs w:val="18"/>
                      <w:rtl/>
                    </w:rPr>
                    <w:t>א</w:t>
                  </w:r>
                  <w:r>
                    <w:rPr>
                      <w:rFonts w:cs="Miriam" w:hint="cs"/>
                      <w:szCs w:val="18"/>
                      <w:rtl/>
                    </w:rPr>
                    <w:t>יסור גידול</w:t>
                  </w:r>
                  <w:r w:rsidR="000A14E3">
                    <w:rPr>
                      <w:rFonts w:cs="Miriam" w:hint="cs"/>
                      <w:szCs w:val="18"/>
                      <w:rtl/>
                    </w:rPr>
                    <w:t xml:space="preserve"> </w:t>
                  </w:r>
                  <w:r>
                    <w:rPr>
                      <w:rFonts w:cs="Miriam"/>
                      <w:szCs w:val="18"/>
                      <w:rtl/>
                    </w:rPr>
                    <w:t>ח</w:t>
                  </w:r>
                  <w:r>
                    <w:rPr>
                      <w:rFonts w:cs="Miriam" w:hint="cs"/>
                      <w:szCs w:val="18"/>
                      <w:rtl/>
                    </w:rPr>
                    <w:t>זיר והחזקתו</w:t>
                  </w:r>
                  <w:r w:rsidR="000A14E3">
                    <w:rPr>
                      <w:rFonts w:cs="Miriam" w:hint="cs"/>
                      <w:noProof/>
                      <w:szCs w:val="18"/>
                      <w:rtl/>
                    </w:rPr>
                    <w:t xml:space="preserve"> </w:t>
                  </w:r>
                  <w:r>
                    <w:rPr>
                      <w:rFonts w:cs="Miriam"/>
                      <w:szCs w:val="18"/>
                      <w:rtl/>
                    </w:rPr>
                    <w:t>ו</w:t>
                  </w:r>
                  <w:r>
                    <w:rPr>
                      <w:rFonts w:cs="Miriam" w:hint="cs"/>
                      <w:szCs w:val="18"/>
                      <w:rtl/>
                    </w:rPr>
                    <w:t>מכירת בשר</w:t>
                  </w:r>
                  <w:r w:rsidR="000A14E3">
                    <w:rPr>
                      <w:rFonts w:cs="Miriam" w:hint="cs"/>
                      <w:szCs w:val="18"/>
                      <w:rtl/>
                    </w:rPr>
                    <w:t xml:space="preserve"> </w:t>
                  </w:r>
                  <w:r>
                    <w:rPr>
                      <w:rFonts w:cs="Miriam"/>
                      <w:szCs w:val="18"/>
                      <w:rtl/>
                    </w:rPr>
                    <w:t>ח</w:t>
                  </w:r>
                  <w:r>
                    <w:rPr>
                      <w:rFonts w:cs="Miriam" w:hint="cs"/>
                      <w:szCs w:val="18"/>
                      <w:rtl/>
                    </w:rPr>
                    <w:t>זיר ומוצריו</w:t>
                  </w:r>
                </w:p>
                <w:p w:rsidR="000A14E3" w:rsidRDefault="000A14E3" w:rsidP="000A14E3">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תשכ"ב-1962</w:t>
                  </w:r>
                </w:p>
              </w:txbxContent>
            </v:textbox>
            <w10:anchorlock/>
          </v:rect>
        </w:pict>
      </w:r>
      <w:r>
        <w:rPr>
          <w:rStyle w:val="big-number"/>
          <w:rFonts w:cs="Miriam"/>
          <w:rtl/>
        </w:rPr>
        <w:t>1.</w:t>
      </w:r>
      <w:r>
        <w:rPr>
          <w:rStyle w:val="big-number"/>
          <w:rFonts w:cs="Miriam"/>
          <w:rtl/>
        </w:rPr>
        <w:tab/>
      </w:r>
      <w:r>
        <w:rPr>
          <w:rStyle w:val="default"/>
          <w:rFonts w:cs="FrankRuehl"/>
          <w:rtl/>
        </w:rPr>
        <w:t>ע</w:t>
      </w:r>
      <w:r>
        <w:rPr>
          <w:rStyle w:val="default"/>
          <w:rFonts w:cs="FrankRuehl" w:hint="cs"/>
          <w:rtl/>
        </w:rPr>
        <w:t>ל אף האמור בכל דין אחר, תהא רשות מקומית מוסמכת להתקין חוק עזר שיגביל או יאסור מכירת בשר חזיר ומוצריו הנועדים לאכילה.</w:t>
      </w:r>
    </w:p>
    <w:p w:rsidR="000A14E3" w:rsidRPr="000A14E3" w:rsidRDefault="000A14E3" w:rsidP="000A14E3">
      <w:pPr>
        <w:pStyle w:val="P00"/>
        <w:spacing w:before="0"/>
        <w:ind w:left="0" w:right="1134"/>
        <w:rPr>
          <w:rFonts w:hint="cs"/>
          <w:b/>
          <w:bCs/>
          <w:vanish/>
          <w:szCs w:val="20"/>
          <w:shd w:val="clear" w:color="auto" w:fill="FFFF99"/>
          <w:rtl/>
        </w:rPr>
      </w:pPr>
      <w:bookmarkStart w:id="1" w:name="Rov9"/>
      <w:r w:rsidRPr="000A14E3">
        <w:rPr>
          <w:rFonts w:hint="cs"/>
          <w:vanish/>
          <w:color w:val="FF0000"/>
          <w:szCs w:val="20"/>
          <w:shd w:val="clear" w:color="auto" w:fill="FFFF99"/>
          <w:rtl/>
        </w:rPr>
        <w:t>מיום 23.7.1963</w:t>
      </w:r>
    </w:p>
    <w:p w:rsidR="000A14E3" w:rsidRPr="000A14E3" w:rsidRDefault="000A14E3" w:rsidP="000A14E3">
      <w:pPr>
        <w:pStyle w:val="P00"/>
        <w:spacing w:before="0"/>
        <w:ind w:left="0" w:right="1134"/>
        <w:rPr>
          <w:rFonts w:hint="cs"/>
          <w:b/>
          <w:bCs/>
          <w:vanish/>
          <w:szCs w:val="20"/>
          <w:shd w:val="clear" w:color="auto" w:fill="FFFF99"/>
          <w:rtl/>
        </w:rPr>
      </w:pPr>
      <w:r w:rsidRPr="000A14E3">
        <w:rPr>
          <w:rFonts w:hint="cs"/>
          <w:b/>
          <w:bCs/>
          <w:vanish/>
          <w:szCs w:val="20"/>
          <w:shd w:val="clear" w:color="auto" w:fill="FFFF99"/>
          <w:rtl/>
        </w:rPr>
        <w:t>תיקון מס' 1</w:t>
      </w:r>
    </w:p>
    <w:p w:rsidR="000A14E3" w:rsidRPr="000A14E3" w:rsidRDefault="000A14E3" w:rsidP="000A14E3">
      <w:pPr>
        <w:pStyle w:val="P00"/>
        <w:spacing w:before="0"/>
        <w:ind w:left="0" w:right="1134"/>
        <w:rPr>
          <w:rStyle w:val="default"/>
          <w:rFonts w:cs="FrankRuehl" w:hint="cs"/>
          <w:vanish/>
          <w:szCs w:val="20"/>
          <w:shd w:val="clear" w:color="auto" w:fill="FFFF99"/>
          <w:rtl/>
        </w:rPr>
      </w:pPr>
      <w:hyperlink r:id="rId6" w:history="1">
        <w:r w:rsidRPr="000A14E3">
          <w:rPr>
            <w:rStyle w:val="Hyperlink"/>
            <w:rFonts w:hint="cs"/>
            <w:vanish/>
            <w:szCs w:val="20"/>
            <w:shd w:val="clear" w:color="auto" w:fill="FFFF99"/>
            <w:rtl/>
          </w:rPr>
          <w:t>ס"ח תשכ"ב מס' 377</w:t>
        </w:r>
      </w:hyperlink>
      <w:r w:rsidRPr="000A14E3">
        <w:rPr>
          <w:rFonts w:hint="cs"/>
          <w:vanish/>
          <w:szCs w:val="20"/>
          <w:shd w:val="clear" w:color="auto" w:fill="FFFF99"/>
          <w:rtl/>
        </w:rPr>
        <w:t xml:space="preserve"> מיום 2.8.1962 עמ' 106 (</w:t>
      </w:r>
      <w:hyperlink r:id="rId7" w:history="1">
        <w:r w:rsidRPr="000A14E3">
          <w:rPr>
            <w:rStyle w:val="Hyperlink"/>
            <w:rFonts w:hint="cs"/>
            <w:vanish/>
            <w:szCs w:val="20"/>
            <w:shd w:val="clear" w:color="auto" w:fill="FFFF99"/>
            <w:rtl/>
          </w:rPr>
          <w:t>ה"ח 499</w:t>
        </w:r>
      </w:hyperlink>
      <w:r w:rsidRPr="000A14E3">
        <w:rPr>
          <w:rFonts w:hint="cs"/>
          <w:vanish/>
          <w:szCs w:val="20"/>
          <w:shd w:val="clear" w:color="auto" w:fill="FFFF99"/>
          <w:rtl/>
        </w:rPr>
        <w:t>)</w:t>
      </w:r>
    </w:p>
    <w:p w:rsidR="000A14E3" w:rsidRPr="00D9420E" w:rsidRDefault="000A14E3" w:rsidP="000A14E3">
      <w:pPr>
        <w:pStyle w:val="P00"/>
        <w:ind w:left="0" w:right="1134"/>
        <w:rPr>
          <w:rStyle w:val="default"/>
          <w:rFonts w:cs="FrankRuehl" w:hint="cs"/>
          <w:sz w:val="2"/>
          <w:szCs w:val="2"/>
          <w:rtl/>
        </w:rPr>
      </w:pPr>
      <w:r w:rsidRPr="000A14E3">
        <w:rPr>
          <w:rStyle w:val="default"/>
          <w:rFonts w:cs="FrankRuehl" w:hint="cs"/>
          <w:vanish/>
          <w:sz w:val="22"/>
          <w:szCs w:val="22"/>
          <w:shd w:val="clear" w:color="auto" w:fill="FFFF99"/>
          <w:rtl/>
        </w:rPr>
        <w:t>1.</w:t>
      </w:r>
      <w:r w:rsidRPr="000A14E3">
        <w:rPr>
          <w:rStyle w:val="default"/>
          <w:rFonts w:cs="FrankRuehl" w:hint="cs"/>
          <w:vanish/>
          <w:sz w:val="22"/>
          <w:szCs w:val="22"/>
          <w:shd w:val="clear" w:color="auto" w:fill="FFFF99"/>
          <w:rtl/>
        </w:rPr>
        <w:tab/>
      </w:r>
      <w:r w:rsidRPr="000A14E3">
        <w:rPr>
          <w:rStyle w:val="default"/>
          <w:rFonts w:cs="FrankRuehl"/>
          <w:vanish/>
          <w:sz w:val="22"/>
          <w:szCs w:val="22"/>
          <w:shd w:val="clear" w:color="auto" w:fill="FFFF99"/>
          <w:rtl/>
        </w:rPr>
        <w:t>ע</w:t>
      </w:r>
      <w:r w:rsidRPr="000A14E3">
        <w:rPr>
          <w:rStyle w:val="default"/>
          <w:rFonts w:cs="FrankRuehl" w:hint="cs"/>
          <w:vanish/>
          <w:sz w:val="22"/>
          <w:szCs w:val="22"/>
          <w:shd w:val="clear" w:color="auto" w:fill="FFFF99"/>
          <w:rtl/>
        </w:rPr>
        <w:t xml:space="preserve">ל אף האמור בכל דין אחר, תהא רשות מקומית מוסמכת להתקין חוק עזר שיגביל או יאסור </w:t>
      </w:r>
      <w:r w:rsidRPr="000A14E3">
        <w:rPr>
          <w:rStyle w:val="default"/>
          <w:rFonts w:cs="FrankRuehl" w:hint="cs"/>
          <w:strike/>
          <w:vanish/>
          <w:sz w:val="22"/>
          <w:szCs w:val="22"/>
          <w:shd w:val="clear" w:color="auto" w:fill="FFFF99"/>
          <w:rtl/>
        </w:rPr>
        <w:t>גידול חזי</w:t>
      </w:r>
      <w:r w:rsidRPr="000A14E3">
        <w:rPr>
          <w:rStyle w:val="default"/>
          <w:rFonts w:cs="FrankRuehl"/>
          <w:strike/>
          <w:vanish/>
          <w:sz w:val="22"/>
          <w:szCs w:val="22"/>
          <w:shd w:val="clear" w:color="auto" w:fill="FFFF99"/>
          <w:rtl/>
        </w:rPr>
        <w:t>ר</w:t>
      </w:r>
      <w:r w:rsidRPr="000A14E3">
        <w:rPr>
          <w:rStyle w:val="default"/>
          <w:rFonts w:cs="FrankRuehl" w:hint="cs"/>
          <w:strike/>
          <w:vanish/>
          <w:sz w:val="22"/>
          <w:szCs w:val="22"/>
          <w:shd w:val="clear" w:color="auto" w:fill="FFFF99"/>
          <w:rtl/>
        </w:rPr>
        <w:t>ים והחזקתם</w:t>
      </w:r>
      <w:r w:rsidRPr="000A14E3">
        <w:rPr>
          <w:rStyle w:val="default"/>
          <w:rFonts w:cs="FrankRuehl" w:hint="cs"/>
          <w:vanish/>
          <w:sz w:val="22"/>
          <w:szCs w:val="22"/>
          <w:shd w:val="clear" w:color="auto" w:fill="FFFF99"/>
          <w:rtl/>
        </w:rPr>
        <w:t xml:space="preserve"> ומכירת בשר חזיר ומוצריו הנועדים לאכילה.</w:t>
      </w:r>
      <w:bookmarkEnd w:id="1"/>
    </w:p>
    <w:p w:rsidR="000A14E3" w:rsidRDefault="000A14E3" w:rsidP="000A14E3">
      <w:pPr>
        <w:pStyle w:val="P00"/>
        <w:spacing w:before="72"/>
        <w:ind w:left="0" w:right="1134"/>
        <w:rPr>
          <w:rStyle w:val="default"/>
          <w:rFonts w:cs="FrankRuehl" w:hint="cs"/>
          <w:rtl/>
        </w:rPr>
      </w:pPr>
    </w:p>
    <w:p w:rsidR="00536373" w:rsidRDefault="00536373">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8.7pt;z-index:251656192" o:allowincell="f" filled="f" stroked="f" strokecolor="lime" strokeweight=".25pt">
            <v:textbox inset="0,0,0,0">
              <w:txbxContent>
                <w:p w:rsidR="00536373" w:rsidRDefault="00536373">
                  <w:pPr>
                    <w:spacing w:line="160" w:lineRule="exact"/>
                    <w:jc w:val="left"/>
                    <w:rPr>
                      <w:rFonts w:cs="Miriam"/>
                      <w:noProof/>
                      <w:szCs w:val="18"/>
                      <w:rtl/>
                    </w:rPr>
                  </w:pPr>
                  <w:r>
                    <w:rPr>
                      <w:rFonts w:cs="Miriam"/>
                      <w:szCs w:val="18"/>
                      <w:rtl/>
                    </w:rPr>
                    <w:t>ת</w:t>
                  </w:r>
                  <w:r>
                    <w:rPr>
                      <w:rFonts w:cs="Miriam" w:hint="cs"/>
                      <w:szCs w:val="18"/>
                      <w:rtl/>
                    </w:rPr>
                    <w:t>חולת האיסור</w:t>
                  </w:r>
                </w:p>
              </w:txbxContent>
            </v:textbox>
            <w10:anchorlock/>
          </v:rect>
        </w:pict>
      </w:r>
      <w:r>
        <w:rPr>
          <w:rStyle w:val="big-number"/>
          <w:rFonts w:cs="Miriam"/>
          <w:rtl/>
        </w:rPr>
        <w:t>2.</w:t>
      </w:r>
      <w:r>
        <w:rPr>
          <w:rStyle w:val="big-number"/>
          <w:rFonts w:cs="Miriam"/>
          <w:rtl/>
        </w:rPr>
        <w:tab/>
      </w:r>
      <w:r>
        <w:rPr>
          <w:rStyle w:val="default"/>
          <w:rFonts w:cs="FrankRuehl"/>
          <w:rtl/>
        </w:rPr>
        <w:t>ר</w:t>
      </w:r>
      <w:r>
        <w:rPr>
          <w:rStyle w:val="default"/>
          <w:rFonts w:cs="FrankRuehl" w:hint="cs"/>
          <w:rtl/>
        </w:rPr>
        <w:t>שות מקומית רשאית להטיל הגבלה או איסור כאמור בסעיף 1 על כל אזור שיפוטה או על חלק מסויים ממנו, ובלבד שיחולו על כל האוכלוסיה באותו אזור או באותו חלק ממנו.</w:t>
      </w:r>
    </w:p>
    <w:p w:rsidR="00536373" w:rsidRDefault="00536373">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3.75pt;z-index:251657216" o:allowincell="f" filled="f" stroked="f" strokecolor="lime" strokeweight=".25pt">
            <v:textbox inset="0,0,0,0">
              <w:txbxContent>
                <w:p w:rsidR="00536373" w:rsidRDefault="00536373">
                  <w:pPr>
                    <w:spacing w:line="160" w:lineRule="exact"/>
                    <w:jc w:val="left"/>
                    <w:rPr>
                      <w:rFonts w:cs="Miriam"/>
                      <w:noProof/>
                      <w:szCs w:val="18"/>
                      <w:rtl/>
                    </w:rPr>
                  </w:pPr>
                  <w:r>
                    <w:rPr>
                      <w:rFonts w:cs="Miriam"/>
                      <w:szCs w:val="18"/>
                      <w:rtl/>
                    </w:rPr>
                    <w:t>ס</w:t>
                  </w:r>
                  <w:r>
                    <w:rPr>
                      <w:rFonts w:cs="Miriam" w:hint="cs"/>
                      <w:szCs w:val="18"/>
                      <w:rtl/>
                    </w:rPr>
                    <w:t>מכויות עזר</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טילה רשות מקו</w:t>
      </w:r>
      <w:r>
        <w:rPr>
          <w:rStyle w:val="default"/>
          <w:rFonts w:cs="FrankRuehl"/>
          <w:rtl/>
        </w:rPr>
        <w:t>מ</w:t>
      </w:r>
      <w:r>
        <w:rPr>
          <w:rStyle w:val="default"/>
          <w:rFonts w:cs="FrankRuehl" w:hint="cs"/>
          <w:rtl/>
        </w:rPr>
        <w:t>ית הגבלה או איסור כאמור בסעיף 1, רשאית היא לקבוע בחוק העזר הוראות בדבר בדיקתם, עיקולם והחרמתם של חזיר, וכן של בשר חזיר או מוצרי אוכל של בשר חזיר הנועדים למכירה, אשר ההגבלה או האיסור חלים עליהם.</w:t>
      </w:r>
    </w:p>
    <w:p w:rsidR="00536373" w:rsidRDefault="00536373">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2.65pt;z-index:251658240" o:allowincell="f" filled="f" stroked="f" strokecolor="lime" strokeweight=".25pt">
            <v:textbox inset="0,0,0,0">
              <w:txbxContent>
                <w:p w:rsidR="00536373" w:rsidRDefault="00536373">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Fonts w:cs="Miriam"/>
          <w:rtl/>
        </w:rPr>
        <w:t>4.</w:t>
      </w:r>
      <w:r>
        <w:rPr>
          <w:rStyle w:val="big-number"/>
          <w:rFonts w:cs="Miriam"/>
          <w:rtl/>
        </w:rPr>
        <w:tab/>
      </w:r>
      <w:r>
        <w:rPr>
          <w:rStyle w:val="default"/>
          <w:rFonts w:cs="FrankRuehl"/>
          <w:rtl/>
        </w:rPr>
        <w:t>ע</w:t>
      </w:r>
      <w:r>
        <w:rPr>
          <w:rStyle w:val="default"/>
          <w:rFonts w:cs="FrankRuehl" w:hint="cs"/>
          <w:rtl/>
        </w:rPr>
        <w:t>נשו של העובר על חוק עזר שהותקן לפי חוק זה כענשו</w:t>
      </w:r>
      <w:r>
        <w:rPr>
          <w:rStyle w:val="default"/>
          <w:rFonts w:cs="FrankRuehl"/>
          <w:rtl/>
        </w:rPr>
        <w:t xml:space="preserve"> </w:t>
      </w:r>
      <w:r>
        <w:rPr>
          <w:rStyle w:val="default"/>
          <w:rFonts w:cs="FrankRuehl" w:hint="cs"/>
          <w:rtl/>
        </w:rPr>
        <w:t>של העובר על חוק עזר שהותקן לפי פקודת העיריות, 1934, או לפי פקודת המועצות המקומיות, 1941, הכל לפי הענין.</w:t>
      </w:r>
    </w:p>
    <w:p w:rsidR="00536373" w:rsidRDefault="00536373">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3.3pt;z-index:251659264" o:allowincell="f" filled="f" stroked="f" strokecolor="lime" strokeweight=".25pt">
            <v:textbox inset="0,0,0,0">
              <w:txbxContent>
                <w:p w:rsidR="00536373" w:rsidRDefault="00536373">
                  <w:pPr>
                    <w:spacing w:line="160" w:lineRule="exact"/>
                    <w:jc w:val="left"/>
                    <w:rPr>
                      <w:rFonts w:cs="Miriam"/>
                      <w:noProof/>
                      <w:szCs w:val="18"/>
                      <w:rtl/>
                    </w:rPr>
                  </w:pPr>
                  <w:r>
                    <w:rPr>
                      <w:rFonts w:cs="Miriam"/>
                      <w:szCs w:val="18"/>
                      <w:rtl/>
                    </w:rPr>
                    <w:t>ש</w:t>
                  </w:r>
                  <w:r>
                    <w:rPr>
                      <w:rFonts w:cs="Miriam" w:hint="cs"/>
                      <w:szCs w:val="18"/>
                      <w:rtl/>
                    </w:rPr>
                    <w:t>מירת סמכויות</w:t>
                  </w:r>
                </w:p>
              </w:txbxContent>
            </v:textbox>
            <w10:anchorlock/>
          </v:rect>
        </w:pict>
      </w:r>
      <w:r>
        <w:rPr>
          <w:rStyle w:val="big-number"/>
          <w:rFonts w:cs="Miriam"/>
          <w:rtl/>
        </w:rPr>
        <w:t>5.</w:t>
      </w:r>
      <w:r>
        <w:rPr>
          <w:rStyle w:val="big-number"/>
          <w:rFonts w:cs="Miriam"/>
          <w:rtl/>
        </w:rPr>
        <w:tab/>
      </w:r>
      <w:r>
        <w:rPr>
          <w:rStyle w:val="default"/>
          <w:rFonts w:cs="FrankRuehl"/>
          <w:rtl/>
        </w:rPr>
        <w:t>ח</w:t>
      </w:r>
      <w:r>
        <w:rPr>
          <w:rStyle w:val="default"/>
          <w:rFonts w:cs="FrankRuehl" w:hint="cs"/>
          <w:rtl/>
        </w:rPr>
        <w:t>וק זה בא להוסיף על הסמכויות הנתונות לרשות מקומית לפי כל דין אחר ולא לגרוע מהן.</w:t>
      </w:r>
    </w:p>
    <w:p w:rsidR="00536373" w:rsidRDefault="00536373">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5.8pt;z-index:251660288" o:allowincell="f" filled="f" stroked="f" strokecolor="lime" strokeweight=".25pt">
            <v:textbox inset="0,0,0,0">
              <w:txbxContent>
                <w:p w:rsidR="00536373" w:rsidRDefault="00536373">
                  <w:pPr>
                    <w:spacing w:line="160" w:lineRule="exact"/>
                    <w:jc w:val="left"/>
                    <w:rPr>
                      <w:rFonts w:cs="Miriam"/>
                      <w:noProof/>
                      <w:szCs w:val="18"/>
                      <w:rtl/>
                    </w:rPr>
                  </w:pPr>
                  <w:r>
                    <w:rPr>
                      <w:rFonts w:cs="Miriam"/>
                      <w:szCs w:val="18"/>
                      <w:rtl/>
                    </w:rPr>
                    <w:t>א</w:t>
                  </w:r>
                  <w:r>
                    <w:rPr>
                      <w:rFonts w:cs="Miriam" w:hint="cs"/>
                      <w:szCs w:val="18"/>
                      <w:rtl/>
                    </w:rPr>
                    <w:t>ישור חוקי עזר</w:t>
                  </w:r>
                </w:p>
              </w:txbxContent>
            </v:textbox>
            <w10:anchorlock/>
          </v:rect>
        </w:pict>
      </w:r>
      <w:r>
        <w:rPr>
          <w:rStyle w:val="big-number"/>
          <w:rFonts w:cs="Miriam"/>
          <w:rtl/>
        </w:rPr>
        <w:t>6.</w:t>
      </w:r>
      <w:r>
        <w:rPr>
          <w:rStyle w:val="big-number"/>
          <w:rFonts w:cs="Miriam"/>
          <w:rtl/>
        </w:rPr>
        <w:tab/>
      </w:r>
      <w:r>
        <w:rPr>
          <w:rStyle w:val="default"/>
          <w:rFonts w:cs="FrankRuehl"/>
          <w:rtl/>
        </w:rPr>
        <w:t>ח</w:t>
      </w:r>
      <w:r>
        <w:rPr>
          <w:rStyle w:val="default"/>
          <w:rFonts w:cs="FrankRuehl" w:hint="cs"/>
          <w:rtl/>
        </w:rPr>
        <w:t>וק עזר שנעשה על ידי רשות מקומ</w:t>
      </w:r>
      <w:r>
        <w:rPr>
          <w:rStyle w:val="default"/>
          <w:rFonts w:cs="FrankRuehl"/>
          <w:rtl/>
        </w:rPr>
        <w:t>י</w:t>
      </w:r>
      <w:r>
        <w:rPr>
          <w:rStyle w:val="default"/>
          <w:rFonts w:cs="FrankRuehl" w:hint="cs"/>
          <w:rtl/>
        </w:rPr>
        <w:t>ת ונתפרסם ברשומות לפני תחילת חוק זה ואשר היה נעשה כדין אילו חוק זה היה בתקפו אותה שעה, רואים אותו כאילו נעשה כדין, אך לא יובא אדם בפלילים בשל עבירה על חוק עזר כאמור שנעברה לפני תחילת חוק זה.</w:t>
      </w:r>
    </w:p>
    <w:p w:rsidR="00536373" w:rsidRDefault="00536373">
      <w:pPr>
        <w:pStyle w:val="P00"/>
        <w:spacing w:before="72"/>
        <w:ind w:left="0" w:right="1134"/>
        <w:rPr>
          <w:rStyle w:val="default"/>
          <w:rFonts w:cs="FrankRuehl" w:hint="cs"/>
          <w:rtl/>
        </w:rPr>
      </w:pPr>
    </w:p>
    <w:p w:rsidR="000A14E3" w:rsidRDefault="000A14E3">
      <w:pPr>
        <w:pStyle w:val="P00"/>
        <w:spacing w:before="72"/>
        <w:ind w:left="0" w:right="1134"/>
        <w:rPr>
          <w:rStyle w:val="default"/>
          <w:rFonts w:cs="FrankRuehl" w:hint="cs"/>
          <w:rtl/>
        </w:rPr>
      </w:pPr>
    </w:p>
    <w:p w:rsidR="004A5DAF" w:rsidRPr="000A14E3" w:rsidRDefault="004A5DAF" w:rsidP="004A5DAF">
      <w:pPr>
        <w:pStyle w:val="sig-1"/>
        <w:widowControl/>
        <w:tabs>
          <w:tab w:val="clear" w:pos="851"/>
          <w:tab w:val="clear" w:pos="2835"/>
          <w:tab w:val="clear" w:pos="4820"/>
          <w:tab w:val="center" w:pos="2268"/>
          <w:tab w:val="center" w:pos="5670"/>
        </w:tabs>
        <w:spacing w:before="72"/>
        <w:ind w:left="0" w:right="1134"/>
        <w:rPr>
          <w:sz w:val="26"/>
          <w:szCs w:val="26"/>
          <w:rtl/>
        </w:rPr>
      </w:pPr>
      <w:r w:rsidRPr="000A14E3">
        <w:rPr>
          <w:sz w:val="26"/>
          <w:szCs w:val="26"/>
          <w:rtl/>
        </w:rPr>
        <w:tab/>
      </w:r>
      <w:r w:rsidRPr="000A14E3">
        <w:rPr>
          <w:sz w:val="26"/>
          <w:szCs w:val="26"/>
          <w:rtl/>
        </w:rPr>
        <w:tab/>
      </w:r>
      <w:r w:rsidRPr="000A14E3">
        <w:rPr>
          <w:rFonts w:hint="cs"/>
          <w:sz w:val="26"/>
          <w:szCs w:val="26"/>
          <w:rtl/>
        </w:rPr>
        <w:t>דוד בן-גוריון</w:t>
      </w:r>
    </w:p>
    <w:p w:rsidR="004A5DAF" w:rsidRDefault="004A5DAF" w:rsidP="004A5DAF">
      <w:pPr>
        <w:pStyle w:val="sig-1"/>
        <w:widowControl/>
        <w:tabs>
          <w:tab w:val="clear" w:pos="851"/>
          <w:tab w:val="clear" w:pos="2835"/>
          <w:tab w:val="clear" w:pos="4820"/>
          <w:tab w:val="center" w:pos="2268"/>
          <w:tab w:val="center" w:pos="5670"/>
        </w:tabs>
        <w:ind w:left="0" w:right="1134"/>
        <w:rPr>
          <w:rtl/>
        </w:rPr>
      </w:pPr>
      <w:r>
        <w:rPr>
          <w:rtl/>
        </w:rPr>
        <w:tab/>
      </w:r>
      <w:r>
        <w:rPr>
          <w:rtl/>
        </w:rPr>
        <w:tab/>
      </w:r>
      <w:r>
        <w:rPr>
          <w:rFonts w:hint="cs"/>
          <w:rtl/>
        </w:rPr>
        <w:t>ראש הממשלה</w:t>
      </w:r>
    </w:p>
    <w:p w:rsidR="00536373" w:rsidRPr="000A14E3" w:rsidRDefault="00536373" w:rsidP="004A5DAF">
      <w:pPr>
        <w:pStyle w:val="sig-1"/>
        <w:widowControl/>
        <w:tabs>
          <w:tab w:val="clear" w:pos="851"/>
          <w:tab w:val="clear" w:pos="2835"/>
          <w:tab w:val="clear" w:pos="4820"/>
          <w:tab w:val="center" w:pos="2268"/>
          <w:tab w:val="center" w:pos="5670"/>
        </w:tabs>
        <w:spacing w:before="72"/>
        <w:ind w:left="0" w:right="1134"/>
        <w:rPr>
          <w:sz w:val="26"/>
          <w:szCs w:val="26"/>
          <w:rtl/>
        </w:rPr>
      </w:pPr>
      <w:r w:rsidRPr="000A14E3">
        <w:rPr>
          <w:sz w:val="26"/>
          <w:szCs w:val="26"/>
          <w:rtl/>
        </w:rPr>
        <w:tab/>
      </w:r>
      <w:r w:rsidRPr="000A14E3">
        <w:rPr>
          <w:rFonts w:hint="cs"/>
          <w:sz w:val="26"/>
          <w:szCs w:val="26"/>
          <w:rtl/>
        </w:rPr>
        <w:t>יצחק בן-צבי</w:t>
      </w:r>
    </w:p>
    <w:p w:rsidR="00536373" w:rsidRDefault="00536373" w:rsidP="004A5DAF">
      <w:pPr>
        <w:pStyle w:val="sig-1"/>
        <w:widowControl/>
        <w:tabs>
          <w:tab w:val="clear" w:pos="851"/>
          <w:tab w:val="clear" w:pos="2835"/>
          <w:tab w:val="clear" w:pos="4820"/>
          <w:tab w:val="center" w:pos="2268"/>
          <w:tab w:val="center" w:pos="5670"/>
        </w:tabs>
        <w:ind w:left="0" w:right="1134"/>
        <w:rPr>
          <w:rtl/>
        </w:rPr>
      </w:pPr>
      <w:r>
        <w:rPr>
          <w:rtl/>
        </w:rPr>
        <w:tab/>
      </w:r>
      <w:r>
        <w:rPr>
          <w:rFonts w:hint="cs"/>
          <w:rtl/>
        </w:rPr>
        <w:t>נשיא המדינה</w:t>
      </w:r>
    </w:p>
    <w:p w:rsidR="00536373" w:rsidRPr="000A14E3" w:rsidRDefault="00536373" w:rsidP="000A14E3">
      <w:pPr>
        <w:pStyle w:val="P00"/>
        <w:spacing w:before="72"/>
        <w:ind w:left="0" w:right="1134"/>
        <w:rPr>
          <w:rStyle w:val="default"/>
          <w:rFonts w:cs="FrankRuehl" w:hint="cs"/>
          <w:rtl/>
        </w:rPr>
      </w:pPr>
    </w:p>
    <w:p w:rsidR="000A14E3" w:rsidRPr="000A14E3" w:rsidRDefault="000A14E3" w:rsidP="000A14E3">
      <w:pPr>
        <w:pStyle w:val="P00"/>
        <w:spacing w:before="72"/>
        <w:ind w:left="0" w:right="1134"/>
        <w:rPr>
          <w:rStyle w:val="default"/>
          <w:rFonts w:cs="FrankRuehl"/>
          <w:rtl/>
        </w:rPr>
      </w:pPr>
    </w:p>
    <w:p w:rsidR="00536373" w:rsidRPr="000A14E3" w:rsidRDefault="00536373" w:rsidP="000A14E3">
      <w:pPr>
        <w:pStyle w:val="P00"/>
        <w:spacing w:before="72"/>
        <w:ind w:left="0" w:right="1134"/>
        <w:rPr>
          <w:rStyle w:val="default"/>
          <w:rFonts w:cs="FrankRuehl"/>
          <w:rtl/>
        </w:rPr>
      </w:pPr>
      <w:bookmarkStart w:id="7" w:name="LawPartEnd"/>
    </w:p>
    <w:bookmarkEnd w:id="7"/>
    <w:p w:rsidR="00536373" w:rsidRPr="000A14E3" w:rsidRDefault="00536373" w:rsidP="000A14E3">
      <w:pPr>
        <w:pStyle w:val="P00"/>
        <w:spacing w:before="72"/>
        <w:ind w:left="0" w:right="1134"/>
        <w:rPr>
          <w:rStyle w:val="default"/>
          <w:rFonts w:cs="FrankRuehl"/>
          <w:rtl/>
        </w:rPr>
      </w:pPr>
    </w:p>
    <w:sectPr w:rsidR="00536373" w:rsidRPr="000A14E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183C" w:rsidRDefault="00CE183C">
      <w:r>
        <w:separator/>
      </w:r>
    </w:p>
  </w:endnote>
  <w:endnote w:type="continuationSeparator" w:id="0">
    <w:p w:rsidR="00CE183C" w:rsidRDefault="00CE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373" w:rsidRDefault="0053637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36373" w:rsidRDefault="0053637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36373" w:rsidRDefault="0053637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14E3">
      <w:rPr>
        <w:rFonts w:cs="TopType Jerushalmi"/>
        <w:noProof/>
        <w:color w:val="000000"/>
        <w:sz w:val="14"/>
        <w:szCs w:val="14"/>
      </w:rPr>
      <w:t>C:\Yael\hakika\Revadim\p213_007.doc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373" w:rsidRDefault="0053637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5DAF">
      <w:rPr>
        <w:rFonts w:hAnsi="FrankRuehl" w:cs="FrankRuehl"/>
        <w:noProof/>
        <w:sz w:val="24"/>
        <w:szCs w:val="24"/>
        <w:rtl/>
      </w:rPr>
      <w:t>1</w:t>
    </w:r>
    <w:r>
      <w:rPr>
        <w:rFonts w:hAnsi="FrankRuehl" w:cs="FrankRuehl"/>
        <w:sz w:val="24"/>
        <w:szCs w:val="24"/>
        <w:rtl/>
      </w:rPr>
      <w:fldChar w:fldCharType="end"/>
    </w:r>
  </w:p>
  <w:p w:rsidR="00536373" w:rsidRDefault="0053637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36373" w:rsidRDefault="0053637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14E3">
      <w:rPr>
        <w:rFonts w:cs="TopType Jerushalmi"/>
        <w:noProof/>
        <w:color w:val="000000"/>
        <w:sz w:val="14"/>
        <w:szCs w:val="14"/>
      </w:rPr>
      <w:t>C:\Yael\hakika\Revadim\p213_007.doc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183C" w:rsidRDefault="00CE183C" w:rsidP="000A14E3">
      <w:pPr>
        <w:spacing w:before="60" w:line="240" w:lineRule="auto"/>
        <w:ind w:right="1134"/>
      </w:pPr>
      <w:r>
        <w:separator/>
      </w:r>
    </w:p>
  </w:footnote>
  <w:footnote w:type="continuationSeparator" w:id="0">
    <w:p w:rsidR="00CE183C" w:rsidRDefault="00CE183C">
      <w:r>
        <w:continuationSeparator/>
      </w:r>
    </w:p>
  </w:footnote>
  <w:footnote w:id="1">
    <w:p w:rsidR="000A14E3" w:rsidRDefault="000A14E3" w:rsidP="000A14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A14E3">
        <w:rPr>
          <w:sz w:val="20"/>
          <w:rtl/>
        </w:rPr>
        <w:t xml:space="preserve">* </w:t>
      </w:r>
      <w:r>
        <w:rPr>
          <w:sz w:val="20"/>
          <w:rtl/>
        </w:rPr>
        <w:t>פ</w:t>
      </w:r>
      <w:r>
        <w:rPr>
          <w:rFonts w:hint="cs"/>
          <w:sz w:val="20"/>
          <w:rtl/>
        </w:rPr>
        <w:t xml:space="preserve">ורסם </w:t>
      </w:r>
      <w:hyperlink r:id="rId1" w:history="1">
        <w:r w:rsidRPr="000B138F">
          <w:rPr>
            <w:rStyle w:val="Hyperlink"/>
            <w:rFonts w:hint="cs"/>
            <w:sz w:val="20"/>
            <w:rtl/>
          </w:rPr>
          <w:t>ס"ח תש</w:t>
        </w:r>
        <w:r w:rsidRPr="000B138F">
          <w:rPr>
            <w:rStyle w:val="Hyperlink"/>
            <w:rFonts w:hint="cs"/>
            <w:sz w:val="20"/>
            <w:rtl/>
          </w:rPr>
          <w:t>י</w:t>
        </w:r>
        <w:r w:rsidRPr="000B138F">
          <w:rPr>
            <w:rStyle w:val="Hyperlink"/>
            <w:rFonts w:hint="cs"/>
            <w:sz w:val="20"/>
            <w:rtl/>
          </w:rPr>
          <w:t xml:space="preserve">"ז </w:t>
        </w:r>
        <w:r w:rsidRPr="000B138F">
          <w:rPr>
            <w:rStyle w:val="Hyperlink"/>
            <w:rFonts w:hint="cs"/>
            <w:sz w:val="20"/>
            <w:rtl/>
          </w:rPr>
          <w:t>מ</w:t>
        </w:r>
        <w:r w:rsidRPr="000B138F">
          <w:rPr>
            <w:rStyle w:val="Hyperlink"/>
            <w:rFonts w:hint="cs"/>
            <w:sz w:val="20"/>
            <w:rtl/>
          </w:rPr>
          <w:t>ס</w:t>
        </w:r>
        <w:r w:rsidRPr="000B138F">
          <w:rPr>
            <w:rStyle w:val="Hyperlink"/>
            <w:rFonts w:hint="cs"/>
            <w:sz w:val="20"/>
            <w:rtl/>
          </w:rPr>
          <w:t>' 211</w:t>
        </w:r>
      </w:hyperlink>
      <w:r>
        <w:rPr>
          <w:rFonts w:hint="cs"/>
          <w:sz w:val="20"/>
          <w:rtl/>
        </w:rPr>
        <w:t xml:space="preserve"> מיום 6.12.1956 עמ' 16 (</w:t>
      </w:r>
      <w:hyperlink r:id="rId2" w:history="1">
        <w:r w:rsidRPr="000B138F">
          <w:rPr>
            <w:rStyle w:val="Hyperlink"/>
            <w:rFonts w:hint="cs"/>
            <w:sz w:val="20"/>
            <w:rtl/>
          </w:rPr>
          <w:t>ה"</w:t>
        </w:r>
        <w:r w:rsidRPr="000B138F">
          <w:rPr>
            <w:rStyle w:val="Hyperlink"/>
            <w:rFonts w:hint="cs"/>
            <w:sz w:val="20"/>
            <w:rtl/>
          </w:rPr>
          <w:t>ח</w:t>
        </w:r>
        <w:r w:rsidRPr="000B138F">
          <w:rPr>
            <w:rStyle w:val="Hyperlink"/>
            <w:rFonts w:hint="cs"/>
            <w:sz w:val="20"/>
            <w:rtl/>
          </w:rPr>
          <w:t xml:space="preserve"> תשט"ז מס' 273</w:t>
        </w:r>
      </w:hyperlink>
      <w:r>
        <w:rPr>
          <w:rFonts w:hint="cs"/>
          <w:sz w:val="20"/>
          <w:rtl/>
        </w:rPr>
        <w:t xml:space="preserve"> עמ' 165).</w:t>
      </w:r>
    </w:p>
    <w:p w:rsidR="000A14E3" w:rsidRPr="000A14E3" w:rsidRDefault="000A14E3" w:rsidP="000A14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0A14E3">
        <w:rPr>
          <w:rFonts w:hint="cs"/>
          <w:sz w:val="20"/>
          <w:rtl/>
        </w:rPr>
        <w:t xml:space="preserve">תוקן  </w:t>
      </w:r>
      <w:hyperlink r:id="rId3" w:history="1">
        <w:r w:rsidRPr="000A14E3">
          <w:rPr>
            <w:rStyle w:val="Hyperlink"/>
            <w:rFonts w:hint="cs"/>
            <w:sz w:val="20"/>
            <w:rtl/>
          </w:rPr>
          <w:t>ס"ח תשכ"ב מס' 377</w:t>
        </w:r>
      </w:hyperlink>
      <w:r w:rsidRPr="000A14E3">
        <w:rPr>
          <w:rFonts w:hint="cs"/>
          <w:sz w:val="20"/>
          <w:rtl/>
        </w:rPr>
        <w:t xml:space="preserve"> מיום 2.8.1962 עמ' 106 (</w:t>
      </w:r>
      <w:hyperlink r:id="rId4" w:history="1">
        <w:r w:rsidRPr="000A14E3">
          <w:rPr>
            <w:rStyle w:val="Hyperlink"/>
            <w:rFonts w:hint="cs"/>
            <w:sz w:val="20"/>
            <w:rtl/>
          </w:rPr>
          <w:t>ה"ח תשכ"</w:t>
        </w:r>
        <w:r w:rsidRPr="000A14E3">
          <w:rPr>
            <w:rStyle w:val="Hyperlink"/>
            <w:rFonts w:hint="cs"/>
            <w:sz w:val="20"/>
            <w:rtl/>
          </w:rPr>
          <w:t>ב</w:t>
        </w:r>
        <w:r w:rsidRPr="000A14E3">
          <w:rPr>
            <w:rStyle w:val="Hyperlink"/>
            <w:rFonts w:hint="cs"/>
            <w:sz w:val="20"/>
            <w:rtl/>
          </w:rPr>
          <w:t xml:space="preserve"> מס' 499</w:t>
        </w:r>
      </w:hyperlink>
      <w:r w:rsidRPr="000A14E3">
        <w:rPr>
          <w:rFonts w:hint="cs"/>
          <w:sz w:val="20"/>
          <w:rtl/>
        </w:rPr>
        <w:t xml:space="preserve"> עמ' 110)</w:t>
      </w:r>
      <w:r>
        <w:rPr>
          <w:rFonts w:hint="cs"/>
          <w:sz w:val="20"/>
          <w:rtl/>
        </w:rPr>
        <w:t xml:space="preserve"> </w:t>
      </w:r>
      <w:r>
        <w:rPr>
          <w:sz w:val="20"/>
          <w:rtl/>
        </w:rPr>
        <w:t>–</w:t>
      </w:r>
      <w:r w:rsidRPr="000A14E3">
        <w:rPr>
          <w:rFonts w:hint="cs"/>
          <w:sz w:val="20"/>
          <w:rtl/>
        </w:rPr>
        <w:t xml:space="preserve"> תיקון מס' 1 בסעיף 10 לחוק איסור גידול חזיר, תשכ"ב-1962</w:t>
      </w:r>
      <w:r>
        <w:rPr>
          <w:rFonts w:hint="cs"/>
          <w:sz w:val="20"/>
          <w:rtl/>
        </w:rPr>
        <w:t>; תחילתו ביום 23.7.1963</w:t>
      </w:r>
      <w:r w:rsidRPr="000A14E3">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373" w:rsidRDefault="0053637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(הסמכה מיוחדת), תשי"ז–1956</w:t>
    </w:r>
  </w:p>
  <w:p w:rsidR="00536373" w:rsidRDefault="005363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6373" w:rsidRDefault="0053637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373" w:rsidRDefault="00536373" w:rsidP="000A14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(הסמכה מיוחדת), תשי"ז</w:t>
    </w:r>
    <w:r w:rsidR="000A14E3">
      <w:rPr>
        <w:rFonts w:hAnsi="FrankRuehl" w:cs="FrankRuehl" w:hint="cs"/>
        <w:color w:val="000000"/>
        <w:sz w:val="28"/>
        <w:szCs w:val="28"/>
        <w:rtl/>
      </w:rPr>
      <w:t>-</w:t>
    </w:r>
    <w:r>
      <w:rPr>
        <w:rFonts w:hAnsi="FrankRuehl" w:cs="FrankRuehl"/>
        <w:color w:val="000000"/>
        <w:sz w:val="28"/>
        <w:szCs w:val="28"/>
        <w:rtl/>
      </w:rPr>
      <w:t>1956</w:t>
    </w:r>
  </w:p>
  <w:p w:rsidR="00536373" w:rsidRDefault="0053637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6373" w:rsidRDefault="0053637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138F"/>
    <w:rsid w:val="00007C10"/>
    <w:rsid w:val="00024CFA"/>
    <w:rsid w:val="000A14E3"/>
    <w:rsid w:val="000B138F"/>
    <w:rsid w:val="001E394B"/>
    <w:rsid w:val="002A401F"/>
    <w:rsid w:val="003B0F59"/>
    <w:rsid w:val="00423C0E"/>
    <w:rsid w:val="00424A0C"/>
    <w:rsid w:val="004A5DAF"/>
    <w:rsid w:val="00536373"/>
    <w:rsid w:val="00592D35"/>
    <w:rsid w:val="00C741E7"/>
    <w:rsid w:val="00CE183C"/>
    <w:rsid w:val="00D42B05"/>
    <w:rsid w:val="00D9420E"/>
    <w:rsid w:val="00EA3B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D1ED85B-853D-4E21-84EA-2F951123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B138F"/>
    <w:rPr>
      <w:color w:val="800080"/>
      <w:u w:val="single"/>
    </w:rPr>
  </w:style>
  <w:style w:type="paragraph" w:styleId="a5">
    <w:name w:val="footnote text"/>
    <w:basedOn w:val="a"/>
    <w:semiHidden/>
    <w:rsid w:val="000A14E3"/>
    <w:rPr>
      <w:sz w:val="20"/>
      <w:szCs w:val="20"/>
    </w:rPr>
  </w:style>
  <w:style w:type="character" w:styleId="a6">
    <w:name w:val="footnote reference"/>
    <w:basedOn w:val="a0"/>
    <w:semiHidden/>
    <w:rsid w:val="000A14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0499.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37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377.pdf" TargetMode="External"/><Relationship Id="rId2" Type="http://schemas.openxmlformats.org/officeDocument/2006/relationships/hyperlink" Target="http://www.nevo.co.il/Law_word/law17/PROP-0273.pdf" TargetMode="External"/><Relationship Id="rId1" Type="http://schemas.openxmlformats.org/officeDocument/2006/relationships/hyperlink" Target="http://www.nevo.co.il/Law_word/law14/LAW-0211.pdf" TargetMode="External"/><Relationship Id="rId4" Type="http://schemas.openxmlformats.org/officeDocument/2006/relationships/hyperlink" Target="http://www.nevo.co.il/Law_word/law17/PROP-04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2140</CharactersWithSpaces>
  <SharedDoc>false</SharedDoc>
  <HLinks>
    <vt:vector size="72" baseType="variant">
      <vt:variant>
        <vt:i4>262260</vt:i4>
      </vt:variant>
      <vt:variant>
        <vt:i4>39</vt:i4>
      </vt:variant>
      <vt:variant>
        <vt:i4>0</vt:i4>
      </vt:variant>
      <vt:variant>
        <vt:i4>5</vt:i4>
      </vt:variant>
      <vt:variant>
        <vt:lpwstr>http://www.nevo.co.il/Law_word/law17/PROP-0499.pdf</vt:lpwstr>
      </vt:variant>
      <vt:variant>
        <vt:lpwstr/>
      </vt:variant>
      <vt:variant>
        <vt:i4>7864333</vt:i4>
      </vt:variant>
      <vt:variant>
        <vt:i4>36</vt:i4>
      </vt:variant>
      <vt:variant>
        <vt:i4>0</vt:i4>
      </vt:variant>
      <vt:variant>
        <vt:i4>5</vt:i4>
      </vt:variant>
      <vt:variant>
        <vt:lpwstr>http://www.nevo.co.il/Law_word/law14/LAW-0377.pdf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262260</vt:i4>
      </vt:variant>
      <vt:variant>
        <vt:i4>9</vt:i4>
      </vt:variant>
      <vt:variant>
        <vt:i4>0</vt:i4>
      </vt:variant>
      <vt:variant>
        <vt:i4>5</vt:i4>
      </vt:variant>
      <vt:variant>
        <vt:lpwstr>http://www.nevo.co.il/Law_word/law17/PROP-0499.pdf</vt:lpwstr>
      </vt:variant>
      <vt:variant>
        <vt:lpwstr/>
      </vt:variant>
      <vt:variant>
        <vt:i4>7864333</vt:i4>
      </vt:variant>
      <vt:variant>
        <vt:i4>6</vt:i4>
      </vt:variant>
      <vt:variant>
        <vt:i4>0</vt:i4>
      </vt:variant>
      <vt:variant>
        <vt:i4>5</vt:i4>
      </vt:variant>
      <vt:variant>
        <vt:lpwstr>http://www.nevo.co.il/Law_word/law14/LAW-0377.pdf</vt:lpwstr>
      </vt:variant>
      <vt:variant>
        <vt:lpwstr/>
      </vt:variant>
      <vt:variant>
        <vt:i4>524410</vt:i4>
      </vt:variant>
      <vt:variant>
        <vt:i4>3</vt:i4>
      </vt:variant>
      <vt:variant>
        <vt:i4>0</vt:i4>
      </vt:variant>
      <vt:variant>
        <vt:i4>5</vt:i4>
      </vt:variant>
      <vt:variant>
        <vt:lpwstr>http://www.nevo.co.il/Law_word/law17/PROP-0273.pdf</vt:lpwstr>
      </vt:variant>
      <vt:variant>
        <vt:lpwstr/>
      </vt:variant>
      <vt:variant>
        <vt:i4>8257546</vt:i4>
      </vt:variant>
      <vt:variant>
        <vt:i4>0</vt:i4>
      </vt:variant>
      <vt:variant>
        <vt:i4>0</vt:i4>
      </vt:variant>
      <vt:variant>
        <vt:i4>5</vt:i4>
      </vt:variant>
      <vt:variant>
        <vt:lpwstr>http://www.nevo.co.il/Law_word/law14/LAW-0211.pdf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(הסמכה מיוחדת), תשי"ז-1956</vt:lpwstr>
  </property>
  <property fmtid="{D5CDD505-2E9C-101B-9397-08002B2CF9AE}" pid="5" name="LAWNUMBER">
    <vt:lpwstr>0007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הסמכה מיוחדת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