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5E7" w:rsidRDefault="00A845E7">
      <w:pPr>
        <w:pStyle w:val="big-header"/>
        <w:ind w:left="0" w:right="1134"/>
        <w:rPr>
          <w:rFonts w:cs="FrankRuehl" w:hint="cs"/>
          <w:sz w:val="32"/>
          <w:rtl/>
        </w:rPr>
      </w:pPr>
      <w:r>
        <w:rPr>
          <w:rFonts w:cs="FrankRuehl" w:hint="cs"/>
          <w:sz w:val="32"/>
          <w:rtl/>
        </w:rPr>
        <w:t>חוק הרשות לפיתוח ולקידום התרבות, התיירות וקשרי החוץ של ירושלים, תשס"ו-2005</w:t>
      </w:r>
    </w:p>
    <w:p w:rsidR="001F2DE6" w:rsidRDefault="001F2DE6" w:rsidP="001F2DE6">
      <w:pPr>
        <w:spacing w:line="320" w:lineRule="auto"/>
        <w:rPr>
          <w:rFonts w:hint="cs"/>
          <w:rtl/>
        </w:rPr>
      </w:pPr>
    </w:p>
    <w:p w:rsidR="00AA35C1" w:rsidRDefault="00AA35C1" w:rsidP="001F2DE6">
      <w:pPr>
        <w:spacing w:line="320" w:lineRule="auto"/>
        <w:rPr>
          <w:rFonts w:hint="cs"/>
          <w:rtl/>
        </w:rPr>
      </w:pPr>
    </w:p>
    <w:p w:rsidR="001F2DE6" w:rsidRDefault="001F2DE6" w:rsidP="001F2DE6">
      <w:pPr>
        <w:spacing w:line="320" w:lineRule="auto"/>
        <w:rPr>
          <w:rFonts w:cs="FrankRuehl"/>
          <w:szCs w:val="26"/>
          <w:rtl/>
        </w:rPr>
      </w:pPr>
      <w:r w:rsidRPr="001F2DE6">
        <w:rPr>
          <w:rFonts w:cs="Miriam"/>
          <w:szCs w:val="22"/>
          <w:rtl/>
        </w:rPr>
        <w:t>רשויות ומשפט מנהלי</w:t>
      </w:r>
      <w:r w:rsidRPr="001F2DE6">
        <w:rPr>
          <w:rFonts w:cs="FrankRuehl"/>
          <w:szCs w:val="26"/>
          <w:rtl/>
        </w:rPr>
        <w:t xml:space="preserve"> – תרבות, פנאי ומועדים</w:t>
      </w:r>
    </w:p>
    <w:p w:rsidR="001D424E" w:rsidRPr="001F2DE6" w:rsidRDefault="001F2DE6" w:rsidP="001F2DE6">
      <w:pPr>
        <w:spacing w:line="320" w:lineRule="auto"/>
        <w:rPr>
          <w:rFonts w:cs="Miriam"/>
          <w:szCs w:val="22"/>
          <w:rtl/>
        </w:rPr>
      </w:pPr>
      <w:r w:rsidRPr="001F2DE6">
        <w:rPr>
          <w:rFonts w:cs="Miriam"/>
          <w:szCs w:val="22"/>
          <w:rtl/>
        </w:rPr>
        <w:t>רשויות ומשפט מנהלי</w:t>
      </w:r>
      <w:r w:rsidRPr="001F2DE6">
        <w:rPr>
          <w:rFonts w:cs="FrankRuehl"/>
          <w:szCs w:val="26"/>
          <w:rtl/>
        </w:rPr>
        <w:t xml:space="preserve"> – תיירות</w:t>
      </w:r>
    </w:p>
    <w:p w:rsidR="00A845E7" w:rsidRDefault="00A845E7">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0" w:tooltip="הגדר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הגדרות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 w:tooltip="הרשות ומקום מושב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הרשות ומקום מושבה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2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2" w:tooltip="הרשות   תאגיד"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הרשות   תאגיד</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3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3" w:tooltip="הרשות   גוף מבוקר"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הרשות   גוף מבוקר</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4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4" w:tooltip="תפקידי הרש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תפקידי הרשות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5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5" w:tooltip="סמכויות הרש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סמכויות הרשות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6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6" w:tooltip="שימוש בהכנס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שימוש בהכנסות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7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7" w:tooltip="מועצת הרש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מועצת הרשות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8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8" w:tooltip="תפקידי המועצ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תפקידי המועצה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9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Seif9</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9" w:tooltip="סייגים לכהונ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סייגים לכהונה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10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0" w:tooltip="תקופת כהונ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תקופת כהונה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11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1" w:tooltip="גמול והחזר הוצא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גמול והחזר הוצאות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12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2" w:tooltip="פקיעת כהונ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פקיעת כהונה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13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3" w:tooltip="העברה מכהונ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העברה מכהונה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14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4" w:tooltip="סדרי עבוד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סדרי עבודה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15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5" w:tooltip="ניגוד ענינים וחובת גילוי זיקה בחוזה או בעסק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ניגוד ענינים וחובת גילוי זיקה בחוזה או בעסקה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16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6" w:tooltip="תוקף פעול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תוקף פעולות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17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7" w:tooltip="מנהל הרש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מנהל הרשות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18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Seif18</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8" w:tooltip="כהונת המנהל ותנאי העסקתו"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כהונת המנהל ותנאי העסקתו</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19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Seif19</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5</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19" w:tooltip="דוח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דוחות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20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5</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20" w:tooltip="דין הרשות כדין המדינ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דין הרשות כדין המדינה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21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5</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21" w:tooltip="דין המנהל, חברי המועצה ועובדי הרש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דין המנהל, חברי המועצה ועובדי הרשות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22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5</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22" w:tooltip="ביצוע ותקנות"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ביצוע ותקנות</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23 </w:t>
            </w:r>
          </w:p>
        </w:tc>
      </w:tr>
      <w:tr w:rsidR="00A845E7">
        <w:tblPrEx>
          <w:tblCellMar>
            <w:top w:w="0" w:type="dxa"/>
            <w:bottom w:w="0" w:type="dxa"/>
          </w:tblCellMar>
        </w:tblPrEx>
        <w:trPr>
          <w:jc w:val="right"/>
        </w:trPr>
        <w:tc>
          <w:tcPr>
            <w:tcW w:w="850" w:type="dxa"/>
          </w:tcPr>
          <w:p w:rsidR="00A845E7" w:rsidRDefault="00A845E7">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5</w:t>
            </w:r>
            <w:r>
              <w:rPr>
                <w:rStyle w:val="default"/>
                <w:rFonts w:cs="FrankRuehl"/>
                <w:sz w:val="24"/>
                <w:szCs w:val="24"/>
                <w:rtl/>
              </w:rPr>
              <w:fldChar w:fldCharType="end"/>
            </w:r>
          </w:p>
        </w:tc>
        <w:tc>
          <w:tcPr>
            <w:tcW w:w="567" w:type="dxa"/>
          </w:tcPr>
          <w:p w:rsidR="00A845E7" w:rsidRDefault="00A845E7">
            <w:pPr>
              <w:rPr>
                <w:rStyle w:val="default"/>
                <w:rFonts w:cs="FrankRuehl" w:hint="cs"/>
                <w:sz w:val="24"/>
                <w:szCs w:val="24"/>
              </w:rPr>
            </w:pPr>
            <w:hyperlink w:anchor="Seif23" w:tooltip="תחילה" w:history="1">
              <w:r>
                <w:rPr>
                  <w:rStyle w:val="Hyperlink"/>
                </w:rPr>
                <w:t>Go</w:t>
              </w:r>
            </w:hyperlink>
          </w:p>
        </w:tc>
        <w:tc>
          <w:tcPr>
            <w:tcW w:w="5669" w:type="dxa"/>
          </w:tcPr>
          <w:p w:rsidR="00A845E7" w:rsidRDefault="00A845E7">
            <w:pPr>
              <w:rPr>
                <w:rStyle w:val="default"/>
                <w:rFonts w:cs="FrankRuehl"/>
                <w:sz w:val="24"/>
                <w:szCs w:val="24"/>
                <w:rtl/>
              </w:rPr>
            </w:pPr>
            <w:r>
              <w:rPr>
                <w:rStyle w:val="default"/>
                <w:rFonts w:cs="FrankRuehl"/>
                <w:sz w:val="24"/>
                <w:szCs w:val="24"/>
                <w:rtl/>
              </w:rPr>
              <w:t>תחילה</w:t>
            </w:r>
          </w:p>
        </w:tc>
        <w:tc>
          <w:tcPr>
            <w:tcW w:w="1247" w:type="dxa"/>
          </w:tcPr>
          <w:p w:rsidR="00A845E7" w:rsidRDefault="00A845E7">
            <w:pPr>
              <w:rPr>
                <w:rStyle w:val="default"/>
                <w:rFonts w:cs="FrankRuehl" w:hint="cs"/>
                <w:sz w:val="24"/>
                <w:szCs w:val="24"/>
              </w:rPr>
            </w:pPr>
            <w:r>
              <w:rPr>
                <w:rStyle w:val="default"/>
                <w:rFonts w:cs="FrankRuehl"/>
                <w:sz w:val="24"/>
                <w:szCs w:val="24"/>
                <w:rtl/>
              </w:rPr>
              <w:t xml:space="preserve">סעיף 24 </w:t>
            </w:r>
          </w:p>
        </w:tc>
      </w:tr>
    </w:tbl>
    <w:p w:rsidR="00A845E7" w:rsidRDefault="00A845E7">
      <w:pPr>
        <w:pStyle w:val="P00"/>
        <w:spacing w:before="72"/>
        <w:ind w:left="0" w:right="1134"/>
        <w:rPr>
          <w:rStyle w:val="default"/>
          <w:rFonts w:cs="FrankRuehl" w:hint="cs"/>
          <w:rtl/>
        </w:rPr>
      </w:pPr>
    </w:p>
    <w:p w:rsidR="00A845E7" w:rsidRDefault="00A845E7">
      <w:pPr>
        <w:pStyle w:val="big-header"/>
        <w:ind w:left="0" w:right="1134"/>
        <w:rPr>
          <w:rFonts w:cs="FrankRuehl" w:hint="cs"/>
          <w:sz w:val="32"/>
          <w:rtl/>
        </w:rPr>
      </w:pPr>
    </w:p>
    <w:p w:rsidR="00A845E7" w:rsidRDefault="00A845E7" w:rsidP="001D424E">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הרשות לפיתוח ולקידום התרבות, התיירות וקשרי החוץ של ירושלים, תשס"ו-2005</w:t>
      </w:r>
      <w:r>
        <w:rPr>
          <w:rStyle w:val="default"/>
          <w:sz w:val="22"/>
          <w:szCs w:val="22"/>
          <w:rtl/>
        </w:rPr>
        <w:footnoteReference w:customMarkFollows="1" w:id="1"/>
        <w:t>*</w:t>
      </w:r>
    </w:p>
    <w:p w:rsidR="00A845E7" w:rsidRDefault="00A845E7">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3.5pt;margin-top:7.1pt;width:75.05pt;height:11.95pt;z-index:251645952" filled="f" stroked="f" strokecolor="lime" strokeweight=".25pt">
            <v:textbox style="mso-next-textbox:#_x0000_s1026" inset="1mm,0,1mm,0">
              <w:txbxContent>
                <w:p w:rsidR="00A845E7" w:rsidRDefault="00A845E7">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בחוק זה </w:t>
      </w:r>
      <w:r>
        <w:rPr>
          <w:rStyle w:val="big-number"/>
          <w:rFonts w:cs="FrankRuehl"/>
          <w:sz w:val="26"/>
          <w:szCs w:val="26"/>
          <w:rtl/>
        </w:rPr>
        <w:t>–</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"המועצה" – מועצת הרשות שמונתה לפי סעיף 8;</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"המנהל" – מנהל הרשות שמונה לפי סעיף 18;</w:t>
      </w:r>
    </w:p>
    <w:p w:rsidR="00A845E7" w:rsidRDefault="00A845E7">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 xml:space="preserve">"הרשות" – הרשות לפיתוח ולקידום התרבות, התיירות וקשרי החוץ של ירושלים המוקמת </w:t>
      </w:r>
    </w:p>
    <w:p w:rsidR="00A845E7" w:rsidRDefault="00A845E7">
      <w:pPr>
        <w:pStyle w:val="P00"/>
        <w:spacing w:before="72"/>
        <w:ind w:left="0" w:right="1134"/>
        <w:rPr>
          <w:rStyle w:val="big-number"/>
          <w:rFonts w:cs="FrankRuehl" w:hint="cs"/>
          <w:sz w:val="26"/>
          <w:szCs w:val="26"/>
          <w:rtl/>
        </w:rPr>
      </w:pPr>
      <w:r>
        <w:rPr>
          <w:rStyle w:val="big-number"/>
          <w:rFonts w:cs="FrankRuehl"/>
          <w:sz w:val="26"/>
          <w:szCs w:val="26"/>
          <w:rtl/>
        </w:rPr>
        <w:t>לפי חוק זה;</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"השר" – ראש הממשלה או השר שהממשלה קבעה אותו לענין חוק זה.</w:t>
      </w:r>
    </w:p>
    <w:p w:rsidR="00A845E7" w:rsidRDefault="00A845E7">
      <w:pPr>
        <w:pStyle w:val="P00"/>
        <w:spacing w:before="72"/>
        <w:ind w:left="0" w:right="1134"/>
        <w:rPr>
          <w:rStyle w:val="big-number"/>
          <w:rFonts w:cs="FrankRuehl" w:hint="cs"/>
          <w:sz w:val="26"/>
          <w:szCs w:val="26"/>
          <w:rtl/>
        </w:rPr>
      </w:pPr>
      <w:bookmarkStart w:id="1" w:name="Seif1"/>
      <w:bookmarkEnd w:id="1"/>
      <w:r>
        <w:rPr>
          <w:rFonts w:cs="Miriam"/>
          <w:lang w:val="he-IL"/>
        </w:rPr>
        <w:pict>
          <v:rect id="_x0000_s1149" style="position:absolute;left:0;text-align:left;margin-left:463.5pt;margin-top:7.1pt;width:75.05pt;height:14.65pt;z-index:251646976" filled="f" stroked="f" strokecolor="lime" strokeweight=".25pt">
            <v:textbox style="mso-next-textbox:#_x0000_s1149" inset="1mm,0,1mm,0">
              <w:txbxContent>
                <w:p w:rsidR="00A845E7" w:rsidRDefault="00A845E7">
                  <w:pPr>
                    <w:spacing w:line="160" w:lineRule="exact"/>
                    <w:rPr>
                      <w:rFonts w:cs="Miriam" w:hint="cs"/>
                      <w:sz w:val="18"/>
                      <w:szCs w:val="18"/>
                      <w:rtl/>
                    </w:rPr>
                  </w:pPr>
                  <w:r>
                    <w:rPr>
                      <w:rFonts w:cs="Miriam" w:hint="cs"/>
                      <w:sz w:val="18"/>
                      <w:szCs w:val="18"/>
                      <w:rtl/>
                    </w:rPr>
                    <w:t>הרשות ומקום מושבה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מוקמת בזה הרשות לפיתוח ולקידום התרבות, התיירות וקשרי החוץ של ירושלים.</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מקום מושבה של הרשות הוא ירושלים.</w:t>
      </w:r>
    </w:p>
    <w:p w:rsidR="00A845E7" w:rsidRDefault="00A845E7">
      <w:pPr>
        <w:pStyle w:val="P00"/>
        <w:spacing w:before="72"/>
        <w:ind w:left="0" w:right="1134"/>
        <w:rPr>
          <w:rStyle w:val="big-number"/>
          <w:rFonts w:cs="FrankRuehl" w:hint="cs"/>
          <w:sz w:val="26"/>
          <w:szCs w:val="26"/>
          <w:rtl/>
        </w:rPr>
      </w:pPr>
      <w:bookmarkStart w:id="2" w:name="Seif2"/>
      <w:bookmarkEnd w:id="2"/>
      <w:r>
        <w:rPr>
          <w:rFonts w:cs="Miriam"/>
          <w:lang w:val="he-IL"/>
        </w:rPr>
        <w:pict>
          <v:rect id="_x0000_s1150" style="position:absolute;left:0;text-align:left;margin-left:463.5pt;margin-top:7.1pt;width:75.05pt;height:8.95pt;z-index:251648000" filled="f" stroked="f" strokecolor="lime" strokeweight=".25pt">
            <v:textbox style="mso-next-textbox:#_x0000_s1150" inset="1mm,0,1mm,0">
              <w:txbxContent>
                <w:p w:rsidR="00A845E7" w:rsidRDefault="00A845E7">
                  <w:pPr>
                    <w:spacing w:line="160" w:lineRule="exact"/>
                    <w:rPr>
                      <w:rFonts w:cs="Miriam" w:hint="cs"/>
                      <w:sz w:val="18"/>
                      <w:szCs w:val="18"/>
                      <w:rtl/>
                    </w:rPr>
                  </w:pPr>
                  <w:r>
                    <w:rPr>
                      <w:rFonts w:cs="Miriam" w:hint="cs"/>
                      <w:sz w:val="18"/>
                      <w:szCs w:val="18"/>
                      <w:rtl/>
                    </w:rPr>
                    <w:t xml:space="preserve">הרשות </w:t>
                  </w:r>
                  <w:r>
                    <w:rPr>
                      <w:rFonts w:cs="Miriam"/>
                      <w:sz w:val="18"/>
                      <w:szCs w:val="18"/>
                      <w:rtl/>
                    </w:rPr>
                    <w:t>–</w:t>
                  </w:r>
                  <w:r>
                    <w:rPr>
                      <w:rFonts w:cs="Miriam" w:hint="cs"/>
                      <w:sz w:val="18"/>
                      <w:szCs w:val="18"/>
                      <w:rtl/>
                    </w:rPr>
                    <w:t xml:space="preserve"> תאגיד</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הרשות היא תאגיד.</w:t>
      </w:r>
    </w:p>
    <w:p w:rsidR="00A845E7" w:rsidRDefault="00A845E7">
      <w:pPr>
        <w:pStyle w:val="P00"/>
        <w:spacing w:before="72"/>
        <w:ind w:left="0" w:right="1134"/>
        <w:rPr>
          <w:rStyle w:val="big-number"/>
          <w:rFonts w:cs="FrankRuehl" w:hint="cs"/>
          <w:sz w:val="26"/>
          <w:szCs w:val="26"/>
          <w:rtl/>
        </w:rPr>
      </w:pPr>
      <w:bookmarkStart w:id="3" w:name="Seif3"/>
      <w:bookmarkEnd w:id="3"/>
      <w:r>
        <w:rPr>
          <w:rFonts w:cs="Miriam"/>
          <w:lang w:val="he-IL"/>
        </w:rPr>
        <w:pict>
          <v:rect id="_x0000_s1151" style="position:absolute;left:0;text-align:left;margin-left:463.5pt;margin-top:7.1pt;width:75.05pt;height:10.55pt;z-index:251649024" filled="f" stroked="f" strokecolor="lime" strokeweight=".25pt">
            <v:textbox style="mso-next-textbox:#_x0000_s1151" inset="1mm,0,1mm,0">
              <w:txbxContent>
                <w:p w:rsidR="00A845E7" w:rsidRDefault="00A845E7">
                  <w:pPr>
                    <w:spacing w:line="160" w:lineRule="exact"/>
                    <w:rPr>
                      <w:rFonts w:cs="Miriam" w:hint="cs"/>
                      <w:sz w:val="18"/>
                      <w:szCs w:val="18"/>
                      <w:rtl/>
                    </w:rPr>
                  </w:pPr>
                  <w:r>
                    <w:rPr>
                      <w:rFonts w:cs="Miriam" w:hint="cs"/>
                      <w:sz w:val="18"/>
                      <w:szCs w:val="18"/>
                      <w:rtl/>
                    </w:rPr>
                    <w:t xml:space="preserve">הרשות </w:t>
                  </w:r>
                  <w:r>
                    <w:rPr>
                      <w:rFonts w:cs="Miriam"/>
                      <w:sz w:val="18"/>
                      <w:szCs w:val="18"/>
                      <w:rtl/>
                    </w:rPr>
                    <w:t>–</w:t>
                  </w:r>
                  <w:r>
                    <w:rPr>
                      <w:rFonts w:cs="Miriam" w:hint="cs"/>
                      <w:sz w:val="18"/>
                      <w:szCs w:val="18"/>
                      <w:rtl/>
                    </w:rPr>
                    <w:t xml:space="preserve"> גוף מבוקר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הרשות היא גוף מבוקר, כמשמעותו בחוק מבקר המדינה, התשי"ח</w:t>
      </w:r>
      <w:r>
        <w:rPr>
          <w:rStyle w:val="big-number"/>
          <w:rFonts w:cs="FrankRuehl" w:hint="cs"/>
          <w:sz w:val="26"/>
          <w:szCs w:val="26"/>
          <w:rtl/>
        </w:rPr>
        <w:t>-1958</w:t>
      </w:r>
      <w:r>
        <w:rPr>
          <w:rStyle w:val="big-number"/>
          <w:rFonts w:cs="FrankRuehl"/>
          <w:sz w:val="26"/>
          <w:szCs w:val="26"/>
          <w:rtl/>
        </w:rPr>
        <w:t xml:space="preserve"> [נוסח משולב].</w:t>
      </w:r>
    </w:p>
    <w:p w:rsidR="00A845E7" w:rsidRDefault="00A845E7">
      <w:pPr>
        <w:pStyle w:val="P00"/>
        <w:spacing w:before="72"/>
        <w:ind w:left="0" w:right="1134"/>
        <w:rPr>
          <w:rStyle w:val="big-number"/>
          <w:rFonts w:cs="FrankRuehl" w:hint="cs"/>
          <w:sz w:val="26"/>
          <w:szCs w:val="26"/>
          <w:rtl/>
        </w:rPr>
      </w:pPr>
      <w:bookmarkStart w:id="4" w:name="Seif4"/>
      <w:bookmarkEnd w:id="4"/>
      <w:r>
        <w:rPr>
          <w:rFonts w:cs="Miriam"/>
          <w:lang w:val="he-IL"/>
        </w:rPr>
        <w:pict>
          <v:rect id="_x0000_s1152" style="position:absolute;left:0;text-align:left;margin-left:463.5pt;margin-top:7.1pt;width:75.05pt;height:10.15pt;z-index:251650048" filled="f" stroked="f" strokecolor="lime" strokeweight=".25pt">
            <v:textbox style="mso-next-textbox:#_x0000_s1152" inset="1mm,0,1mm,0">
              <w:txbxContent>
                <w:p w:rsidR="00A845E7" w:rsidRDefault="00A845E7">
                  <w:pPr>
                    <w:spacing w:line="160" w:lineRule="exact"/>
                    <w:rPr>
                      <w:rFonts w:cs="Miriam" w:hint="cs"/>
                      <w:sz w:val="18"/>
                      <w:szCs w:val="18"/>
                      <w:rtl/>
                    </w:rPr>
                  </w:pPr>
                  <w:r>
                    <w:rPr>
                      <w:rFonts w:cs="Miriam" w:hint="cs"/>
                      <w:sz w:val="18"/>
                      <w:szCs w:val="18"/>
                      <w:rtl/>
                    </w:rPr>
                    <w:t>תפקידי הרשות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אלה תפקידי הרשות:</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ליזום תכניות ופעילויות לפיתוח ולקידום התרבות, התיירות וקשרי החוץ של ירושלים;</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לעודד יוזמות לפיתוח ולקידום התרבות, התיירות וקשרי החוץ של ירושלים;</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לתאם בין משרדי הממשלה, הרשויות והגופים הפועלים לפיתוח ולקידום התרבות, התיירות וקשרי החוץ של ירושלים;</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לספק מידע בכל הקשור לתכניות, לפעילויות וליוזמות, בתחומי התרבות, התיירות וקשרי החוץ של ירושלים;</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לייעץ ולסייע בכל הקשור לתכנון, להקמה ולהפעלה של מפעלי תרבות ותיירות בירושלים ולגופים העוסקים בפיתוח קשרי החוץ שלה;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לחזק ולפתח את המוסדות השוכנים בירושלים, העוסקים בתחומי פעולתה של הרשות.</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בביצוע תפקידיה תדאג הרשות שפעולותיה לא יעמדו בסתירה עם החלטות שקיבלה מועצת עיריית ירושלים ושיהיו תואמות את מדיניות הממשלה בתחומי פעולתה של הרשות.</w:t>
      </w:r>
    </w:p>
    <w:p w:rsidR="00A845E7" w:rsidRDefault="00A845E7">
      <w:pPr>
        <w:pStyle w:val="P00"/>
        <w:spacing w:before="72"/>
        <w:ind w:left="0" w:right="1134"/>
        <w:rPr>
          <w:rStyle w:val="big-number"/>
          <w:rFonts w:cs="FrankRuehl" w:hint="cs"/>
          <w:sz w:val="26"/>
          <w:szCs w:val="26"/>
          <w:rtl/>
        </w:rPr>
      </w:pPr>
      <w:bookmarkStart w:id="5" w:name="Seif5"/>
      <w:bookmarkEnd w:id="5"/>
      <w:r>
        <w:rPr>
          <w:rFonts w:cs="Miriam"/>
          <w:lang w:val="he-IL"/>
        </w:rPr>
        <w:pict>
          <v:rect id="_x0000_s1153" style="position:absolute;left:0;text-align:left;margin-left:463.5pt;margin-top:7.1pt;width:75.05pt;height:13.15pt;z-index:251651072" filled="f" stroked="f" strokecolor="lime" strokeweight=".25pt">
            <v:textbox style="mso-next-textbox:#_x0000_s1153" inset="1mm,0,1mm,0">
              <w:txbxContent>
                <w:p w:rsidR="00A845E7" w:rsidRDefault="00A845E7">
                  <w:pPr>
                    <w:spacing w:line="160" w:lineRule="exact"/>
                    <w:rPr>
                      <w:rFonts w:cs="Miriam" w:hint="cs"/>
                      <w:sz w:val="18"/>
                      <w:szCs w:val="18"/>
                      <w:rtl/>
                    </w:rPr>
                  </w:pPr>
                  <w:r>
                    <w:rPr>
                      <w:rFonts w:cs="Miriam" w:hint="cs"/>
                      <w:sz w:val="18"/>
                      <w:szCs w:val="18"/>
                      <w:rtl/>
                    </w:rPr>
                    <w:t>סמכויות הרשות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אלה סמכויות הרשות:</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לקבוע את השימוש במשאבים שיעמדו לרשותה;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לגייס הון בישראל ומחוצה לה לצורך ביצוע תפקידיה;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להקים תאגידים, בעצמה או יחד עם אחרים, או לרכוש זכויות בתאגידים קיימים, והכל לצורך ביצוע תפקידיה;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ליצור ולקיים קרנות לפיתוח התרבות, התיירות וקשרי החוץ של ירושלים.</w:t>
      </w:r>
    </w:p>
    <w:p w:rsidR="00A845E7" w:rsidRDefault="00A845E7">
      <w:pPr>
        <w:pStyle w:val="P00"/>
        <w:spacing w:before="72"/>
        <w:ind w:left="0" w:right="1134"/>
        <w:rPr>
          <w:rStyle w:val="big-number"/>
          <w:rFonts w:cs="FrankRuehl" w:hint="cs"/>
          <w:sz w:val="26"/>
          <w:szCs w:val="26"/>
          <w:rtl/>
        </w:rPr>
      </w:pPr>
      <w:bookmarkStart w:id="6" w:name="Seif6"/>
      <w:bookmarkEnd w:id="6"/>
      <w:r>
        <w:rPr>
          <w:rFonts w:cs="Miriam"/>
          <w:lang w:val="he-IL"/>
        </w:rPr>
        <w:pict>
          <v:rect id="_x0000_s1154" style="position:absolute;left:0;text-align:left;margin-left:463.5pt;margin-top:7.1pt;width:75.05pt;height:9.05pt;z-index:251652096" filled="f" stroked="f" strokecolor="lime" strokeweight=".25pt">
            <v:textbox style="mso-next-textbox:#_x0000_s1154" inset="1mm,0,1mm,0">
              <w:txbxContent>
                <w:p w:rsidR="00A845E7" w:rsidRDefault="00A845E7">
                  <w:pPr>
                    <w:spacing w:line="160" w:lineRule="exact"/>
                    <w:rPr>
                      <w:rFonts w:cs="Miriam" w:hint="cs"/>
                      <w:sz w:val="18"/>
                      <w:szCs w:val="18"/>
                      <w:rtl/>
                    </w:rPr>
                  </w:pPr>
                  <w:r>
                    <w:rPr>
                      <w:rFonts w:cs="Miriam" w:hint="cs"/>
                      <w:sz w:val="18"/>
                      <w:szCs w:val="18"/>
                      <w:rtl/>
                    </w:rPr>
                    <w:t>שימוש בהכנסות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כל הכנסה שתקבל הרשות תשמש במסגרת תקציבה למטרות שהועידה הרשות לשם ביצוע תפקידיה.</w:t>
      </w:r>
    </w:p>
    <w:p w:rsidR="00A845E7" w:rsidRDefault="00A845E7">
      <w:pPr>
        <w:pStyle w:val="P00"/>
        <w:spacing w:before="72"/>
        <w:ind w:left="0" w:right="1134"/>
        <w:rPr>
          <w:rStyle w:val="big-number"/>
          <w:rFonts w:cs="FrankRuehl" w:hint="cs"/>
          <w:sz w:val="26"/>
          <w:szCs w:val="26"/>
          <w:rtl/>
        </w:rPr>
      </w:pPr>
      <w:bookmarkStart w:id="7" w:name="Seif7"/>
      <w:bookmarkEnd w:id="7"/>
      <w:r>
        <w:rPr>
          <w:rFonts w:cs="Miriam"/>
          <w:lang w:val="he-IL"/>
        </w:rPr>
        <w:pict>
          <v:rect id="_x0000_s1227" style="position:absolute;left:0;text-align:left;margin-left:463.5pt;margin-top:7.1pt;width:75.05pt;height:9.05pt;z-index:251653120" filled="f" stroked="f" strokecolor="lime" strokeweight=".25pt">
            <v:textbox style="mso-next-textbox:#_x0000_s1227" inset="1mm,0,1mm,0">
              <w:txbxContent>
                <w:p w:rsidR="00A845E7" w:rsidRDefault="00A845E7">
                  <w:pPr>
                    <w:spacing w:line="160" w:lineRule="exact"/>
                    <w:rPr>
                      <w:rFonts w:cs="Miriam" w:hint="cs"/>
                      <w:sz w:val="18"/>
                      <w:szCs w:val="18"/>
                      <w:rtl/>
                    </w:rPr>
                  </w:pPr>
                  <w:r>
                    <w:rPr>
                      <w:rFonts w:cs="Miriam" w:hint="cs"/>
                      <w:sz w:val="18"/>
                      <w:szCs w:val="18"/>
                      <w:rtl/>
                    </w:rPr>
                    <w:t>מועצת הרשות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השר ימנה את מועצת הרשות, וזה הרכבה: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שישה נציגי הממשלה שהם עובדי המדינה, ובהם שני עובדי משרד ראש</w:t>
      </w:r>
      <w:r>
        <w:rPr>
          <w:rStyle w:val="big-number"/>
          <w:rFonts w:cs="FrankRuehl" w:hint="cs"/>
          <w:sz w:val="26"/>
          <w:szCs w:val="26"/>
          <w:rtl/>
        </w:rPr>
        <w:t xml:space="preserve"> </w:t>
      </w:r>
      <w:r>
        <w:rPr>
          <w:rStyle w:val="big-number"/>
          <w:rFonts w:cs="FrankRuehl"/>
          <w:sz w:val="26"/>
          <w:szCs w:val="26"/>
          <w:rtl/>
        </w:rPr>
        <w:t>הממשלה שימליץ עליהם ראש הממשלה, עובד משרד האוצר שימליץ עליו שר</w:t>
      </w:r>
      <w:r>
        <w:rPr>
          <w:rStyle w:val="big-number"/>
          <w:rFonts w:cs="FrankRuehl" w:hint="cs"/>
          <w:sz w:val="26"/>
          <w:szCs w:val="26"/>
          <w:rtl/>
        </w:rPr>
        <w:t xml:space="preserve"> </w:t>
      </w:r>
      <w:r>
        <w:rPr>
          <w:rStyle w:val="big-number"/>
          <w:rFonts w:cs="FrankRuehl"/>
          <w:sz w:val="26"/>
          <w:szCs w:val="26"/>
          <w:rtl/>
        </w:rPr>
        <w:lastRenderedPageBreak/>
        <w:t>האוצר, עובד משרד החוץ שימליץ עליו שר החוץ, עובד משרד החינוך, התרבות</w:t>
      </w:r>
      <w:r>
        <w:rPr>
          <w:rStyle w:val="big-number"/>
          <w:rFonts w:cs="FrankRuehl" w:hint="cs"/>
          <w:sz w:val="26"/>
          <w:szCs w:val="26"/>
          <w:rtl/>
        </w:rPr>
        <w:t xml:space="preserve"> </w:t>
      </w:r>
      <w:r>
        <w:rPr>
          <w:rStyle w:val="big-number"/>
          <w:rFonts w:cs="FrankRuehl"/>
          <w:sz w:val="26"/>
          <w:szCs w:val="26"/>
          <w:rtl/>
        </w:rPr>
        <w:t>והספורט שימליץ עליו שר החינוך, התרבות והספורט ועובד משרד התיירות שימליץ עליו שר התיירות;</w:t>
      </w:r>
    </w:p>
    <w:p w:rsidR="00A845E7" w:rsidRDefault="00A845E7">
      <w:pPr>
        <w:pStyle w:val="P00"/>
        <w:spacing w:before="72"/>
        <w:ind w:left="1021" w:right="1134"/>
        <w:rPr>
          <w:rStyle w:val="big-number"/>
          <w:rFonts w:cs="FrankRuehl" w:hint="cs"/>
          <w:sz w:val="26"/>
          <w:szCs w:val="26"/>
          <w:rtl/>
        </w:rPr>
      </w:pPr>
      <w:r>
        <w:rPr>
          <w:rStyle w:val="big-number"/>
          <w:rFonts w:cs="FrankRuehl" w:hint="cs"/>
          <w:sz w:val="26"/>
          <w:szCs w:val="26"/>
          <w:rtl/>
        </w:rPr>
        <w:t>(</w:t>
      </w: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שמונה נציגי עיריית ירושלים, לפי המלצת ראש עיריית ירושלים, מהם שישה שישקפו, ככל האפשר, את יחסי הכוחות במועצת העיריה;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ארבעה נציגי ציבור שימליצו עליהם שר האוצר, שר החוץ, שר החינוך, התרבות והספורט ושר התיירות, כל אחד מהם על נציג אחד;</w:t>
      </w:r>
    </w:p>
    <w:p w:rsidR="00A845E7" w:rsidRDefault="00A845E7">
      <w:pPr>
        <w:pStyle w:val="P00"/>
        <w:spacing w:before="72"/>
        <w:ind w:left="1021" w:right="1134"/>
        <w:rPr>
          <w:rStyle w:val="big-number"/>
          <w:rFonts w:cs="FrankRuehl"/>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נציג התאחדות בתי המלון בירושלים;</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נציג הסוכנות היהודית לארץ ישראל;</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נציג של מוסדות להשכלה גבוהה, בהתייעצות עם ראש עיריית ירושלים;</w:t>
      </w:r>
      <w:r>
        <w:rPr>
          <w:rStyle w:val="big-number"/>
          <w:rFonts w:cs="FrankRuehl" w:hint="cs"/>
          <w:sz w:val="26"/>
          <w:szCs w:val="26"/>
          <w:rtl/>
        </w:rPr>
        <w:t xml:space="preserve"> </w:t>
      </w:r>
      <w:r>
        <w:rPr>
          <w:rStyle w:val="big-number"/>
          <w:rFonts w:cs="FrankRuehl"/>
          <w:sz w:val="26"/>
          <w:szCs w:val="26"/>
          <w:rtl/>
        </w:rPr>
        <w:t>לענין זה, "מוסד להשכלה גבוהה" – מוסד שהוכר לפי סעיף 9 לחוק המועצה להשכלה גבוהה, התשי"ח</w:t>
      </w:r>
      <w:r>
        <w:rPr>
          <w:rStyle w:val="big-number"/>
          <w:rFonts w:cs="FrankRuehl" w:hint="cs"/>
          <w:sz w:val="26"/>
          <w:szCs w:val="26"/>
          <w:rtl/>
        </w:rPr>
        <w:t>-1958</w:t>
      </w:r>
      <w:r>
        <w:rPr>
          <w:rStyle w:val="big-number"/>
          <w:rFonts w:cs="FrankRuehl"/>
          <w:sz w:val="26"/>
          <w:szCs w:val="26"/>
          <w:rtl/>
        </w:rPr>
        <w:t>;</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נציג של מוסדות תורניים, בהתייעצות עם ראש עיריית ירושלים.</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המועצה, באישור השר, תמנה את יושב ראש המועצה ואת ממלא מקומו הקבוע מבין חברי המועצה.</w:t>
      </w:r>
    </w:p>
    <w:p w:rsidR="00A845E7" w:rsidRDefault="00A845E7">
      <w:pPr>
        <w:pStyle w:val="P00"/>
        <w:spacing w:before="72"/>
        <w:ind w:left="0" w:right="1134"/>
        <w:rPr>
          <w:rStyle w:val="big-number"/>
          <w:rFonts w:cs="FrankRuehl" w:hint="cs"/>
          <w:sz w:val="26"/>
          <w:szCs w:val="26"/>
          <w:rtl/>
        </w:rPr>
      </w:pPr>
      <w:bookmarkStart w:id="8" w:name="Seif8"/>
      <w:bookmarkEnd w:id="8"/>
      <w:r>
        <w:rPr>
          <w:rFonts w:cs="Miriam"/>
          <w:lang w:val="he-IL"/>
        </w:rPr>
        <w:pict>
          <v:rect id="_x0000_s1228" style="position:absolute;left:0;text-align:left;margin-left:463.5pt;margin-top:7.1pt;width:75.05pt;height:9.05pt;z-index:251654144" filled="f" stroked="f" strokecolor="lime" strokeweight=".25pt">
            <v:textbox style="mso-next-textbox:#_x0000_s1228" inset="1mm,0,1mm,0">
              <w:txbxContent>
                <w:p w:rsidR="00A845E7" w:rsidRDefault="00A845E7">
                  <w:pPr>
                    <w:spacing w:line="160" w:lineRule="exact"/>
                    <w:rPr>
                      <w:rFonts w:cs="Miriam" w:hint="cs"/>
                      <w:sz w:val="18"/>
                      <w:szCs w:val="18"/>
                      <w:rtl/>
                    </w:rPr>
                  </w:pPr>
                  <w:r>
                    <w:rPr>
                      <w:rFonts w:cs="Miriam" w:hint="cs"/>
                      <w:sz w:val="18"/>
                      <w:szCs w:val="18"/>
                      <w:rtl/>
                    </w:rPr>
                    <w:t>תפקידי המועצה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t>אלה תפקידי המועצה: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לייעץ לממשלה בכל הקשור לביצוע סעיף 4 לחוק יסוד: ירושלים בירת ישראל 3, בתחום סמכויותיה של הרשות, ולייעץ לשרים בכל הקשור לביצוע חוק זה;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לאשר את תקציב הרשות;</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לפקח על ביצוע תפקידי הרשות.</w:t>
      </w:r>
    </w:p>
    <w:p w:rsidR="00A845E7" w:rsidRDefault="00A845E7">
      <w:pPr>
        <w:pStyle w:val="P00"/>
        <w:spacing w:before="72"/>
        <w:ind w:left="0" w:right="1134"/>
        <w:rPr>
          <w:rStyle w:val="big-number"/>
          <w:rFonts w:cs="FrankRuehl" w:hint="cs"/>
          <w:sz w:val="26"/>
          <w:szCs w:val="26"/>
          <w:rtl/>
        </w:rPr>
      </w:pPr>
      <w:bookmarkStart w:id="9" w:name="Seif9"/>
      <w:bookmarkEnd w:id="9"/>
      <w:r>
        <w:rPr>
          <w:rFonts w:cs="Miriam"/>
          <w:lang w:val="he-IL"/>
        </w:rPr>
        <w:pict>
          <v:rect id="_x0000_s1229" style="position:absolute;left:0;text-align:left;margin-left:463.5pt;margin-top:7.1pt;width:75.05pt;height:9.05pt;z-index:251655168" filled="f" stroked="f" strokecolor="lime" strokeweight=".25pt">
            <v:textbox style="mso-next-textbox:#_x0000_s1229" inset="1mm,0,1mm,0">
              <w:txbxContent>
                <w:p w:rsidR="00A845E7" w:rsidRDefault="00A845E7">
                  <w:pPr>
                    <w:spacing w:line="160" w:lineRule="exact"/>
                    <w:rPr>
                      <w:rFonts w:cs="Miriam" w:hint="cs"/>
                      <w:sz w:val="18"/>
                      <w:szCs w:val="18"/>
                      <w:rtl/>
                    </w:rPr>
                  </w:pPr>
                  <w:r>
                    <w:rPr>
                      <w:rFonts w:cs="Miriam" w:hint="cs"/>
                      <w:sz w:val="18"/>
                      <w:szCs w:val="18"/>
                      <w:rtl/>
                    </w:rPr>
                    <w:t>סייגים לכהונה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יכהן כחבר המועצה –</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מי שאינו אזרח ישראלי;</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מי שבעשר השנים שקדמו למינוי הורשע בעבירה שמפאת מהותה, חומרתה או נסיבותיה אין הוא ראוי לשמש כחבר המועצה;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מי שעלול להימצא, במישרין או בעקיפין, באופן תדיר, במצב של ניגוד ענינים,</w:t>
      </w:r>
      <w:r>
        <w:rPr>
          <w:rStyle w:val="big-number"/>
          <w:rFonts w:cs="FrankRuehl" w:hint="cs"/>
          <w:sz w:val="26"/>
          <w:szCs w:val="26"/>
          <w:rtl/>
        </w:rPr>
        <w:t xml:space="preserve"> </w:t>
      </w:r>
      <w:r>
        <w:rPr>
          <w:rStyle w:val="big-number"/>
          <w:rFonts w:cs="FrankRuehl"/>
          <w:sz w:val="26"/>
          <w:szCs w:val="26"/>
          <w:rtl/>
        </w:rPr>
        <w:t>בין תפקידו כחבר המועצה לבין ענין אישי שלו או של קרובו או תפקיד אחר שלו,</w:t>
      </w:r>
      <w:r>
        <w:rPr>
          <w:rStyle w:val="big-number"/>
          <w:rFonts w:cs="FrankRuehl" w:hint="cs"/>
          <w:sz w:val="26"/>
          <w:szCs w:val="26"/>
          <w:rtl/>
        </w:rPr>
        <w:t xml:space="preserve"> </w:t>
      </w:r>
      <w:r>
        <w:rPr>
          <w:rStyle w:val="big-number"/>
          <w:rFonts w:cs="FrankRuehl"/>
          <w:sz w:val="26"/>
          <w:szCs w:val="26"/>
          <w:rtl/>
        </w:rPr>
        <w:t>וכן מי שקשור, במישרין או בעקיפין על ידי קרובו, סוכנו או שותפו, בחוזה או</w:t>
      </w:r>
      <w:r>
        <w:rPr>
          <w:rStyle w:val="big-number"/>
          <w:rFonts w:cs="FrankRuehl" w:hint="cs"/>
          <w:sz w:val="26"/>
          <w:szCs w:val="26"/>
          <w:rtl/>
        </w:rPr>
        <w:t xml:space="preserve"> </w:t>
      </w:r>
      <w:r>
        <w:rPr>
          <w:rStyle w:val="big-number"/>
          <w:rFonts w:cs="FrankRuehl"/>
          <w:sz w:val="26"/>
          <w:szCs w:val="26"/>
          <w:rtl/>
        </w:rPr>
        <w:t>בעסקה עם הרשות או מי שהוא בעל ענין בתאגיד הקשור כאמור; אך לא יהיו</w:t>
      </w:r>
      <w:r>
        <w:rPr>
          <w:rStyle w:val="big-number"/>
          <w:rFonts w:cs="FrankRuehl" w:hint="cs"/>
          <w:sz w:val="26"/>
          <w:szCs w:val="26"/>
          <w:rtl/>
        </w:rPr>
        <w:t xml:space="preserve"> </w:t>
      </w:r>
      <w:r>
        <w:rPr>
          <w:rStyle w:val="big-number"/>
          <w:rFonts w:cs="FrankRuehl"/>
          <w:sz w:val="26"/>
          <w:szCs w:val="26"/>
          <w:rtl/>
        </w:rPr>
        <w:t>פסולים עובדים או חברי הנהלה של גופים ציבוריים או של חברות ממשלתיות בשל כך בלבד שהגופים או החברות קשורים כאמור.</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 xml:space="preserve">לענין סעיף קטן (א)(3) ולענין סעיף </w:t>
      </w:r>
      <w:r>
        <w:rPr>
          <w:rStyle w:val="big-number"/>
          <w:rFonts w:cs="FrankRuehl" w:hint="cs"/>
          <w:sz w:val="26"/>
          <w:szCs w:val="26"/>
          <w:rtl/>
        </w:rPr>
        <w:t xml:space="preserve">16 </w:t>
      </w:r>
      <w:r>
        <w:rPr>
          <w:rStyle w:val="big-number"/>
          <w:rFonts w:cs="FrankRuehl"/>
          <w:sz w:val="26"/>
          <w:szCs w:val="26"/>
          <w:rtl/>
        </w:rPr>
        <w:t>–</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"בעל ענין" – בעל חלק העולה על חמישה אחוזים מהונו של תאגיד או מכוח ההצבעה או מהזכות לרווחיו;</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"קרוב" – בן זוג, הורה, בן, בת, אח, אחות ובני זוגם.</w:t>
      </w:r>
    </w:p>
    <w:p w:rsidR="00A845E7" w:rsidRDefault="00A845E7">
      <w:pPr>
        <w:pStyle w:val="P00"/>
        <w:spacing w:before="72"/>
        <w:ind w:left="0" w:right="1134"/>
        <w:rPr>
          <w:rStyle w:val="big-number"/>
          <w:rFonts w:cs="FrankRuehl" w:hint="cs"/>
          <w:sz w:val="26"/>
          <w:szCs w:val="26"/>
          <w:rtl/>
        </w:rPr>
      </w:pPr>
      <w:bookmarkStart w:id="10" w:name="Seif10"/>
      <w:bookmarkEnd w:id="10"/>
      <w:r>
        <w:rPr>
          <w:rFonts w:cs="Miriam"/>
          <w:lang w:val="he-IL"/>
        </w:rPr>
        <w:pict>
          <v:rect id="_x0000_s1230" style="position:absolute;left:0;text-align:left;margin-left:463.5pt;margin-top:7.1pt;width:75.05pt;height:9.05pt;z-index:251656192" filled="f" stroked="f" strokecolor="lime" strokeweight=".25pt">
            <v:textbox style="mso-next-textbox:#_x0000_s1230" inset="1mm,0,1mm,0">
              <w:txbxContent>
                <w:p w:rsidR="00A845E7" w:rsidRDefault="00A845E7">
                  <w:pPr>
                    <w:spacing w:line="160" w:lineRule="exact"/>
                    <w:rPr>
                      <w:rFonts w:cs="Miriam" w:hint="cs"/>
                      <w:sz w:val="18"/>
                      <w:szCs w:val="18"/>
                      <w:rtl/>
                    </w:rPr>
                  </w:pPr>
                  <w:r>
                    <w:rPr>
                      <w:rFonts w:cs="Miriam" w:hint="cs"/>
                      <w:sz w:val="18"/>
                      <w:szCs w:val="18"/>
                      <w:rtl/>
                    </w:rPr>
                    <w:t>תקופת כהונה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t>חברי המועצה יתמנו לתקופה של חמש שנים, ואפשר לחזור ולמנותם לתקופת כהונה נוספת אחת.</w:t>
      </w:r>
    </w:p>
    <w:p w:rsidR="00A845E7" w:rsidRDefault="00A845E7">
      <w:pPr>
        <w:pStyle w:val="P00"/>
        <w:spacing w:before="72"/>
        <w:ind w:left="0" w:right="1134"/>
        <w:rPr>
          <w:rStyle w:val="big-number"/>
          <w:rFonts w:cs="FrankRuehl" w:hint="cs"/>
          <w:sz w:val="26"/>
          <w:szCs w:val="26"/>
          <w:rtl/>
        </w:rPr>
      </w:pPr>
      <w:bookmarkStart w:id="11" w:name="Seif11"/>
      <w:bookmarkEnd w:id="11"/>
      <w:r>
        <w:rPr>
          <w:rFonts w:cs="Miriam"/>
          <w:lang w:val="he-IL"/>
        </w:rPr>
        <w:pict>
          <v:rect id="_x0000_s1231" style="position:absolute;left:0;text-align:left;margin-left:463.5pt;margin-top:7.1pt;width:75.05pt;height:9.05pt;z-index:251657216" filled="f" stroked="f" strokecolor="lime" strokeweight=".25pt">
            <v:textbox style="mso-next-textbox:#_x0000_s1231" inset="1mm,0,1mm,0">
              <w:txbxContent>
                <w:p w:rsidR="00A845E7" w:rsidRDefault="00A845E7">
                  <w:pPr>
                    <w:spacing w:line="160" w:lineRule="exact"/>
                    <w:rPr>
                      <w:rFonts w:cs="Miriam" w:hint="cs"/>
                      <w:sz w:val="18"/>
                      <w:szCs w:val="18"/>
                      <w:rtl/>
                    </w:rPr>
                  </w:pPr>
                  <w:r>
                    <w:rPr>
                      <w:rFonts w:cs="Miriam" w:hint="cs"/>
                      <w:sz w:val="18"/>
                      <w:szCs w:val="18"/>
                      <w:rtl/>
                    </w:rPr>
                    <w:t>גמול והחזר הוצאות</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חבר המועצה שאינו עובד המדינה, עובד גוף מתוקצב או עובד בגוף שאותו הוא</w:t>
      </w:r>
      <w:r>
        <w:rPr>
          <w:rStyle w:val="big-number"/>
          <w:rFonts w:cs="FrankRuehl" w:hint="cs"/>
          <w:sz w:val="26"/>
          <w:szCs w:val="26"/>
          <w:rtl/>
        </w:rPr>
        <w:t xml:space="preserve"> </w:t>
      </w:r>
      <w:r>
        <w:rPr>
          <w:rStyle w:val="big-number"/>
          <w:rFonts w:cs="FrankRuehl"/>
          <w:sz w:val="26"/>
          <w:szCs w:val="26"/>
          <w:rtl/>
        </w:rPr>
        <w:t>מייצג במועצה, זכאי לקבל מהרשות גמול בעבור השתתפות בישיבות המועצה ובלבד שאינו זכאי לקבל תמורה בעבור ההשתתפות ממקור אחר.</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חבר המועצה שאינו זכאי לגמול לפי הוראות סעיף קטן (א), זכאי לקבל מהרשות החזר הוצאות שהוציא לצורך השתתפות בישיבות המועצה, ובלבד שאינו זכאי לקבל החזר הוצאות ממקור אחר.</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השר, בהסכמת שר האוצר, יקבע כללים ותנאים שלפיהם ישולם גמול והחזר הוצאות לפי סעיף זה לחברי המועצה ואת שיעוריהם.</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בחוק זה, "עובד המדינה" ו"עובד גוף מתוקצב" – כהגדרתם בסעיף 32 לחוק יסודות התקציב, התשמ"ה</w:t>
      </w:r>
      <w:r>
        <w:rPr>
          <w:rStyle w:val="big-number"/>
          <w:rFonts w:cs="FrankRuehl" w:hint="cs"/>
          <w:sz w:val="26"/>
          <w:szCs w:val="26"/>
          <w:rtl/>
        </w:rPr>
        <w:t>-1985</w:t>
      </w:r>
      <w:r>
        <w:rPr>
          <w:rStyle w:val="big-number"/>
          <w:rFonts w:cs="FrankRuehl"/>
          <w:sz w:val="26"/>
          <w:szCs w:val="26"/>
          <w:rtl/>
        </w:rPr>
        <w:t>.</w:t>
      </w:r>
    </w:p>
    <w:p w:rsidR="00A845E7" w:rsidRDefault="00A845E7">
      <w:pPr>
        <w:pStyle w:val="P00"/>
        <w:spacing w:before="72"/>
        <w:ind w:left="0" w:right="1134"/>
        <w:rPr>
          <w:rStyle w:val="big-number"/>
          <w:rFonts w:cs="FrankRuehl" w:hint="cs"/>
          <w:sz w:val="26"/>
          <w:szCs w:val="26"/>
          <w:rtl/>
        </w:rPr>
      </w:pPr>
      <w:bookmarkStart w:id="12" w:name="Seif12"/>
      <w:bookmarkEnd w:id="12"/>
      <w:r>
        <w:rPr>
          <w:rFonts w:cs="Miriam"/>
          <w:lang w:val="he-IL"/>
        </w:rPr>
        <w:pict>
          <v:rect id="_x0000_s1232" style="position:absolute;left:0;text-align:left;margin-left:463.5pt;margin-top:7.1pt;width:75.05pt;height:9.05pt;z-index:251658240" filled="f" stroked="f" strokecolor="lime" strokeweight=".25pt">
            <v:textbox style="mso-next-textbox:#_x0000_s1232" inset="1mm,0,1mm,0">
              <w:txbxContent>
                <w:p w:rsidR="00A845E7" w:rsidRDefault="00A845E7">
                  <w:pPr>
                    <w:spacing w:line="160" w:lineRule="exact"/>
                    <w:rPr>
                      <w:rFonts w:cs="Miriam" w:hint="cs"/>
                      <w:sz w:val="18"/>
                      <w:szCs w:val="18"/>
                      <w:rtl/>
                    </w:rPr>
                  </w:pPr>
                  <w:r>
                    <w:rPr>
                      <w:rFonts w:cs="Miriam" w:hint="cs"/>
                      <w:sz w:val="18"/>
                      <w:szCs w:val="18"/>
                      <w:rtl/>
                    </w:rPr>
                    <w:t>פקיעת כהונה</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חבר המועצה יחדל לכהן לפני תום תקופת כהונתו באחת מאלה: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התפטר במסירת כתב התפטרות לשר;</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חדל להיות עובד המשרד הממשלתי, עובד או חבר בגוף שאותו הוא מייצג במועצה או עובד עיריית ירושלים, לפי הענין;</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לגבי נציג הציבור – אם נתמנה להיות עובד המדינה או עובד עיריית ירושלים.</w:t>
      </w:r>
    </w:p>
    <w:p w:rsidR="00A845E7" w:rsidRDefault="00A845E7">
      <w:pPr>
        <w:pStyle w:val="P00"/>
        <w:spacing w:before="72"/>
        <w:ind w:left="0" w:right="1134"/>
        <w:rPr>
          <w:rStyle w:val="big-number"/>
          <w:rFonts w:cs="FrankRuehl" w:hint="cs"/>
          <w:sz w:val="26"/>
          <w:szCs w:val="26"/>
          <w:rtl/>
        </w:rPr>
      </w:pPr>
      <w:bookmarkStart w:id="13" w:name="Seif13"/>
      <w:bookmarkEnd w:id="13"/>
      <w:r>
        <w:rPr>
          <w:rFonts w:cs="Miriam"/>
          <w:lang w:val="he-IL"/>
        </w:rPr>
        <w:pict>
          <v:rect id="_x0000_s1233" style="position:absolute;left:0;text-align:left;margin-left:463.5pt;margin-top:7.1pt;width:75.05pt;height:9.05pt;z-index:251659264" filled="f" stroked="f" strokecolor="lime" strokeweight=".25pt">
            <v:textbox style="mso-next-textbox:#_x0000_s1233" inset="1mm,0,1mm,0">
              <w:txbxContent>
                <w:p w:rsidR="00A845E7" w:rsidRDefault="00A845E7">
                  <w:pPr>
                    <w:spacing w:line="160" w:lineRule="exact"/>
                    <w:rPr>
                      <w:rFonts w:cs="Miriam" w:hint="cs"/>
                      <w:sz w:val="18"/>
                      <w:szCs w:val="18"/>
                      <w:rtl/>
                    </w:rPr>
                  </w:pPr>
                  <w:r>
                    <w:rPr>
                      <w:rFonts w:cs="Miriam" w:hint="cs"/>
                      <w:sz w:val="18"/>
                      <w:szCs w:val="18"/>
                      <w:rtl/>
                    </w:rPr>
                    <w:t>העברה מכהונה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השר יהיה רשאי להעביר חבר מועצה מכהונתו לפני תום תקופת כהונתו באחת מאלה: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נבצר ממנו דרך קבע למלא את תפקידו;</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הורשע בעבירה שמפאת מהותה, חומרתה או נסיבותיה אין הוא ראוי להיות חבר המועצה;</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נתקיים בו הסייג האמור בסעיף 10(א)(3);</w:t>
      </w:r>
    </w:p>
    <w:p w:rsidR="00A845E7" w:rsidRDefault="00A845E7">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הוא נעדר בלא סיבה מוצדקת מארבע ישיבות רצופות של המועצה או מיותר משליש מהישיבות שקיימה המועצה בשנה אחת.</w:t>
      </w:r>
    </w:p>
    <w:p w:rsidR="00A845E7" w:rsidRDefault="00A845E7">
      <w:pPr>
        <w:pStyle w:val="P00"/>
        <w:spacing w:before="72"/>
        <w:ind w:left="0" w:right="1134"/>
        <w:rPr>
          <w:rStyle w:val="big-number"/>
          <w:rFonts w:cs="FrankRuehl" w:hint="cs"/>
          <w:sz w:val="26"/>
          <w:szCs w:val="26"/>
          <w:rtl/>
        </w:rPr>
      </w:pPr>
      <w:bookmarkStart w:id="14" w:name="Seif14"/>
      <w:bookmarkEnd w:id="14"/>
      <w:r>
        <w:rPr>
          <w:rFonts w:cs="Miriam"/>
          <w:lang w:val="he-IL"/>
        </w:rPr>
        <w:pict>
          <v:rect id="_x0000_s1234" style="position:absolute;left:0;text-align:left;margin-left:463.5pt;margin-top:7.1pt;width:75.05pt;height:9.05pt;z-index:251660288" filled="f" stroked="f" strokecolor="lime" strokeweight=".25pt">
            <v:textbox style="mso-next-textbox:#_x0000_s1234" inset="1mm,0,1mm,0">
              <w:txbxContent>
                <w:p w:rsidR="00A845E7" w:rsidRDefault="00A845E7">
                  <w:pPr>
                    <w:spacing w:line="160" w:lineRule="exact"/>
                    <w:rPr>
                      <w:rFonts w:cs="Miriam" w:hint="cs"/>
                      <w:sz w:val="18"/>
                      <w:szCs w:val="18"/>
                      <w:rtl/>
                    </w:rPr>
                  </w:pPr>
                  <w:r>
                    <w:rPr>
                      <w:rFonts w:cs="Miriam" w:hint="cs"/>
                      <w:sz w:val="18"/>
                      <w:szCs w:val="18"/>
                      <w:rtl/>
                    </w:rPr>
                    <w:t>סדרי עבודה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t>השר רשאי לקבוע את סדרי עבודתה ונהליה של המועצה, וככל שלא נקבעו כאלה, תקבע אותם המועצה.</w:t>
      </w:r>
    </w:p>
    <w:p w:rsidR="00A845E7" w:rsidRDefault="00A845E7">
      <w:pPr>
        <w:pStyle w:val="P00"/>
        <w:spacing w:before="72"/>
        <w:ind w:left="0" w:right="1134"/>
        <w:rPr>
          <w:rStyle w:val="big-number"/>
          <w:rFonts w:cs="FrankRuehl" w:hint="cs"/>
          <w:sz w:val="26"/>
          <w:szCs w:val="26"/>
          <w:rtl/>
        </w:rPr>
      </w:pPr>
      <w:bookmarkStart w:id="15" w:name="Seif15"/>
      <w:bookmarkEnd w:id="15"/>
      <w:r>
        <w:rPr>
          <w:rFonts w:cs="Miriam"/>
          <w:lang w:val="he-IL"/>
        </w:rPr>
        <w:pict>
          <v:rect id="_x0000_s1235" style="position:absolute;left:0;text-align:left;margin-left:463.5pt;margin-top:7.1pt;width:75.05pt;height:27pt;z-index:251661312" filled="f" stroked="f" strokecolor="lime" strokeweight=".25pt">
            <v:textbox style="mso-next-textbox:#_x0000_s1235" inset="1mm,0,1mm,0">
              <w:txbxContent>
                <w:p w:rsidR="00A845E7" w:rsidRDefault="00A845E7">
                  <w:pPr>
                    <w:spacing w:line="160" w:lineRule="exact"/>
                    <w:rPr>
                      <w:rFonts w:cs="Miriam" w:hint="cs"/>
                      <w:sz w:val="18"/>
                      <w:szCs w:val="18"/>
                      <w:rtl/>
                    </w:rPr>
                  </w:pPr>
                  <w:r>
                    <w:rPr>
                      <w:rFonts w:cs="Miriam" w:hint="cs"/>
                      <w:sz w:val="18"/>
                      <w:szCs w:val="18"/>
                      <w:rtl/>
                    </w:rPr>
                    <w:t>ניגוד ענינים וחובת גילוי זיקה בחוזה או בעסקה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חבר המועצה יודיע ליושב ראש המועצה אם נושא הנדון בישיבת המועצה עלול</w:t>
      </w:r>
      <w:r>
        <w:rPr>
          <w:rStyle w:val="big-number"/>
          <w:rFonts w:cs="FrankRuehl" w:hint="cs"/>
          <w:sz w:val="26"/>
          <w:szCs w:val="26"/>
          <w:rtl/>
        </w:rPr>
        <w:t xml:space="preserve"> </w:t>
      </w:r>
      <w:r>
        <w:rPr>
          <w:rStyle w:val="big-number"/>
          <w:rFonts w:cs="FrankRuehl"/>
          <w:sz w:val="26"/>
          <w:szCs w:val="26"/>
          <w:rtl/>
        </w:rPr>
        <w:t>לגרום לו להימצא, במישרין או בעקיפין, במצב של ניגוד ענינים בין כהונתו לבין ענין אישי שלו או של קרובו, או לבין תפקיד אחר שלו, ויימנע מהשתתפות בדיון ומהצבעה בישיבה כאמור.</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בלי לגרוע מהוראות סעיף קטן (א), חבר המועצה שיש לו או שעשוי להיות לו, במישרין או בעקיפין, בעצמו או על ידי קרובו, סוכנו או שותפו, או לתאגיד שהוא בעל ענין בו כל חלק, זיקה או ענין בכל חוזה או עסקה עם הרשות אשר עומדים לדיון במועצה: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יודיע על כך ליושב ראש המועצה מיד לאחר שנודע לו על החוזה או על העסקה;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לא יהיה נוכח בדיונים באותו חוזה או באותה עסקה ולא ישתתף בהחלטה המתייחסת אליהם או הקשורה עמם.</w:t>
      </w:r>
    </w:p>
    <w:p w:rsidR="00A845E7" w:rsidRDefault="00A845E7">
      <w:pPr>
        <w:pStyle w:val="P00"/>
        <w:spacing w:before="72"/>
        <w:ind w:left="0" w:right="1134"/>
        <w:rPr>
          <w:rStyle w:val="big-number"/>
          <w:rFonts w:cs="FrankRuehl" w:hint="cs"/>
          <w:sz w:val="26"/>
          <w:szCs w:val="26"/>
          <w:rtl/>
        </w:rPr>
      </w:pPr>
      <w:bookmarkStart w:id="16" w:name="Seif16"/>
      <w:bookmarkEnd w:id="16"/>
      <w:r>
        <w:rPr>
          <w:rFonts w:cs="Miriam"/>
          <w:lang w:val="he-IL"/>
        </w:rPr>
        <w:pict>
          <v:rect id="_x0000_s1236" style="position:absolute;left:0;text-align:left;margin-left:463.5pt;margin-top:7.1pt;width:75.05pt;height:9.05pt;z-index:251662336" filled="f" stroked="f" strokecolor="lime" strokeweight=".25pt">
            <v:textbox style="mso-next-textbox:#_x0000_s1236" inset="1mm,0,1mm,0">
              <w:txbxContent>
                <w:p w:rsidR="00A845E7" w:rsidRDefault="00A845E7">
                  <w:pPr>
                    <w:spacing w:line="160" w:lineRule="exact"/>
                    <w:rPr>
                      <w:rFonts w:cs="Miriam" w:hint="cs"/>
                      <w:sz w:val="18"/>
                      <w:szCs w:val="18"/>
                      <w:rtl/>
                    </w:rPr>
                  </w:pPr>
                  <w:r>
                    <w:rPr>
                      <w:rFonts w:cs="Miriam" w:hint="cs"/>
                      <w:sz w:val="18"/>
                      <w:szCs w:val="18"/>
                      <w:rtl/>
                    </w:rPr>
                    <w:t>תוקף פעולות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t>קיום המועצה, סמכויותיה ותוקף החלטותיה לא ייפגעו מחמת שנתפנה מקומו של חבר מועצה או מחמת ליקוי במינויו או בהמשך כהונתו.</w:t>
      </w:r>
    </w:p>
    <w:p w:rsidR="00A845E7" w:rsidRDefault="00A845E7">
      <w:pPr>
        <w:pStyle w:val="P00"/>
        <w:spacing w:before="72"/>
        <w:ind w:left="0" w:right="1134"/>
        <w:rPr>
          <w:rStyle w:val="big-number"/>
          <w:rFonts w:cs="FrankRuehl" w:hint="cs"/>
          <w:sz w:val="26"/>
          <w:szCs w:val="26"/>
          <w:rtl/>
        </w:rPr>
      </w:pPr>
      <w:bookmarkStart w:id="17" w:name="Seif17"/>
      <w:bookmarkEnd w:id="17"/>
      <w:r>
        <w:rPr>
          <w:rFonts w:cs="Miriam"/>
          <w:lang w:val="he-IL"/>
        </w:rPr>
        <w:pict>
          <v:rect id="_x0000_s1237" style="position:absolute;left:0;text-align:left;margin-left:463.5pt;margin-top:7.1pt;width:75.05pt;height:9.05pt;z-index:251663360" filled="f" stroked="f" strokecolor="lime" strokeweight=".25pt">
            <v:textbox style="mso-next-textbox:#_x0000_s1237" inset="1mm,0,1mm,0">
              <w:txbxContent>
                <w:p w:rsidR="00A845E7" w:rsidRDefault="00A845E7">
                  <w:pPr>
                    <w:spacing w:line="160" w:lineRule="exact"/>
                    <w:rPr>
                      <w:rFonts w:cs="Miriam" w:hint="cs"/>
                      <w:sz w:val="18"/>
                      <w:szCs w:val="18"/>
                      <w:rtl/>
                    </w:rPr>
                  </w:pPr>
                  <w:r>
                    <w:rPr>
                      <w:rFonts w:cs="Miriam" w:hint="cs"/>
                      <w:sz w:val="18"/>
                      <w:szCs w:val="18"/>
                      <w:rtl/>
                    </w:rPr>
                    <w:t>מנהל הרשות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המועצה, באישור השר וראש עיריית ירושלים, תמנה מנהל לרשות.</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המנהל ממונה על ביצוע תפקידי הרשות ויישום החלטות המועצה.</w:t>
      </w:r>
    </w:p>
    <w:p w:rsidR="00A845E7" w:rsidRDefault="00A845E7">
      <w:pPr>
        <w:pStyle w:val="P00"/>
        <w:spacing w:before="72"/>
        <w:ind w:left="0" w:right="1134"/>
        <w:rPr>
          <w:rStyle w:val="big-number"/>
          <w:rFonts w:cs="FrankRuehl" w:hint="cs"/>
          <w:sz w:val="26"/>
          <w:szCs w:val="26"/>
          <w:rtl/>
        </w:rPr>
      </w:pPr>
      <w:bookmarkStart w:id="18" w:name="Seif18"/>
      <w:bookmarkEnd w:id="18"/>
      <w:r>
        <w:rPr>
          <w:rFonts w:cs="Miriam"/>
          <w:lang w:val="he-IL"/>
        </w:rPr>
        <w:pict>
          <v:rect id="_x0000_s1238" style="position:absolute;left:0;text-align:left;margin-left:463.5pt;margin-top:7.1pt;width:75.05pt;height:16.85pt;z-index:251664384" filled="f" stroked="f" strokecolor="lime" strokeweight=".25pt">
            <v:textbox style="mso-next-textbox:#_x0000_s1238" inset="1mm,0,1mm,0">
              <w:txbxContent>
                <w:p w:rsidR="00A845E7" w:rsidRDefault="00A845E7">
                  <w:pPr>
                    <w:spacing w:line="160" w:lineRule="exact"/>
                    <w:rPr>
                      <w:rFonts w:cs="Miriam" w:hint="cs"/>
                      <w:sz w:val="18"/>
                      <w:szCs w:val="18"/>
                      <w:rtl/>
                    </w:rPr>
                  </w:pPr>
                  <w:r>
                    <w:rPr>
                      <w:rFonts w:cs="Miriam" w:hint="cs"/>
                      <w:sz w:val="18"/>
                      <w:szCs w:val="18"/>
                      <w:rtl/>
                    </w:rPr>
                    <w:t>כהונת המנהל ותנאי העסקתו</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תקופת כהונתו של המנהל תהיה חמש שנים; המועצה, באישור השר וראש עיריית ירושלים, רשאית להאריך את המינוי בשתי תקופות כהונה נוספות.</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המנהל יחדל לכהן לפני תום תקופת כהונתו באחת מאלה: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התפטר במסירת כתב התפטרות לשר ולראש עיריית ירושלים;</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הורשע בעבירה שמפאת מהותה, חומרתה או נסיבותיה אין הוא ראוי להיות המנהל;</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השר וראש עיריית ירושלים, לאחר התייעצות עם המועצה, קבעו כי נבצר ממנו דרך קבע למלא את תפקידו;</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רוב של שני שלישים מחברי המועצה, באישור השר וראש עיריית ירושלים, החליטו להעבירו מתפקידו.</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השר וראש עיריית ירושלים, באישור המועצה, יקבעו את שכרו ותנאי העסקתו של המנהל.</w:t>
      </w:r>
    </w:p>
    <w:p w:rsidR="00A845E7" w:rsidRDefault="00A845E7">
      <w:pPr>
        <w:pStyle w:val="P00"/>
        <w:spacing w:before="72"/>
        <w:ind w:left="0" w:right="1134"/>
        <w:rPr>
          <w:rStyle w:val="big-number"/>
          <w:rFonts w:cs="FrankRuehl" w:hint="cs"/>
          <w:sz w:val="26"/>
          <w:szCs w:val="26"/>
          <w:rtl/>
        </w:rPr>
      </w:pPr>
      <w:bookmarkStart w:id="19" w:name="Seif19"/>
      <w:bookmarkEnd w:id="19"/>
      <w:r>
        <w:rPr>
          <w:rFonts w:cs="Miriam"/>
          <w:lang w:val="he-IL"/>
        </w:rPr>
        <w:pict>
          <v:rect id="_x0000_s1239" style="position:absolute;left:0;text-align:left;margin-left:463.5pt;margin-top:7.1pt;width:75.05pt;height:9.05pt;z-index:251665408" filled="f" stroked="f" strokecolor="lime" strokeweight=".25pt">
            <v:textbox style="mso-next-textbox:#_x0000_s1239" inset="1mm,0,1mm,0">
              <w:txbxContent>
                <w:p w:rsidR="00A845E7" w:rsidRDefault="00A845E7">
                  <w:pPr>
                    <w:spacing w:line="160" w:lineRule="exact"/>
                    <w:rPr>
                      <w:rFonts w:cs="Miriam" w:hint="cs"/>
                      <w:sz w:val="18"/>
                      <w:szCs w:val="18"/>
                      <w:rtl/>
                    </w:rPr>
                  </w:pPr>
                  <w:r>
                    <w:rPr>
                      <w:rFonts w:cs="Miriam" w:hint="cs"/>
                      <w:sz w:val="18"/>
                      <w:szCs w:val="18"/>
                      <w:rtl/>
                    </w:rPr>
                    <w:t>דוחות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הרשות תגיש לשר, לראש עיריית ירושלים ולוועדת הכספים של הכנסת, בתחילת כל שנת כספים, דוח לגבי השנה שחלפה אשר יכלול את אלה: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מאזן שנתי של הרשות מבוקר בידי רואה חשבון;</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דוח הכנסות והוצאות של הרשות;</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דוחות בדבר המשאבים של הרשות ואופן השימוש בהם;</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סקירה בדבר ביצוע תקציב הרשות;</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סקירה על פעולות הרשות באותה שנה.</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השר וראש עיריית ירושלים רשאים לדרוש מהרשות, בכל עת, דין וחשבון ומידע אחר על כל ענין שהוא בגדר תפקידיה וסמכויותיה.</w:t>
      </w:r>
    </w:p>
    <w:p w:rsidR="00A845E7" w:rsidRDefault="00A845E7">
      <w:pPr>
        <w:pStyle w:val="P00"/>
        <w:spacing w:before="72"/>
        <w:ind w:left="0" w:right="1134"/>
        <w:rPr>
          <w:rStyle w:val="big-number"/>
          <w:rFonts w:cs="FrankRuehl" w:hint="cs"/>
          <w:sz w:val="26"/>
          <w:szCs w:val="26"/>
          <w:rtl/>
        </w:rPr>
      </w:pPr>
      <w:bookmarkStart w:id="20" w:name="Seif20"/>
      <w:bookmarkEnd w:id="20"/>
      <w:r>
        <w:rPr>
          <w:rFonts w:cs="Miriam"/>
          <w:lang w:val="he-IL"/>
        </w:rPr>
        <w:pict>
          <v:rect id="_x0000_s1240" style="position:absolute;left:0;text-align:left;margin-left:463.5pt;margin-top:7.1pt;width:75.05pt;height:20.35pt;z-index:251666432" filled="f" stroked="f" strokecolor="lime" strokeweight=".25pt">
            <v:textbox style="mso-next-textbox:#_x0000_s1240" inset="1mm,0,1mm,0">
              <w:txbxContent>
                <w:p w:rsidR="00A845E7" w:rsidRDefault="00A845E7">
                  <w:pPr>
                    <w:spacing w:line="160" w:lineRule="exact"/>
                    <w:rPr>
                      <w:rFonts w:cs="Miriam" w:hint="cs"/>
                      <w:sz w:val="18"/>
                      <w:szCs w:val="18"/>
                      <w:rtl/>
                    </w:rPr>
                  </w:pPr>
                  <w:r>
                    <w:rPr>
                      <w:rFonts w:cs="Miriam" w:hint="cs"/>
                      <w:sz w:val="18"/>
                      <w:szCs w:val="18"/>
                      <w:rtl/>
                    </w:rPr>
                    <w:t>דין הרשות כדין המדינה</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t>דין הרשות כדין המדינה לענין תשלום מסים, אגרות, ארנונות, היטלים ותשלומי חובה אחרים.</w:t>
      </w:r>
    </w:p>
    <w:p w:rsidR="00A845E7" w:rsidRDefault="00A845E7">
      <w:pPr>
        <w:pStyle w:val="P00"/>
        <w:spacing w:before="72"/>
        <w:ind w:left="0" w:right="1134"/>
        <w:rPr>
          <w:rStyle w:val="big-number"/>
          <w:rFonts w:cs="FrankRuehl" w:hint="cs"/>
          <w:sz w:val="26"/>
          <w:szCs w:val="26"/>
          <w:rtl/>
        </w:rPr>
      </w:pPr>
      <w:bookmarkStart w:id="21" w:name="Seif21"/>
      <w:bookmarkEnd w:id="21"/>
      <w:r>
        <w:rPr>
          <w:rFonts w:cs="Miriam"/>
          <w:lang w:val="he-IL"/>
        </w:rPr>
        <w:pict>
          <v:rect id="_x0000_s1241" style="position:absolute;left:0;text-align:left;margin-left:463.5pt;margin-top:7.1pt;width:75.05pt;height:23.45pt;z-index:251667456" filled="f" stroked="f" strokecolor="lime" strokeweight=".25pt">
            <v:textbox style="mso-next-textbox:#_x0000_s1241" inset="1mm,0,1mm,0">
              <w:txbxContent>
                <w:p w:rsidR="00A845E7" w:rsidRDefault="00A845E7">
                  <w:pPr>
                    <w:spacing w:line="160" w:lineRule="exact"/>
                    <w:rPr>
                      <w:rFonts w:cs="Miriam" w:hint="cs"/>
                      <w:sz w:val="18"/>
                      <w:szCs w:val="18"/>
                      <w:rtl/>
                    </w:rPr>
                  </w:pPr>
                  <w:r>
                    <w:rPr>
                      <w:rFonts w:cs="Miriam" w:hint="cs"/>
                      <w:sz w:val="18"/>
                      <w:szCs w:val="18"/>
                      <w:rtl/>
                    </w:rPr>
                    <w:t>דין המנהל, חברי המועצה ועובדי הרשות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דין המנהל, חברי המועצה ועובדי הרשות כדין עובדי המדינה לענין חיקוקים אלה:</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חוק הבחירות לכנסת [נוסח משולב], התשכ"ט</w:t>
      </w:r>
      <w:r>
        <w:rPr>
          <w:rStyle w:val="big-number"/>
          <w:rFonts w:cs="FrankRuehl" w:hint="cs"/>
          <w:sz w:val="26"/>
          <w:szCs w:val="26"/>
          <w:rtl/>
        </w:rPr>
        <w:t>-1969</w:t>
      </w:r>
      <w:r>
        <w:rPr>
          <w:rStyle w:val="big-number"/>
          <w:rFonts w:cs="FrankRuehl"/>
          <w:sz w:val="26"/>
          <w:szCs w:val="26"/>
          <w:rtl/>
        </w:rPr>
        <w:t>;</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חוק שירות המדינה (סיוג פעילות מפלגתית ומגבית כספים), התשי"ט</w:t>
      </w:r>
      <w:r>
        <w:rPr>
          <w:rStyle w:val="big-number"/>
          <w:rFonts w:cs="FrankRuehl" w:hint="cs"/>
          <w:sz w:val="26"/>
          <w:szCs w:val="26"/>
          <w:rtl/>
        </w:rPr>
        <w:t>-1959</w:t>
      </w:r>
      <w:r>
        <w:rPr>
          <w:rStyle w:val="big-number"/>
          <w:rFonts w:cs="FrankRuehl"/>
          <w:sz w:val="26"/>
          <w:szCs w:val="26"/>
          <w:rtl/>
        </w:rPr>
        <w:t>;</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חוק שירות הציבור (מתנות), התש"ם</w:t>
      </w:r>
      <w:r>
        <w:rPr>
          <w:rStyle w:val="big-number"/>
          <w:rFonts w:cs="FrankRuehl" w:hint="cs"/>
          <w:sz w:val="26"/>
          <w:szCs w:val="26"/>
          <w:rtl/>
        </w:rPr>
        <w:t>-1979</w:t>
      </w:r>
      <w:r>
        <w:rPr>
          <w:rStyle w:val="big-number"/>
          <w:rFonts w:cs="FrankRuehl"/>
          <w:sz w:val="26"/>
          <w:szCs w:val="26"/>
          <w:rtl/>
        </w:rPr>
        <w:t>;</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חוק שירות הציבור (הגבלות לאחר פרישה), התשכ"ט</w:t>
      </w:r>
      <w:r>
        <w:rPr>
          <w:rStyle w:val="big-number"/>
          <w:rFonts w:cs="FrankRuehl" w:hint="cs"/>
          <w:sz w:val="26"/>
          <w:szCs w:val="26"/>
          <w:rtl/>
        </w:rPr>
        <w:t>-1969</w:t>
      </w:r>
      <w:r>
        <w:rPr>
          <w:rStyle w:val="big-number"/>
          <w:rFonts w:cs="FrankRuehl"/>
          <w:sz w:val="26"/>
          <w:szCs w:val="26"/>
          <w:rtl/>
        </w:rPr>
        <w:t>;</w:t>
      </w:r>
    </w:p>
    <w:p w:rsidR="00A845E7" w:rsidRDefault="00A845E7">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ההוראות הנוגעות לעובד הציבור בחוק העונשין, התשל"ז</w:t>
      </w:r>
      <w:r>
        <w:rPr>
          <w:rStyle w:val="big-number"/>
          <w:rFonts w:cs="FrankRuehl" w:hint="cs"/>
          <w:sz w:val="26"/>
          <w:szCs w:val="26"/>
          <w:rtl/>
        </w:rPr>
        <w:t>-1977</w:t>
      </w:r>
      <w:r>
        <w:rPr>
          <w:rStyle w:val="big-number"/>
          <w:rFonts w:cs="FrankRuehl"/>
          <w:sz w:val="26"/>
          <w:szCs w:val="26"/>
          <w:rtl/>
        </w:rPr>
        <w:t>.</w:t>
      </w:r>
    </w:p>
    <w:p w:rsidR="00A845E7" w:rsidRDefault="00A845E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הוראות סעיף קטן (א)(1), (2) ו</w:t>
      </w:r>
      <w:r>
        <w:rPr>
          <w:rStyle w:val="big-number"/>
          <w:rFonts w:cs="FrankRuehl" w:hint="cs"/>
          <w:sz w:val="26"/>
          <w:szCs w:val="26"/>
          <w:rtl/>
        </w:rPr>
        <w:t>-</w:t>
      </w:r>
      <w:r>
        <w:rPr>
          <w:rStyle w:val="big-number"/>
          <w:rFonts w:cs="FrankRuehl"/>
          <w:sz w:val="26"/>
          <w:szCs w:val="26"/>
          <w:rtl/>
        </w:rPr>
        <w:t>(4) לא יחולו על חברי המועצה המכהנים כחברי מועצת העיריה, והוראת סעיף קטן (א)(4) לא תחול על חברי המועצה שהם נציגי הציבור.</w:t>
      </w:r>
    </w:p>
    <w:p w:rsidR="00A845E7" w:rsidRDefault="00A845E7">
      <w:pPr>
        <w:pStyle w:val="P00"/>
        <w:spacing w:before="72"/>
        <w:ind w:left="0" w:right="1134"/>
        <w:rPr>
          <w:rStyle w:val="big-number"/>
          <w:rFonts w:cs="FrankRuehl" w:hint="cs"/>
          <w:sz w:val="26"/>
          <w:szCs w:val="26"/>
          <w:rtl/>
        </w:rPr>
      </w:pPr>
      <w:bookmarkStart w:id="22" w:name="Seif22"/>
      <w:bookmarkEnd w:id="22"/>
      <w:r>
        <w:rPr>
          <w:rFonts w:cs="Miriam"/>
          <w:lang w:val="he-IL"/>
        </w:rPr>
        <w:pict>
          <v:rect id="_x0000_s1242" style="position:absolute;left:0;text-align:left;margin-left:463.5pt;margin-top:7.1pt;width:75.05pt;height:9.05pt;z-index:251668480" filled="f" stroked="f" strokecolor="lime" strokeweight=".25pt">
            <v:textbox style="mso-next-textbox:#_x0000_s1242" inset="1mm,0,1mm,0">
              <w:txbxContent>
                <w:p w:rsidR="00A845E7" w:rsidRDefault="00A845E7">
                  <w:pPr>
                    <w:spacing w:line="160" w:lineRule="exact"/>
                    <w:rPr>
                      <w:rFonts w:cs="Miriam" w:hint="cs"/>
                      <w:sz w:val="18"/>
                      <w:szCs w:val="18"/>
                      <w:rtl/>
                    </w:rPr>
                  </w:pPr>
                  <w:r>
                    <w:rPr>
                      <w:rFonts w:cs="Miriam" w:hint="cs"/>
                      <w:sz w:val="18"/>
                      <w:szCs w:val="18"/>
                      <w:rtl/>
                    </w:rPr>
                    <w:t>ביצוע ותקנות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t>השר ממונה על ביצוע חוק זה והוא רשאי להתקין תקנות לביצועו.</w:t>
      </w:r>
    </w:p>
    <w:p w:rsidR="00A845E7" w:rsidRDefault="00A845E7" w:rsidP="001126CE">
      <w:pPr>
        <w:pStyle w:val="P00"/>
        <w:spacing w:before="72"/>
        <w:ind w:left="0" w:right="1134"/>
        <w:rPr>
          <w:rStyle w:val="big-number"/>
          <w:rFonts w:cs="FrankRuehl" w:hint="cs"/>
          <w:sz w:val="26"/>
          <w:szCs w:val="26"/>
          <w:rtl/>
        </w:rPr>
      </w:pPr>
      <w:bookmarkStart w:id="23" w:name="Seif23"/>
      <w:bookmarkEnd w:id="23"/>
      <w:r>
        <w:rPr>
          <w:rFonts w:cs="Miriam"/>
          <w:lang w:val="he-IL"/>
        </w:rPr>
        <w:pict>
          <v:rect id="_x0000_s1243" style="position:absolute;left:0;text-align:left;margin-left:463.5pt;margin-top:7.1pt;width:75.05pt;height:31.6pt;z-index:251669504" filled="f" stroked="f" strokecolor="lime" strokeweight=".25pt">
            <v:textbox style="mso-next-textbox:#_x0000_s1243" inset="1mm,0,1mm,0">
              <w:txbxContent>
                <w:p w:rsidR="00A845E7" w:rsidRDefault="00A845E7">
                  <w:pPr>
                    <w:spacing w:line="160" w:lineRule="exact"/>
                    <w:rPr>
                      <w:rFonts w:cs="Miriam" w:hint="cs"/>
                      <w:sz w:val="18"/>
                      <w:szCs w:val="18"/>
                      <w:rtl/>
                    </w:rPr>
                  </w:pPr>
                  <w:r>
                    <w:rPr>
                      <w:rFonts w:cs="Miriam" w:hint="cs"/>
                      <w:sz w:val="18"/>
                      <w:szCs w:val="18"/>
                      <w:rtl/>
                    </w:rPr>
                    <w:t>תחילה</w:t>
                  </w:r>
                </w:p>
                <w:p w:rsidR="001126CE" w:rsidRDefault="001126CE">
                  <w:pPr>
                    <w:spacing w:line="160" w:lineRule="exact"/>
                    <w:rPr>
                      <w:rFonts w:cs="Miriam" w:hint="cs"/>
                      <w:sz w:val="18"/>
                      <w:szCs w:val="18"/>
                      <w:rtl/>
                    </w:rPr>
                  </w:pPr>
                  <w:r>
                    <w:rPr>
                      <w:rFonts w:cs="Miriam" w:hint="cs"/>
                      <w:sz w:val="18"/>
                      <w:szCs w:val="18"/>
                      <w:rtl/>
                    </w:rPr>
                    <w:t>(תיקון מס' 1) תשע"א-2011</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t xml:space="preserve">תחילתו של חוק זה </w:t>
      </w:r>
      <w:r w:rsidR="001126CE" w:rsidRPr="001126CE">
        <w:rPr>
          <w:rStyle w:val="big-number"/>
          <w:rFonts w:cs="FrankRuehl" w:hint="cs"/>
          <w:sz w:val="26"/>
          <w:szCs w:val="26"/>
          <w:rtl/>
        </w:rPr>
        <w:t>ביום כ' בטבת התשע"ו (1 בינואר 2016)</w:t>
      </w:r>
      <w:r>
        <w:rPr>
          <w:rStyle w:val="big-number"/>
          <w:rFonts w:cs="FrankRuehl"/>
          <w:sz w:val="26"/>
          <w:szCs w:val="26"/>
          <w:rtl/>
        </w:rPr>
        <w:t>.</w:t>
      </w:r>
    </w:p>
    <w:p w:rsidR="001126CE" w:rsidRPr="001126CE" w:rsidRDefault="001126CE" w:rsidP="001126CE">
      <w:pPr>
        <w:pStyle w:val="P00"/>
        <w:tabs>
          <w:tab w:val="clear" w:pos="6259"/>
        </w:tabs>
        <w:spacing w:before="0"/>
        <w:ind w:left="0" w:right="1134"/>
        <w:rPr>
          <w:rFonts w:cs="FrankRuehl" w:hint="cs"/>
          <w:vanish/>
          <w:color w:val="FF0000"/>
          <w:szCs w:val="20"/>
          <w:shd w:val="clear" w:color="auto" w:fill="FFFF99"/>
          <w:rtl/>
        </w:rPr>
      </w:pPr>
      <w:bookmarkStart w:id="24" w:name="Rov25"/>
      <w:r w:rsidRPr="001126CE">
        <w:rPr>
          <w:rFonts w:cs="FrankRuehl" w:hint="cs"/>
          <w:vanish/>
          <w:color w:val="FF0000"/>
          <w:szCs w:val="20"/>
          <w:shd w:val="clear" w:color="auto" w:fill="FFFF99"/>
          <w:rtl/>
        </w:rPr>
        <w:t>מיום 1.1.2011</w:t>
      </w:r>
    </w:p>
    <w:p w:rsidR="001126CE" w:rsidRPr="001126CE" w:rsidRDefault="001126CE" w:rsidP="001126CE">
      <w:pPr>
        <w:pStyle w:val="P00"/>
        <w:tabs>
          <w:tab w:val="clear" w:pos="6259"/>
        </w:tabs>
        <w:spacing w:before="0"/>
        <w:ind w:left="0" w:right="1134"/>
        <w:rPr>
          <w:rFonts w:cs="FrankRuehl" w:hint="cs"/>
          <w:vanish/>
          <w:szCs w:val="20"/>
          <w:shd w:val="clear" w:color="auto" w:fill="FFFF99"/>
          <w:rtl/>
        </w:rPr>
      </w:pPr>
      <w:r w:rsidRPr="001126CE">
        <w:rPr>
          <w:rFonts w:cs="FrankRuehl" w:hint="cs"/>
          <w:b/>
          <w:bCs/>
          <w:vanish/>
          <w:szCs w:val="20"/>
          <w:shd w:val="clear" w:color="auto" w:fill="FFFF99"/>
          <w:rtl/>
        </w:rPr>
        <w:t>תיקון מס' 1</w:t>
      </w:r>
    </w:p>
    <w:p w:rsidR="001126CE" w:rsidRPr="001126CE" w:rsidRDefault="001126CE" w:rsidP="001126CE">
      <w:pPr>
        <w:pStyle w:val="P00"/>
        <w:tabs>
          <w:tab w:val="clear" w:pos="6259"/>
        </w:tabs>
        <w:spacing w:before="0"/>
        <w:ind w:left="0" w:right="1134"/>
        <w:rPr>
          <w:rFonts w:cs="FrankRuehl" w:hint="cs"/>
          <w:vanish/>
          <w:szCs w:val="20"/>
          <w:shd w:val="clear" w:color="auto" w:fill="FFFF99"/>
          <w:rtl/>
        </w:rPr>
      </w:pPr>
      <w:hyperlink r:id="rId7" w:history="1">
        <w:r w:rsidRPr="001126CE">
          <w:rPr>
            <w:rStyle w:val="Hyperlink"/>
            <w:rFonts w:cs="FrankRuehl" w:hint="cs"/>
            <w:vanish/>
            <w:szCs w:val="20"/>
            <w:shd w:val="clear" w:color="auto" w:fill="FFFF99"/>
            <w:rtl/>
          </w:rPr>
          <w:t>ס"ח תשע"א מס' 2271</w:t>
        </w:r>
      </w:hyperlink>
      <w:r w:rsidRPr="001126CE">
        <w:rPr>
          <w:rFonts w:cs="FrankRuehl" w:hint="cs"/>
          <w:vanish/>
          <w:szCs w:val="20"/>
          <w:shd w:val="clear" w:color="auto" w:fill="FFFF99"/>
          <w:rtl/>
        </w:rPr>
        <w:t xml:space="preserve"> מיום 6.1.2011 עמ' 192 (</w:t>
      </w:r>
      <w:hyperlink r:id="rId8" w:history="1">
        <w:r w:rsidRPr="001126CE">
          <w:rPr>
            <w:rStyle w:val="Hyperlink"/>
            <w:rFonts w:cs="FrankRuehl" w:hint="cs"/>
            <w:vanish/>
            <w:szCs w:val="20"/>
            <w:shd w:val="clear" w:color="auto" w:fill="FFFF99"/>
            <w:rtl/>
          </w:rPr>
          <w:t>ה"ח 541</w:t>
        </w:r>
      </w:hyperlink>
      <w:r w:rsidRPr="001126CE">
        <w:rPr>
          <w:rFonts w:cs="FrankRuehl" w:hint="cs"/>
          <w:vanish/>
          <w:szCs w:val="20"/>
          <w:shd w:val="clear" w:color="auto" w:fill="FFFF99"/>
          <w:rtl/>
        </w:rPr>
        <w:t>)</w:t>
      </w:r>
    </w:p>
    <w:p w:rsidR="001126CE" w:rsidRPr="001126CE" w:rsidRDefault="001126CE" w:rsidP="001126CE">
      <w:pPr>
        <w:pStyle w:val="P00"/>
        <w:ind w:left="0" w:right="1134"/>
        <w:rPr>
          <w:rStyle w:val="big-number"/>
          <w:rFonts w:cs="FrankRuehl" w:hint="cs"/>
          <w:sz w:val="2"/>
          <w:szCs w:val="2"/>
          <w:rtl/>
        </w:rPr>
      </w:pPr>
      <w:r w:rsidRPr="001126CE">
        <w:rPr>
          <w:rStyle w:val="big-number"/>
          <w:rFonts w:cs="FrankRuehl" w:hint="cs"/>
          <w:vanish/>
          <w:sz w:val="22"/>
          <w:szCs w:val="22"/>
          <w:shd w:val="clear" w:color="auto" w:fill="FFFF99"/>
          <w:rtl/>
        </w:rPr>
        <w:t>24</w:t>
      </w:r>
      <w:r w:rsidRPr="001126CE">
        <w:rPr>
          <w:rStyle w:val="big-number"/>
          <w:rFonts w:cs="FrankRuehl"/>
          <w:vanish/>
          <w:sz w:val="22"/>
          <w:szCs w:val="22"/>
          <w:shd w:val="clear" w:color="auto" w:fill="FFFF99"/>
          <w:rtl/>
        </w:rPr>
        <w:t>.</w:t>
      </w:r>
      <w:r w:rsidRPr="001126CE">
        <w:rPr>
          <w:rStyle w:val="big-number"/>
          <w:rFonts w:cs="FrankRuehl"/>
          <w:vanish/>
          <w:sz w:val="22"/>
          <w:szCs w:val="22"/>
          <w:shd w:val="clear" w:color="auto" w:fill="FFFF99"/>
          <w:rtl/>
        </w:rPr>
        <w:tab/>
        <w:t xml:space="preserve">תחילתו של חוק זה </w:t>
      </w:r>
      <w:r w:rsidRPr="001126CE">
        <w:rPr>
          <w:rStyle w:val="big-number"/>
          <w:rFonts w:cs="FrankRuehl"/>
          <w:strike/>
          <w:vanish/>
          <w:sz w:val="22"/>
          <w:szCs w:val="22"/>
          <w:shd w:val="clear" w:color="auto" w:fill="FFFF99"/>
          <w:rtl/>
        </w:rPr>
        <w:t>בתום שלושה חודשים מיום פרסומו</w:t>
      </w:r>
      <w:r w:rsidRPr="001126CE">
        <w:rPr>
          <w:rStyle w:val="big-number"/>
          <w:rFonts w:cs="FrankRuehl" w:hint="cs"/>
          <w:vanish/>
          <w:sz w:val="22"/>
          <w:szCs w:val="22"/>
          <w:shd w:val="clear" w:color="auto" w:fill="FFFF99"/>
          <w:rtl/>
        </w:rPr>
        <w:t xml:space="preserve"> </w:t>
      </w:r>
      <w:r w:rsidRPr="001126CE">
        <w:rPr>
          <w:rStyle w:val="big-number"/>
          <w:rFonts w:cs="FrankRuehl" w:hint="cs"/>
          <w:vanish/>
          <w:sz w:val="22"/>
          <w:szCs w:val="22"/>
          <w:u w:val="single"/>
          <w:shd w:val="clear" w:color="auto" w:fill="FFFF99"/>
          <w:rtl/>
        </w:rPr>
        <w:t>ביום כ' בטבת התשע"ו (1 בינואר 2016)</w:t>
      </w:r>
      <w:r w:rsidRPr="001126CE">
        <w:rPr>
          <w:rStyle w:val="big-number"/>
          <w:rFonts w:cs="FrankRuehl"/>
          <w:vanish/>
          <w:sz w:val="22"/>
          <w:szCs w:val="22"/>
          <w:shd w:val="clear" w:color="auto" w:fill="FFFF99"/>
          <w:rtl/>
        </w:rPr>
        <w:t>.</w:t>
      </w:r>
      <w:bookmarkEnd w:id="24"/>
    </w:p>
    <w:p w:rsidR="00A845E7" w:rsidRDefault="00A845E7">
      <w:pPr>
        <w:pStyle w:val="P00"/>
        <w:spacing w:before="72"/>
        <w:ind w:left="0" w:right="1134"/>
        <w:rPr>
          <w:rStyle w:val="default"/>
          <w:rFonts w:cs="FrankRuehl" w:hint="cs"/>
          <w:rtl/>
        </w:rPr>
      </w:pPr>
    </w:p>
    <w:p w:rsidR="001126CE" w:rsidRDefault="001126CE">
      <w:pPr>
        <w:pStyle w:val="P00"/>
        <w:spacing w:before="72"/>
        <w:ind w:left="0" w:right="1134"/>
        <w:rPr>
          <w:rStyle w:val="default"/>
          <w:rFonts w:cs="FrankRuehl" w:hint="cs"/>
          <w:rtl/>
        </w:rPr>
      </w:pPr>
    </w:p>
    <w:p w:rsidR="00A845E7" w:rsidRDefault="00A845E7" w:rsidP="00AA35C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p>
    <w:p w:rsidR="00A845E7" w:rsidRDefault="00A845E7" w:rsidP="00AA35C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p>
    <w:p w:rsidR="00A845E7" w:rsidRDefault="00A845E7" w:rsidP="00AA35C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A845E7" w:rsidRDefault="00A845E7" w:rsidP="00AA35C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A845E7" w:rsidRDefault="00A845E7">
      <w:pPr>
        <w:pStyle w:val="P00"/>
        <w:spacing w:before="72"/>
        <w:ind w:left="0" w:right="1134"/>
        <w:rPr>
          <w:rStyle w:val="big-number"/>
          <w:rFonts w:cs="FrankRuehl" w:hint="cs"/>
          <w:sz w:val="26"/>
          <w:szCs w:val="26"/>
          <w:rtl/>
        </w:rPr>
      </w:pPr>
    </w:p>
    <w:p w:rsidR="00AA35C1" w:rsidRDefault="00AA35C1">
      <w:pPr>
        <w:pStyle w:val="P00"/>
        <w:spacing w:before="72"/>
        <w:ind w:left="0" w:right="1134"/>
        <w:rPr>
          <w:rStyle w:val="big-number"/>
          <w:rFonts w:cs="FrankRuehl" w:hint="cs"/>
          <w:sz w:val="26"/>
          <w:szCs w:val="26"/>
          <w:rtl/>
        </w:rPr>
      </w:pPr>
    </w:p>
    <w:p w:rsidR="00AA35C1" w:rsidRDefault="00AA35C1">
      <w:pPr>
        <w:pStyle w:val="P00"/>
        <w:spacing w:before="72"/>
        <w:ind w:left="0" w:right="1134"/>
        <w:rPr>
          <w:rStyle w:val="big-number"/>
          <w:rFonts w:cs="FrankRuehl" w:hint="cs"/>
          <w:sz w:val="26"/>
          <w:szCs w:val="26"/>
          <w:rtl/>
        </w:rPr>
      </w:pPr>
    </w:p>
    <w:sectPr w:rsidR="00AA35C1">
      <w:headerReference w:type="even" r:id="rId9"/>
      <w:headerReference w:type="default" r:id="rId10"/>
      <w:footerReference w:type="even" r:id="rId11"/>
      <w:footerReference w:type="default" r:id="rId12"/>
      <w:footnotePr>
        <w:numRestart w:val="eachSect"/>
      </w:footnotePr>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74FE" w:rsidRDefault="00EE74FE">
      <w:r>
        <w:separator/>
      </w:r>
    </w:p>
  </w:endnote>
  <w:endnote w:type="continuationSeparator" w:id="0">
    <w:p w:rsidR="00EE74FE" w:rsidRDefault="00EE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5E7" w:rsidRDefault="00A845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845E7" w:rsidRDefault="00A845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845E7" w:rsidRDefault="00A845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T:\00000000-law\yael\05-12-26\999_536.doc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5E7" w:rsidRDefault="00A845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35C1">
      <w:rPr>
        <w:rFonts w:hAnsi="FrankRuehl" w:cs="FrankRuehl"/>
        <w:noProof/>
        <w:sz w:val="24"/>
        <w:szCs w:val="24"/>
        <w:rtl/>
      </w:rPr>
      <w:t>2</w:t>
    </w:r>
    <w:r>
      <w:rPr>
        <w:rFonts w:hAnsi="FrankRuehl" w:cs="FrankRuehl"/>
        <w:sz w:val="24"/>
        <w:szCs w:val="24"/>
        <w:rtl/>
      </w:rPr>
      <w:fldChar w:fldCharType="end"/>
    </w:r>
  </w:p>
  <w:p w:rsidR="00A845E7" w:rsidRDefault="00A845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845E7" w:rsidRDefault="00A845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T:\00000000-law\yael\05-12-26\999_536.doc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74FE" w:rsidRDefault="00EE74FE">
      <w:r>
        <w:separator/>
      </w:r>
    </w:p>
  </w:footnote>
  <w:footnote w:type="continuationSeparator" w:id="0">
    <w:p w:rsidR="00EE74FE" w:rsidRDefault="00EE74FE">
      <w:r>
        <w:continuationSeparator/>
      </w:r>
    </w:p>
  </w:footnote>
  <w:footnote w:id="1">
    <w:p w:rsidR="00A845E7" w:rsidRDefault="00A845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תשס"ו מס' 2041</w:t>
        </w:r>
      </w:hyperlink>
      <w:r>
        <w:rPr>
          <w:rFonts w:cs="FrankRuehl" w:hint="cs"/>
          <w:rtl/>
        </w:rPr>
        <w:t xml:space="preserve"> מיום 22.12.2005 עמ' 98 (</w:t>
      </w:r>
      <w:hyperlink r:id="rId2" w:history="1">
        <w:r>
          <w:rPr>
            <w:rStyle w:val="Hyperlink"/>
            <w:rFonts w:cs="FrankRuehl" w:hint="cs"/>
            <w:rtl/>
          </w:rPr>
          <w:t>ה"ח הכנסת תשס"ו מס' 104</w:t>
        </w:r>
      </w:hyperlink>
      <w:r>
        <w:rPr>
          <w:rFonts w:cs="FrankRuehl" w:hint="cs"/>
          <w:rtl/>
        </w:rPr>
        <w:t xml:space="preserve"> עמ' 57).</w:t>
      </w:r>
    </w:p>
    <w:p w:rsidR="00864AC9" w:rsidRPr="001126CE" w:rsidRDefault="001126CE" w:rsidP="00864A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1126CE">
        <w:rPr>
          <w:rFonts w:cs="FrankRuehl" w:hint="cs"/>
          <w:rtl/>
        </w:rPr>
        <w:t xml:space="preserve">תוקן </w:t>
      </w:r>
      <w:hyperlink r:id="rId3" w:history="1">
        <w:r w:rsidRPr="00864AC9">
          <w:rPr>
            <w:rStyle w:val="Hyperlink"/>
            <w:rFonts w:cs="FrankRuehl" w:hint="cs"/>
            <w:rtl/>
          </w:rPr>
          <w:t>ס"ח תשע"א מס' 2271</w:t>
        </w:r>
      </w:hyperlink>
      <w:r w:rsidRPr="001126CE">
        <w:rPr>
          <w:rFonts w:cs="FrankRuehl" w:hint="cs"/>
          <w:rtl/>
        </w:rPr>
        <w:t xml:space="preserve"> מיום 6.1.2011 עמ' 192 (</w:t>
      </w:r>
      <w:hyperlink r:id="rId4" w:history="1">
        <w:r w:rsidRPr="001126CE">
          <w:rPr>
            <w:rStyle w:val="Hyperlink"/>
            <w:rFonts w:cs="FrankRuehl" w:hint="cs"/>
            <w:rtl/>
          </w:rPr>
          <w:t>ה"ח הממשלה תשע"א מס' 541</w:t>
        </w:r>
      </w:hyperlink>
      <w:r w:rsidRPr="001126CE">
        <w:rPr>
          <w:rFonts w:cs="FrankRuehl" w:hint="cs"/>
          <w:rtl/>
        </w:rPr>
        <w:t xml:space="preserve"> עמ' 6) </w:t>
      </w:r>
      <w:r w:rsidRPr="001126CE">
        <w:rPr>
          <w:rFonts w:cs="FrankRuehl"/>
          <w:rtl/>
        </w:rPr>
        <w:t>–</w:t>
      </w:r>
      <w:r w:rsidRPr="001126CE">
        <w:rPr>
          <w:rFonts w:cs="FrankRuehl" w:hint="cs"/>
          <w:rtl/>
        </w:rPr>
        <w:t xml:space="preserve"> תיקון מס' </w:t>
      </w:r>
      <w:r>
        <w:rPr>
          <w:rFonts w:cs="FrankRuehl" w:hint="cs"/>
          <w:rtl/>
        </w:rPr>
        <w:t>1</w:t>
      </w:r>
      <w:r w:rsidRPr="001126CE">
        <w:rPr>
          <w:rFonts w:cs="FrankRuehl" w:hint="cs"/>
          <w:rtl/>
        </w:rPr>
        <w:t xml:space="preserve"> בסעיף 5</w:t>
      </w:r>
      <w:r>
        <w:rPr>
          <w:rFonts w:cs="FrankRuehl" w:hint="cs"/>
          <w:rtl/>
        </w:rPr>
        <w:t>4</w:t>
      </w:r>
      <w:r w:rsidRPr="001126CE">
        <w:rPr>
          <w:rFonts w:cs="FrankRuehl" w:hint="cs"/>
          <w:rtl/>
        </w:rPr>
        <w:t xml:space="preserve"> לחוק המדיניות הכלכלית לשנים 2011 ו-2012 (תיקוני חקיקה), תשע"א-2010; תחילתו ביום 1.1.2011.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5E7" w:rsidRDefault="00A845E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845E7" w:rsidRDefault="00A845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45E7" w:rsidRDefault="00A845E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5E7" w:rsidRDefault="00A845E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הרשות לפיתוח ולקידום התרבות, התיירות וקשרי החוץ של ירושלים, תשס"ו-2005</w:t>
    </w:r>
  </w:p>
  <w:p w:rsidR="00A845E7" w:rsidRDefault="00A845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45E7" w:rsidRDefault="00A845E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856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numRestart w:val="eachSec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24E"/>
    <w:rsid w:val="001126CE"/>
    <w:rsid w:val="001D424E"/>
    <w:rsid w:val="001F2DE6"/>
    <w:rsid w:val="00361066"/>
    <w:rsid w:val="003703E1"/>
    <w:rsid w:val="00864AC9"/>
    <w:rsid w:val="00A845E7"/>
    <w:rsid w:val="00AA35C1"/>
    <w:rsid w:val="00EE74FE"/>
    <w:rsid w:val="00F2322A"/>
    <w:rsid w:val="00F836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A3791429-E40A-4392-80B9-AD4599AE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54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271.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71.pdf" TargetMode="External"/><Relationship Id="rId2" Type="http://schemas.openxmlformats.org/officeDocument/2006/relationships/hyperlink" Target="http://www.nevo.co.il/Law_word/law16/KNESSET-104.pdf" TargetMode="External"/><Relationship Id="rId1" Type="http://schemas.openxmlformats.org/officeDocument/2006/relationships/hyperlink" Target="http://www.nevo.co.il/Law_word/law14/LAW-2041.pdf" TargetMode="External"/><Relationship Id="rId4" Type="http://schemas.openxmlformats.org/officeDocument/2006/relationships/hyperlink" Target="http://www.nevo.co.il/Law_word/law15/memshala-5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10455</CharactersWithSpaces>
  <SharedDoc>false</SharedDoc>
  <HLinks>
    <vt:vector size="180" baseType="variant">
      <vt:variant>
        <vt:i4>7864407</vt:i4>
      </vt:variant>
      <vt:variant>
        <vt:i4>147</vt:i4>
      </vt:variant>
      <vt:variant>
        <vt:i4>0</vt:i4>
      </vt:variant>
      <vt:variant>
        <vt:i4>5</vt:i4>
      </vt:variant>
      <vt:variant>
        <vt:lpwstr>http://www.nevo.co.il/Law_word/law15/memshala-541.pdf</vt:lpwstr>
      </vt:variant>
      <vt:variant>
        <vt:lpwstr/>
      </vt:variant>
      <vt:variant>
        <vt:i4>7995402</vt:i4>
      </vt:variant>
      <vt:variant>
        <vt:i4>144</vt:i4>
      </vt:variant>
      <vt:variant>
        <vt:i4>0</vt:i4>
      </vt:variant>
      <vt:variant>
        <vt:i4>5</vt:i4>
      </vt:variant>
      <vt:variant>
        <vt:lpwstr>http://www.nevo.co.il/Law_word/law14/law-2271.pdf</vt:lpwstr>
      </vt:variant>
      <vt:variant>
        <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7864407</vt:i4>
      </vt:variant>
      <vt:variant>
        <vt:i4>9</vt:i4>
      </vt:variant>
      <vt:variant>
        <vt:i4>0</vt:i4>
      </vt:variant>
      <vt:variant>
        <vt:i4>5</vt:i4>
      </vt:variant>
      <vt:variant>
        <vt:lpwstr>http://www.nevo.co.il/Law_word/law15/memshala-541.pdf</vt:lpwstr>
      </vt:variant>
      <vt:variant>
        <vt:lpwstr/>
      </vt:variant>
      <vt:variant>
        <vt:i4>7995402</vt:i4>
      </vt:variant>
      <vt:variant>
        <vt:i4>6</vt:i4>
      </vt:variant>
      <vt:variant>
        <vt:i4>0</vt:i4>
      </vt:variant>
      <vt:variant>
        <vt:i4>5</vt:i4>
      </vt:variant>
      <vt:variant>
        <vt:lpwstr>http://www.nevo.co.il/Law_word/law14/law-2271.pdf</vt:lpwstr>
      </vt:variant>
      <vt:variant>
        <vt:lpwstr/>
      </vt:variant>
      <vt:variant>
        <vt:i4>3538970</vt:i4>
      </vt:variant>
      <vt:variant>
        <vt:i4>3</vt:i4>
      </vt:variant>
      <vt:variant>
        <vt:i4>0</vt:i4>
      </vt:variant>
      <vt:variant>
        <vt:i4>5</vt:i4>
      </vt:variant>
      <vt:variant>
        <vt:lpwstr>http://www.nevo.co.il/Law_word/law16/KNESSET-104.pdf</vt:lpwstr>
      </vt:variant>
      <vt:variant>
        <vt:lpwstr/>
      </vt:variant>
      <vt:variant>
        <vt:i4>7929864</vt:i4>
      </vt:variant>
      <vt:variant>
        <vt:i4>0</vt:i4>
      </vt:variant>
      <vt:variant>
        <vt:i4>0</vt:i4>
      </vt:variant>
      <vt:variant>
        <vt:i4>5</vt:i4>
      </vt:variant>
      <vt:variant>
        <vt:lpwstr>http://www.nevo.co.il/Law_word/law14/LAW-2041.pdf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הרשות לפיתוח ולקידום התרבות, התיירות וקשרי החוץ של ירושלים, תשס"ו-2005</vt:lpwstr>
  </property>
  <property fmtid="{D5CDD505-2E9C-101B-9397-08002B2CF9AE}" pid="4" name="LAWNUMBER">
    <vt:lpwstr>0536</vt:lpwstr>
  </property>
  <property fmtid="{D5CDD505-2E9C-101B-9397-08002B2CF9AE}" pid="5" name="TYPE">
    <vt:lpwstr>01</vt:lpwstr>
  </property>
  <property fmtid="{D5CDD505-2E9C-101B-9397-08002B2CF9AE}" pid="6" name="CHNAME">
    <vt:lpwstr>חינוך</vt:lpwstr>
  </property>
  <property fmtid="{D5CDD505-2E9C-101B-9397-08002B2CF9AE}" pid="7" name="LINKK2">
    <vt:lpwstr>http://www.nevo.co.il/Law_word/law16/KNESSET-104.pdf;רשומות – הצעות חוק כנסת ודברי הסבר#ה"ח הכנסת תשס"ו מס' 104#עמ' 57</vt:lpwstr>
  </property>
  <property fmtid="{D5CDD505-2E9C-101B-9397-08002B2CF9AE}" pid="8" name="LINKK3">
    <vt:lpwstr>http://www.nevo.co.il/Law_word/law14/law-2271.pdf;‎רשומות - ספר חוקים#תוקן ס"ח תשע"א מס' ‏‏2271 #מיום 6.1.2011 עמ' 192– תיקון מס' 1 בסעיף 54 לחוק המדיניות הכלכלית לשנים 2011 ו-2012 (תיקוני ‏חקיקה), תשע"א-2010; תחילתו ביום 1.1.2011‏</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http://www.nevo.co.il/Law_word/law14/LAW-2041.pdf;רשומות – ספר חוקים#פורסם ס"ח תשס"ו מס' 2041#מיום 22.12.2005#עמ' 98</vt:lpwstr>
  </property>
  <property fmtid="{D5CDD505-2E9C-101B-9397-08002B2CF9AE}" pid="22" name="NOSE11">
    <vt:lpwstr>רשויות ומשפט מנהלי</vt:lpwstr>
  </property>
  <property fmtid="{D5CDD505-2E9C-101B-9397-08002B2CF9AE}" pid="23" name="NOSE21">
    <vt:lpwstr>תרבות, פנאי ומועדים</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תיירות</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