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1579" w14:textId="77777777" w:rsidR="000851D4" w:rsidRDefault="000851D4" w:rsidP="00117B45">
      <w:pPr>
        <w:pStyle w:val="big-header"/>
        <w:ind w:left="0" w:right="1134"/>
        <w:rPr>
          <w:rFonts w:cs="FrankRuehl"/>
          <w:sz w:val="32"/>
        </w:rPr>
      </w:pPr>
      <w:r>
        <w:rPr>
          <w:rFonts w:cs="FrankRuehl"/>
          <w:sz w:val="32"/>
          <w:rtl/>
        </w:rPr>
        <w:t>חוק השבת אבידה, תשל"ג</w:t>
      </w:r>
      <w:r w:rsidR="00117B45">
        <w:rPr>
          <w:rFonts w:cs="FrankRuehl" w:hint="cs"/>
          <w:sz w:val="32"/>
          <w:rtl/>
        </w:rPr>
        <w:t>-</w:t>
      </w:r>
      <w:r>
        <w:rPr>
          <w:rFonts w:cs="FrankRuehl"/>
          <w:sz w:val="32"/>
          <w:rtl/>
        </w:rPr>
        <w:t>1973</w:t>
      </w:r>
    </w:p>
    <w:p w14:paraId="71D26C3D" w14:textId="77777777" w:rsidR="00EA2742" w:rsidRPr="00EA2742" w:rsidRDefault="00EA2742" w:rsidP="00EA2742">
      <w:pPr>
        <w:spacing w:line="320" w:lineRule="auto"/>
        <w:jc w:val="left"/>
        <w:rPr>
          <w:rFonts w:cs="FrankRuehl"/>
          <w:szCs w:val="26"/>
          <w:rtl/>
        </w:rPr>
      </w:pPr>
    </w:p>
    <w:p w14:paraId="308F6396" w14:textId="77777777" w:rsidR="00EA2742" w:rsidRDefault="00EA2742" w:rsidP="00EA2742">
      <w:pPr>
        <w:spacing w:line="320" w:lineRule="auto"/>
        <w:jc w:val="left"/>
        <w:rPr>
          <w:rtl/>
        </w:rPr>
      </w:pPr>
    </w:p>
    <w:p w14:paraId="07EC3C0D" w14:textId="77777777" w:rsidR="00EA2742" w:rsidRDefault="00EA2742" w:rsidP="00EA2742">
      <w:pPr>
        <w:spacing w:line="320" w:lineRule="auto"/>
        <w:jc w:val="left"/>
        <w:rPr>
          <w:rFonts w:cs="FrankRuehl"/>
          <w:szCs w:val="26"/>
          <w:rtl/>
        </w:rPr>
      </w:pPr>
      <w:r w:rsidRPr="00EA2742">
        <w:rPr>
          <w:rFonts w:cs="Miriam"/>
          <w:szCs w:val="22"/>
          <w:rtl/>
        </w:rPr>
        <w:t>משפט פרטי וכלכלה</w:t>
      </w:r>
      <w:r w:rsidRPr="00EA2742">
        <w:rPr>
          <w:rFonts w:cs="FrankRuehl"/>
          <w:szCs w:val="26"/>
          <w:rtl/>
        </w:rPr>
        <w:t xml:space="preserve"> – חיובים – עשיית עושר ולא במשפט – השבת אבדה</w:t>
      </w:r>
    </w:p>
    <w:p w14:paraId="0CC867F0" w14:textId="77777777" w:rsidR="001C6802" w:rsidRPr="00EA2742" w:rsidRDefault="00EA2742" w:rsidP="00EA2742">
      <w:pPr>
        <w:spacing w:line="320" w:lineRule="auto"/>
        <w:jc w:val="left"/>
        <w:rPr>
          <w:rFonts w:cs="Miriam"/>
          <w:szCs w:val="22"/>
          <w:rtl/>
        </w:rPr>
      </w:pPr>
      <w:r w:rsidRPr="00EA2742">
        <w:rPr>
          <w:rFonts w:cs="Miriam"/>
          <w:szCs w:val="22"/>
          <w:rtl/>
        </w:rPr>
        <w:t>משפט פרטי וכלכלה</w:t>
      </w:r>
      <w:r w:rsidRPr="00EA2742">
        <w:rPr>
          <w:rFonts w:cs="FrankRuehl"/>
          <w:szCs w:val="26"/>
          <w:rtl/>
        </w:rPr>
        <w:t xml:space="preserve"> – קניין – מטלטלין – השבת אבדה</w:t>
      </w:r>
    </w:p>
    <w:p w14:paraId="7F4811EA" w14:textId="77777777" w:rsidR="001C6802" w:rsidRDefault="001C6802" w:rsidP="001C6802">
      <w:pPr>
        <w:spacing w:line="320" w:lineRule="auto"/>
        <w:jc w:val="left"/>
        <w:rPr>
          <w:rtl/>
        </w:rPr>
      </w:pPr>
    </w:p>
    <w:p w14:paraId="0AE432E6" w14:textId="77777777" w:rsidR="000851D4" w:rsidRDefault="000851D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851D4" w14:paraId="374891E8" w14:textId="77777777">
        <w:tblPrEx>
          <w:tblCellMar>
            <w:top w:w="0" w:type="dxa"/>
            <w:bottom w:w="0" w:type="dxa"/>
          </w:tblCellMar>
        </w:tblPrEx>
        <w:tc>
          <w:tcPr>
            <w:tcW w:w="850" w:type="dxa"/>
          </w:tcPr>
          <w:p w14:paraId="6F8162D1" w14:textId="77777777" w:rsidR="000851D4" w:rsidRDefault="000851D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117B45">
              <w:rPr>
                <w:noProof/>
                <w:sz w:val="24"/>
                <w:rtl/>
              </w:rPr>
              <w:t>2</w:t>
            </w:r>
            <w:r>
              <w:rPr>
                <w:sz w:val="24"/>
                <w:rtl/>
              </w:rPr>
              <w:fldChar w:fldCharType="end"/>
            </w:r>
          </w:p>
        </w:tc>
        <w:tc>
          <w:tcPr>
            <w:tcW w:w="567" w:type="dxa"/>
          </w:tcPr>
          <w:p w14:paraId="51B8CDC8" w14:textId="77777777" w:rsidR="000851D4" w:rsidRDefault="000851D4">
            <w:pPr>
              <w:spacing w:line="240" w:lineRule="auto"/>
              <w:rPr>
                <w:sz w:val="24"/>
              </w:rPr>
            </w:pPr>
            <w:hyperlink w:anchor="Seif0" w:tooltip="הגדרות" w:history="1">
              <w:r>
                <w:rPr>
                  <w:rStyle w:val="Hyperlink"/>
                </w:rPr>
                <w:t>Go</w:t>
              </w:r>
            </w:hyperlink>
          </w:p>
        </w:tc>
        <w:tc>
          <w:tcPr>
            <w:tcW w:w="5669" w:type="dxa"/>
          </w:tcPr>
          <w:p w14:paraId="39BB5430" w14:textId="77777777" w:rsidR="000851D4" w:rsidRDefault="000851D4">
            <w:pPr>
              <w:spacing w:line="240" w:lineRule="auto"/>
              <w:rPr>
                <w:sz w:val="24"/>
                <w:rtl/>
              </w:rPr>
            </w:pPr>
            <w:r>
              <w:rPr>
                <w:sz w:val="24"/>
                <w:rtl/>
              </w:rPr>
              <w:t>הגדרות</w:t>
            </w:r>
          </w:p>
        </w:tc>
        <w:tc>
          <w:tcPr>
            <w:tcW w:w="1247" w:type="dxa"/>
          </w:tcPr>
          <w:p w14:paraId="629989CE" w14:textId="77777777" w:rsidR="000851D4" w:rsidRDefault="000851D4">
            <w:pPr>
              <w:spacing w:line="240" w:lineRule="auto"/>
              <w:rPr>
                <w:sz w:val="24"/>
              </w:rPr>
            </w:pPr>
            <w:r>
              <w:rPr>
                <w:sz w:val="24"/>
                <w:rtl/>
              </w:rPr>
              <w:t xml:space="preserve">סעיף 1 </w:t>
            </w:r>
          </w:p>
        </w:tc>
      </w:tr>
      <w:tr w:rsidR="000851D4" w14:paraId="6A7A54CB" w14:textId="77777777">
        <w:tblPrEx>
          <w:tblCellMar>
            <w:top w:w="0" w:type="dxa"/>
            <w:bottom w:w="0" w:type="dxa"/>
          </w:tblCellMar>
        </w:tblPrEx>
        <w:tc>
          <w:tcPr>
            <w:tcW w:w="850" w:type="dxa"/>
          </w:tcPr>
          <w:p w14:paraId="76124499" w14:textId="77777777" w:rsidR="000851D4" w:rsidRDefault="000851D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117B45">
              <w:rPr>
                <w:noProof/>
                <w:sz w:val="24"/>
                <w:rtl/>
              </w:rPr>
              <w:t>2</w:t>
            </w:r>
            <w:r>
              <w:rPr>
                <w:sz w:val="24"/>
                <w:rtl/>
              </w:rPr>
              <w:fldChar w:fldCharType="end"/>
            </w:r>
          </w:p>
        </w:tc>
        <w:tc>
          <w:tcPr>
            <w:tcW w:w="567" w:type="dxa"/>
          </w:tcPr>
          <w:p w14:paraId="35DEA130" w14:textId="77777777" w:rsidR="000851D4" w:rsidRDefault="000851D4">
            <w:pPr>
              <w:spacing w:line="240" w:lineRule="auto"/>
              <w:rPr>
                <w:sz w:val="24"/>
              </w:rPr>
            </w:pPr>
            <w:hyperlink w:anchor="Seif1" w:tooltip="חובת המוצא" w:history="1">
              <w:r>
                <w:rPr>
                  <w:rStyle w:val="Hyperlink"/>
                </w:rPr>
                <w:t>Go</w:t>
              </w:r>
            </w:hyperlink>
          </w:p>
        </w:tc>
        <w:tc>
          <w:tcPr>
            <w:tcW w:w="5669" w:type="dxa"/>
          </w:tcPr>
          <w:p w14:paraId="38DA6ECD" w14:textId="77777777" w:rsidR="000851D4" w:rsidRDefault="000851D4">
            <w:pPr>
              <w:spacing w:line="240" w:lineRule="auto"/>
              <w:rPr>
                <w:sz w:val="24"/>
                <w:rtl/>
              </w:rPr>
            </w:pPr>
            <w:r>
              <w:rPr>
                <w:sz w:val="24"/>
                <w:rtl/>
              </w:rPr>
              <w:t>חובת המוצא</w:t>
            </w:r>
          </w:p>
        </w:tc>
        <w:tc>
          <w:tcPr>
            <w:tcW w:w="1247" w:type="dxa"/>
          </w:tcPr>
          <w:p w14:paraId="2ED98970" w14:textId="77777777" w:rsidR="000851D4" w:rsidRDefault="000851D4">
            <w:pPr>
              <w:spacing w:line="240" w:lineRule="auto"/>
              <w:rPr>
                <w:sz w:val="24"/>
              </w:rPr>
            </w:pPr>
            <w:r>
              <w:rPr>
                <w:sz w:val="24"/>
                <w:rtl/>
              </w:rPr>
              <w:t xml:space="preserve">סעיף 2 </w:t>
            </w:r>
          </w:p>
        </w:tc>
      </w:tr>
      <w:tr w:rsidR="000851D4" w14:paraId="33E2E436" w14:textId="77777777">
        <w:tblPrEx>
          <w:tblCellMar>
            <w:top w:w="0" w:type="dxa"/>
            <w:bottom w:w="0" w:type="dxa"/>
          </w:tblCellMar>
        </w:tblPrEx>
        <w:tc>
          <w:tcPr>
            <w:tcW w:w="850" w:type="dxa"/>
          </w:tcPr>
          <w:p w14:paraId="7213D80B" w14:textId="77777777" w:rsidR="000851D4" w:rsidRDefault="000851D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117B45">
              <w:rPr>
                <w:noProof/>
                <w:sz w:val="24"/>
                <w:rtl/>
              </w:rPr>
              <w:t>2</w:t>
            </w:r>
            <w:r>
              <w:rPr>
                <w:sz w:val="24"/>
                <w:rtl/>
              </w:rPr>
              <w:fldChar w:fldCharType="end"/>
            </w:r>
          </w:p>
        </w:tc>
        <w:tc>
          <w:tcPr>
            <w:tcW w:w="567" w:type="dxa"/>
          </w:tcPr>
          <w:p w14:paraId="7E541833" w14:textId="77777777" w:rsidR="000851D4" w:rsidRDefault="000851D4">
            <w:pPr>
              <w:spacing w:line="240" w:lineRule="auto"/>
              <w:rPr>
                <w:sz w:val="24"/>
              </w:rPr>
            </w:pPr>
            <w:hyperlink w:anchor="Seif2" w:tooltip="אבידה שנמצאה ברשות הזולת" w:history="1">
              <w:r>
                <w:rPr>
                  <w:rStyle w:val="Hyperlink"/>
                </w:rPr>
                <w:t>Go</w:t>
              </w:r>
            </w:hyperlink>
          </w:p>
        </w:tc>
        <w:tc>
          <w:tcPr>
            <w:tcW w:w="5669" w:type="dxa"/>
          </w:tcPr>
          <w:p w14:paraId="7B31669E" w14:textId="77777777" w:rsidR="000851D4" w:rsidRDefault="000851D4">
            <w:pPr>
              <w:spacing w:line="240" w:lineRule="auto"/>
              <w:rPr>
                <w:sz w:val="24"/>
                <w:rtl/>
              </w:rPr>
            </w:pPr>
            <w:r>
              <w:rPr>
                <w:sz w:val="24"/>
                <w:rtl/>
              </w:rPr>
              <w:t>אבידה שנמצאה ברשות הזולת</w:t>
            </w:r>
          </w:p>
        </w:tc>
        <w:tc>
          <w:tcPr>
            <w:tcW w:w="1247" w:type="dxa"/>
          </w:tcPr>
          <w:p w14:paraId="313AB29C" w14:textId="77777777" w:rsidR="000851D4" w:rsidRDefault="000851D4">
            <w:pPr>
              <w:spacing w:line="240" w:lineRule="auto"/>
              <w:rPr>
                <w:sz w:val="24"/>
              </w:rPr>
            </w:pPr>
            <w:r>
              <w:rPr>
                <w:sz w:val="24"/>
                <w:rtl/>
              </w:rPr>
              <w:t xml:space="preserve">סעיף 3 </w:t>
            </w:r>
          </w:p>
        </w:tc>
      </w:tr>
      <w:tr w:rsidR="000851D4" w14:paraId="78AAAAA7" w14:textId="77777777">
        <w:tblPrEx>
          <w:tblCellMar>
            <w:top w:w="0" w:type="dxa"/>
            <w:bottom w:w="0" w:type="dxa"/>
          </w:tblCellMar>
        </w:tblPrEx>
        <w:tc>
          <w:tcPr>
            <w:tcW w:w="850" w:type="dxa"/>
          </w:tcPr>
          <w:p w14:paraId="2259C7C8" w14:textId="77777777" w:rsidR="000851D4" w:rsidRDefault="000851D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117B45">
              <w:rPr>
                <w:noProof/>
                <w:sz w:val="24"/>
                <w:rtl/>
              </w:rPr>
              <w:t>2</w:t>
            </w:r>
            <w:r>
              <w:rPr>
                <w:sz w:val="24"/>
                <w:rtl/>
              </w:rPr>
              <w:fldChar w:fldCharType="end"/>
            </w:r>
          </w:p>
        </w:tc>
        <w:tc>
          <w:tcPr>
            <w:tcW w:w="567" w:type="dxa"/>
          </w:tcPr>
          <w:p w14:paraId="6952072A" w14:textId="77777777" w:rsidR="000851D4" w:rsidRDefault="000851D4">
            <w:pPr>
              <w:spacing w:line="240" w:lineRule="auto"/>
              <w:rPr>
                <w:sz w:val="24"/>
              </w:rPr>
            </w:pPr>
            <w:hyperlink w:anchor="Seif3" w:tooltip="אבידה שלא נתגלה בעלה" w:history="1">
              <w:r>
                <w:rPr>
                  <w:rStyle w:val="Hyperlink"/>
                </w:rPr>
                <w:t>Go</w:t>
              </w:r>
            </w:hyperlink>
          </w:p>
        </w:tc>
        <w:tc>
          <w:tcPr>
            <w:tcW w:w="5669" w:type="dxa"/>
          </w:tcPr>
          <w:p w14:paraId="0AE9C95A" w14:textId="77777777" w:rsidR="000851D4" w:rsidRDefault="000851D4">
            <w:pPr>
              <w:spacing w:line="240" w:lineRule="auto"/>
              <w:rPr>
                <w:sz w:val="24"/>
                <w:rtl/>
              </w:rPr>
            </w:pPr>
            <w:r>
              <w:rPr>
                <w:sz w:val="24"/>
                <w:rtl/>
              </w:rPr>
              <w:t>אבידה שלא נתגלה בעלה</w:t>
            </w:r>
          </w:p>
        </w:tc>
        <w:tc>
          <w:tcPr>
            <w:tcW w:w="1247" w:type="dxa"/>
          </w:tcPr>
          <w:p w14:paraId="45DE352C" w14:textId="77777777" w:rsidR="000851D4" w:rsidRDefault="000851D4">
            <w:pPr>
              <w:spacing w:line="240" w:lineRule="auto"/>
              <w:rPr>
                <w:sz w:val="24"/>
              </w:rPr>
            </w:pPr>
            <w:r>
              <w:rPr>
                <w:sz w:val="24"/>
                <w:rtl/>
              </w:rPr>
              <w:t xml:space="preserve">סעיף 4 </w:t>
            </w:r>
          </w:p>
        </w:tc>
      </w:tr>
      <w:tr w:rsidR="000851D4" w14:paraId="3CE249D2" w14:textId="77777777">
        <w:tblPrEx>
          <w:tblCellMar>
            <w:top w:w="0" w:type="dxa"/>
            <w:bottom w:w="0" w:type="dxa"/>
          </w:tblCellMar>
        </w:tblPrEx>
        <w:tc>
          <w:tcPr>
            <w:tcW w:w="850" w:type="dxa"/>
          </w:tcPr>
          <w:p w14:paraId="4661C86C" w14:textId="77777777" w:rsidR="000851D4" w:rsidRDefault="000851D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117B45">
              <w:rPr>
                <w:noProof/>
                <w:sz w:val="24"/>
                <w:rtl/>
              </w:rPr>
              <w:t>2</w:t>
            </w:r>
            <w:r>
              <w:rPr>
                <w:sz w:val="24"/>
                <w:rtl/>
              </w:rPr>
              <w:fldChar w:fldCharType="end"/>
            </w:r>
          </w:p>
        </w:tc>
        <w:tc>
          <w:tcPr>
            <w:tcW w:w="567" w:type="dxa"/>
          </w:tcPr>
          <w:p w14:paraId="3052A589" w14:textId="77777777" w:rsidR="000851D4" w:rsidRDefault="000851D4">
            <w:pPr>
              <w:spacing w:line="240" w:lineRule="auto"/>
              <w:rPr>
                <w:sz w:val="24"/>
              </w:rPr>
            </w:pPr>
            <w:hyperlink w:anchor="Seif4" w:tooltip="פדיון האבידה" w:history="1">
              <w:r>
                <w:rPr>
                  <w:rStyle w:val="Hyperlink"/>
                </w:rPr>
                <w:t>Go</w:t>
              </w:r>
            </w:hyperlink>
          </w:p>
        </w:tc>
        <w:tc>
          <w:tcPr>
            <w:tcW w:w="5669" w:type="dxa"/>
          </w:tcPr>
          <w:p w14:paraId="6DA54B7D" w14:textId="77777777" w:rsidR="000851D4" w:rsidRDefault="000851D4">
            <w:pPr>
              <w:spacing w:line="240" w:lineRule="auto"/>
              <w:rPr>
                <w:sz w:val="24"/>
                <w:rtl/>
              </w:rPr>
            </w:pPr>
            <w:r>
              <w:rPr>
                <w:sz w:val="24"/>
                <w:rtl/>
              </w:rPr>
              <w:t>פדיון האבידה</w:t>
            </w:r>
          </w:p>
        </w:tc>
        <w:tc>
          <w:tcPr>
            <w:tcW w:w="1247" w:type="dxa"/>
          </w:tcPr>
          <w:p w14:paraId="794DE8A0" w14:textId="77777777" w:rsidR="000851D4" w:rsidRDefault="000851D4">
            <w:pPr>
              <w:spacing w:line="240" w:lineRule="auto"/>
              <w:rPr>
                <w:sz w:val="24"/>
              </w:rPr>
            </w:pPr>
            <w:r>
              <w:rPr>
                <w:sz w:val="24"/>
                <w:rtl/>
              </w:rPr>
              <w:t xml:space="preserve">סעיף 5 </w:t>
            </w:r>
          </w:p>
        </w:tc>
      </w:tr>
      <w:tr w:rsidR="000851D4" w14:paraId="1B3406C9" w14:textId="77777777">
        <w:tblPrEx>
          <w:tblCellMar>
            <w:top w:w="0" w:type="dxa"/>
            <w:bottom w:w="0" w:type="dxa"/>
          </w:tblCellMar>
        </w:tblPrEx>
        <w:tc>
          <w:tcPr>
            <w:tcW w:w="850" w:type="dxa"/>
          </w:tcPr>
          <w:p w14:paraId="5036D554" w14:textId="77777777" w:rsidR="000851D4" w:rsidRDefault="000851D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117B45">
              <w:rPr>
                <w:noProof/>
                <w:sz w:val="24"/>
                <w:rtl/>
              </w:rPr>
              <w:t>2</w:t>
            </w:r>
            <w:r>
              <w:rPr>
                <w:sz w:val="24"/>
                <w:rtl/>
              </w:rPr>
              <w:fldChar w:fldCharType="end"/>
            </w:r>
          </w:p>
        </w:tc>
        <w:tc>
          <w:tcPr>
            <w:tcW w:w="567" w:type="dxa"/>
          </w:tcPr>
          <w:p w14:paraId="62A2E1C3" w14:textId="77777777" w:rsidR="000851D4" w:rsidRDefault="000851D4">
            <w:pPr>
              <w:spacing w:line="240" w:lineRule="auto"/>
              <w:rPr>
                <w:sz w:val="24"/>
              </w:rPr>
            </w:pPr>
            <w:hyperlink w:anchor="Seif5" w:tooltip="מכירת האבידה" w:history="1">
              <w:r>
                <w:rPr>
                  <w:rStyle w:val="Hyperlink"/>
                </w:rPr>
                <w:t>Go</w:t>
              </w:r>
            </w:hyperlink>
          </w:p>
        </w:tc>
        <w:tc>
          <w:tcPr>
            <w:tcW w:w="5669" w:type="dxa"/>
          </w:tcPr>
          <w:p w14:paraId="1DBBE569" w14:textId="77777777" w:rsidR="000851D4" w:rsidRDefault="000851D4">
            <w:pPr>
              <w:spacing w:line="240" w:lineRule="auto"/>
              <w:rPr>
                <w:sz w:val="24"/>
                <w:rtl/>
              </w:rPr>
            </w:pPr>
            <w:r>
              <w:rPr>
                <w:sz w:val="24"/>
                <w:rtl/>
              </w:rPr>
              <w:t>מכירת האבידה</w:t>
            </w:r>
          </w:p>
        </w:tc>
        <w:tc>
          <w:tcPr>
            <w:tcW w:w="1247" w:type="dxa"/>
          </w:tcPr>
          <w:p w14:paraId="4C5CB261" w14:textId="77777777" w:rsidR="000851D4" w:rsidRDefault="000851D4">
            <w:pPr>
              <w:spacing w:line="240" w:lineRule="auto"/>
              <w:rPr>
                <w:sz w:val="24"/>
              </w:rPr>
            </w:pPr>
            <w:r>
              <w:rPr>
                <w:sz w:val="24"/>
                <w:rtl/>
              </w:rPr>
              <w:t xml:space="preserve">סעיף 6 </w:t>
            </w:r>
          </w:p>
        </w:tc>
      </w:tr>
      <w:tr w:rsidR="000851D4" w14:paraId="7C30CC60" w14:textId="77777777">
        <w:tblPrEx>
          <w:tblCellMar>
            <w:top w:w="0" w:type="dxa"/>
            <w:bottom w:w="0" w:type="dxa"/>
          </w:tblCellMar>
        </w:tblPrEx>
        <w:tc>
          <w:tcPr>
            <w:tcW w:w="850" w:type="dxa"/>
          </w:tcPr>
          <w:p w14:paraId="35F514CD" w14:textId="77777777" w:rsidR="000851D4" w:rsidRDefault="000851D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117B45">
              <w:rPr>
                <w:noProof/>
                <w:sz w:val="24"/>
                <w:rtl/>
              </w:rPr>
              <w:t>2</w:t>
            </w:r>
            <w:r>
              <w:rPr>
                <w:sz w:val="24"/>
                <w:rtl/>
              </w:rPr>
              <w:fldChar w:fldCharType="end"/>
            </w:r>
          </w:p>
        </w:tc>
        <w:tc>
          <w:tcPr>
            <w:tcW w:w="567" w:type="dxa"/>
          </w:tcPr>
          <w:p w14:paraId="162BD6C4" w14:textId="77777777" w:rsidR="000851D4" w:rsidRDefault="000851D4">
            <w:pPr>
              <w:spacing w:line="240" w:lineRule="auto"/>
              <w:rPr>
                <w:sz w:val="24"/>
              </w:rPr>
            </w:pPr>
            <w:hyperlink w:anchor="Seif6" w:tooltip="נכס שהוזנח" w:history="1">
              <w:r>
                <w:rPr>
                  <w:rStyle w:val="Hyperlink"/>
                </w:rPr>
                <w:t>Go</w:t>
              </w:r>
            </w:hyperlink>
          </w:p>
        </w:tc>
        <w:tc>
          <w:tcPr>
            <w:tcW w:w="5669" w:type="dxa"/>
          </w:tcPr>
          <w:p w14:paraId="2ADACBF6" w14:textId="77777777" w:rsidR="000851D4" w:rsidRDefault="000851D4">
            <w:pPr>
              <w:spacing w:line="240" w:lineRule="auto"/>
              <w:rPr>
                <w:sz w:val="24"/>
                <w:rtl/>
              </w:rPr>
            </w:pPr>
            <w:r>
              <w:rPr>
                <w:sz w:val="24"/>
                <w:rtl/>
              </w:rPr>
              <w:t>נכס שהוזנח</w:t>
            </w:r>
          </w:p>
        </w:tc>
        <w:tc>
          <w:tcPr>
            <w:tcW w:w="1247" w:type="dxa"/>
          </w:tcPr>
          <w:p w14:paraId="26CF5D08" w14:textId="77777777" w:rsidR="000851D4" w:rsidRDefault="000851D4">
            <w:pPr>
              <w:spacing w:line="240" w:lineRule="auto"/>
              <w:rPr>
                <w:sz w:val="24"/>
              </w:rPr>
            </w:pPr>
            <w:r>
              <w:rPr>
                <w:sz w:val="24"/>
                <w:rtl/>
              </w:rPr>
              <w:t xml:space="preserve">סעיף 7 </w:t>
            </w:r>
          </w:p>
        </w:tc>
      </w:tr>
      <w:tr w:rsidR="000851D4" w14:paraId="1200299F" w14:textId="77777777">
        <w:tblPrEx>
          <w:tblCellMar>
            <w:top w:w="0" w:type="dxa"/>
            <w:bottom w:w="0" w:type="dxa"/>
          </w:tblCellMar>
        </w:tblPrEx>
        <w:tc>
          <w:tcPr>
            <w:tcW w:w="850" w:type="dxa"/>
          </w:tcPr>
          <w:p w14:paraId="771D8239" w14:textId="77777777" w:rsidR="000851D4" w:rsidRDefault="000851D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117B45">
              <w:rPr>
                <w:noProof/>
                <w:sz w:val="24"/>
                <w:rtl/>
              </w:rPr>
              <w:t>2</w:t>
            </w:r>
            <w:r>
              <w:rPr>
                <w:sz w:val="24"/>
                <w:rtl/>
              </w:rPr>
              <w:fldChar w:fldCharType="end"/>
            </w:r>
          </w:p>
        </w:tc>
        <w:tc>
          <w:tcPr>
            <w:tcW w:w="567" w:type="dxa"/>
          </w:tcPr>
          <w:p w14:paraId="4219AE95" w14:textId="77777777" w:rsidR="000851D4" w:rsidRDefault="000851D4">
            <w:pPr>
              <w:spacing w:line="240" w:lineRule="auto"/>
              <w:rPr>
                <w:sz w:val="24"/>
              </w:rPr>
            </w:pPr>
            <w:hyperlink w:anchor="Seif7" w:tooltip="נכס של נעדר" w:history="1">
              <w:r>
                <w:rPr>
                  <w:rStyle w:val="Hyperlink"/>
                </w:rPr>
                <w:t>Go</w:t>
              </w:r>
            </w:hyperlink>
          </w:p>
        </w:tc>
        <w:tc>
          <w:tcPr>
            <w:tcW w:w="5669" w:type="dxa"/>
          </w:tcPr>
          <w:p w14:paraId="6E4B56EE" w14:textId="77777777" w:rsidR="000851D4" w:rsidRDefault="000851D4">
            <w:pPr>
              <w:spacing w:line="240" w:lineRule="auto"/>
              <w:rPr>
                <w:sz w:val="24"/>
                <w:rtl/>
              </w:rPr>
            </w:pPr>
            <w:r>
              <w:rPr>
                <w:sz w:val="24"/>
                <w:rtl/>
              </w:rPr>
              <w:t>נכס של נעדר</w:t>
            </w:r>
          </w:p>
        </w:tc>
        <w:tc>
          <w:tcPr>
            <w:tcW w:w="1247" w:type="dxa"/>
          </w:tcPr>
          <w:p w14:paraId="5B52C944" w14:textId="77777777" w:rsidR="000851D4" w:rsidRDefault="000851D4">
            <w:pPr>
              <w:spacing w:line="240" w:lineRule="auto"/>
              <w:rPr>
                <w:sz w:val="24"/>
              </w:rPr>
            </w:pPr>
            <w:r>
              <w:rPr>
                <w:sz w:val="24"/>
                <w:rtl/>
              </w:rPr>
              <w:t xml:space="preserve">סעיף 8 </w:t>
            </w:r>
          </w:p>
        </w:tc>
      </w:tr>
      <w:tr w:rsidR="000851D4" w14:paraId="59516021" w14:textId="77777777">
        <w:tblPrEx>
          <w:tblCellMar>
            <w:top w:w="0" w:type="dxa"/>
            <w:bottom w:w="0" w:type="dxa"/>
          </w:tblCellMar>
        </w:tblPrEx>
        <w:tc>
          <w:tcPr>
            <w:tcW w:w="850" w:type="dxa"/>
          </w:tcPr>
          <w:p w14:paraId="2B496C2A" w14:textId="77777777" w:rsidR="000851D4" w:rsidRDefault="000851D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117B45">
              <w:rPr>
                <w:noProof/>
                <w:sz w:val="24"/>
                <w:rtl/>
              </w:rPr>
              <w:t>3</w:t>
            </w:r>
            <w:r>
              <w:rPr>
                <w:sz w:val="24"/>
                <w:rtl/>
              </w:rPr>
              <w:fldChar w:fldCharType="end"/>
            </w:r>
          </w:p>
        </w:tc>
        <w:tc>
          <w:tcPr>
            <w:tcW w:w="567" w:type="dxa"/>
          </w:tcPr>
          <w:p w14:paraId="3AC751F6" w14:textId="77777777" w:rsidR="000851D4" w:rsidRDefault="000851D4">
            <w:pPr>
              <w:spacing w:line="240" w:lineRule="auto"/>
              <w:rPr>
                <w:sz w:val="24"/>
              </w:rPr>
            </w:pPr>
            <w:hyperlink w:anchor="Seif8" w:tooltip="עבירות" w:history="1">
              <w:r>
                <w:rPr>
                  <w:rStyle w:val="Hyperlink"/>
                </w:rPr>
                <w:t>Go</w:t>
              </w:r>
            </w:hyperlink>
          </w:p>
        </w:tc>
        <w:tc>
          <w:tcPr>
            <w:tcW w:w="5669" w:type="dxa"/>
          </w:tcPr>
          <w:p w14:paraId="0BA027E2" w14:textId="77777777" w:rsidR="000851D4" w:rsidRDefault="000851D4">
            <w:pPr>
              <w:spacing w:line="240" w:lineRule="auto"/>
              <w:rPr>
                <w:sz w:val="24"/>
                <w:rtl/>
              </w:rPr>
            </w:pPr>
            <w:r>
              <w:rPr>
                <w:sz w:val="24"/>
                <w:rtl/>
              </w:rPr>
              <w:t>עבירות</w:t>
            </w:r>
          </w:p>
        </w:tc>
        <w:tc>
          <w:tcPr>
            <w:tcW w:w="1247" w:type="dxa"/>
          </w:tcPr>
          <w:p w14:paraId="1A26B097" w14:textId="77777777" w:rsidR="000851D4" w:rsidRDefault="000851D4">
            <w:pPr>
              <w:spacing w:line="240" w:lineRule="auto"/>
              <w:rPr>
                <w:sz w:val="24"/>
              </w:rPr>
            </w:pPr>
            <w:r>
              <w:rPr>
                <w:sz w:val="24"/>
                <w:rtl/>
              </w:rPr>
              <w:t xml:space="preserve">סעיף 9 </w:t>
            </w:r>
          </w:p>
        </w:tc>
      </w:tr>
      <w:tr w:rsidR="000851D4" w14:paraId="2EBF99FD" w14:textId="77777777">
        <w:tblPrEx>
          <w:tblCellMar>
            <w:top w:w="0" w:type="dxa"/>
            <w:bottom w:w="0" w:type="dxa"/>
          </w:tblCellMar>
        </w:tblPrEx>
        <w:tc>
          <w:tcPr>
            <w:tcW w:w="850" w:type="dxa"/>
          </w:tcPr>
          <w:p w14:paraId="21E1B293" w14:textId="77777777" w:rsidR="000851D4" w:rsidRDefault="000851D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117B45">
              <w:rPr>
                <w:noProof/>
                <w:sz w:val="24"/>
                <w:rtl/>
              </w:rPr>
              <w:t>3</w:t>
            </w:r>
            <w:r>
              <w:rPr>
                <w:sz w:val="24"/>
                <w:rtl/>
              </w:rPr>
              <w:fldChar w:fldCharType="end"/>
            </w:r>
          </w:p>
        </w:tc>
        <w:tc>
          <w:tcPr>
            <w:tcW w:w="567" w:type="dxa"/>
          </w:tcPr>
          <w:p w14:paraId="6A8C6A0C" w14:textId="77777777" w:rsidR="000851D4" w:rsidRDefault="000851D4">
            <w:pPr>
              <w:spacing w:line="240" w:lineRule="auto"/>
              <w:rPr>
                <w:sz w:val="24"/>
              </w:rPr>
            </w:pPr>
            <w:hyperlink w:anchor="Seif9" w:tooltip="אצילת תפקידים וסמכויות" w:history="1">
              <w:r>
                <w:rPr>
                  <w:rStyle w:val="Hyperlink"/>
                </w:rPr>
                <w:t>Go</w:t>
              </w:r>
            </w:hyperlink>
          </w:p>
        </w:tc>
        <w:tc>
          <w:tcPr>
            <w:tcW w:w="5669" w:type="dxa"/>
          </w:tcPr>
          <w:p w14:paraId="27CD347D" w14:textId="77777777" w:rsidR="000851D4" w:rsidRDefault="000851D4">
            <w:pPr>
              <w:spacing w:line="240" w:lineRule="auto"/>
              <w:rPr>
                <w:sz w:val="24"/>
                <w:rtl/>
              </w:rPr>
            </w:pPr>
            <w:r>
              <w:rPr>
                <w:sz w:val="24"/>
                <w:rtl/>
              </w:rPr>
              <w:t>אצילת תפקידים וסמכויות</w:t>
            </w:r>
          </w:p>
        </w:tc>
        <w:tc>
          <w:tcPr>
            <w:tcW w:w="1247" w:type="dxa"/>
          </w:tcPr>
          <w:p w14:paraId="066368FE" w14:textId="77777777" w:rsidR="000851D4" w:rsidRDefault="000851D4">
            <w:pPr>
              <w:spacing w:line="240" w:lineRule="auto"/>
              <w:rPr>
                <w:sz w:val="24"/>
              </w:rPr>
            </w:pPr>
            <w:r>
              <w:rPr>
                <w:sz w:val="24"/>
                <w:rtl/>
              </w:rPr>
              <w:t xml:space="preserve">סעיף 10 </w:t>
            </w:r>
          </w:p>
        </w:tc>
      </w:tr>
      <w:tr w:rsidR="000851D4" w14:paraId="47B6FDFA" w14:textId="77777777">
        <w:tblPrEx>
          <w:tblCellMar>
            <w:top w:w="0" w:type="dxa"/>
            <w:bottom w:w="0" w:type="dxa"/>
          </w:tblCellMar>
        </w:tblPrEx>
        <w:tc>
          <w:tcPr>
            <w:tcW w:w="850" w:type="dxa"/>
          </w:tcPr>
          <w:p w14:paraId="07833DDB" w14:textId="77777777" w:rsidR="000851D4" w:rsidRDefault="000851D4">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117B45">
              <w:rPr>
                <w:noProof/>
                <w:sz w:val="24"/>
                <w:rtl/>
              </w:rPr>
              <w:t>3</w:t>
            </w:r>
            <w:r>
              <w:rPr>
                <w:sz w:val="24"/>
                <w:rtl/>
              </w:rPr>
              <w:fldChar w:fldCharType="end"/>
            </w:r>
          </w:p>
        </w:tc>
        <w:tc>
          <w:tcPr>
            <w:tcW w:w="567" w:type="dxa"/>
          </w:tcPr>
          <w:p w14:paraId="50E89DD9" w14:textId="77777777" w:rsidR="000851D4" w:rsidRDefault="000851D4">
            <w:pPr>
              <w:spacing w:line="240" w:lineRule="auto"/>
              <w:rPr>
                <w:sz w:val="24"/>
              </w:rPr>
            </w:pPr>
            <w:hyperlink w:anchor="Seif10" w:tooltip="ביצוע ותקנות" w:history="1">
              <w:r>
                <w:rPr>
                  <w:rStyle w:val="Hyperlink"/>
                </w:rPr>
                <w:t>Go</w:t>
              </w:r>
            </w:hyperlink>
          </w:p>
        </w:tc>
        <w:tc>
          <w:tcPr>
            <w:tcW w:w="5669" w:type="dxa"/>
          </w:tcPr>
          <w:p w14:paraId="06FC7CE1" w14:textId="77777777" w:rsidR="000851D4" w:rsidRDefault="000851D4">
            <w:pPr>
              <w:spacing w:line="240" w:lineRule="auto"/>
              <w:rPr>
                <w:sz w:val="24"/>
                <w:rtl/>
              </w:rPr>
            </w:pPr>
            <w:r>
              <w:rPr>
                <w:sz w:val="24"/>
                <w:rtl/>
              </w:rPr>
              <w:t>ביצוע ותקנות</w:t>
            </w:r>
          </w:p>
        </w:tc>
        <w:tc>
          <w:tcPr>
            <w:tcW w:w="1247" w:type="dxa"/>
          </w:tcPr>
          <w:p w14:paraId="1F4F7E8F" w14:textId="77777777" w:rsidR="000851D4" w:rsidRDefault="000851D4">
            <w:pPr>
              <w:spacing w:line="240" w:lineRule="auto"/>
              <w:rPr>
                <w:sz w:val="24"/>
              </w:rPr>
            </w:pPr>
            <w:r>
              <w:rPr>
                <w:sz w:val="24"/>
                <w:rtl/>
              </w:rPr>
              <w:t xml:space="preserve">סעיף 11 </w:t>
            </w:r>
          </w:p>
        </w:tc>
      </w:tr>
      <w:tr w:rsidR="000851D4" w14:paraId="2CF6EBC1" w14:textId="77777777">
        <w:tblPrEx>
          <w:tblCellMar>
            <w:top w:w="0" w:type="dxa"/>
            <w:bottom w:w="0" w:type="dxa"/>
          </w:tblCellMar>
        </w:tblPrEx>
        <w:tc>
          <w:tcPr>
            <w:tcW w:w="850" w:type="dxa"/>
          </w:tcPr>
          <w:p w14:paraId="523A4B57" w14:textId="77777777" w:rsidR="000851D4" w:rsidRDefault="000851D4">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117B45">
              <w:rPr>
                <w:noProof/>
                <w:sz w:val="24"/>
                <w:rtl/>
              </w:rPr>
              <w:t>3</w:t>
            </w:r>
            <w:r>
              <w:rPr>
                <w:sz w:val="24"/>
                <w:rtl/>
              </w:rPr>
              <w:fldChar w:fldCharType="end"/>
            </w:r>
          </w:p>
        </w:tc>
        <w:tc>
          <w:tcPr>
            <w:tcW w:w="567" w:type="dxa"/>
          </w:tcPr>
          <w:p w14:paraId="21693B8C" w14:textId="77777777" w:rsidR="000851D4" w:rsidRDefault="000851D4">
            <w:pPr>
              <w:spacing w:line="240" w:lineRule="auto"/>
              <w:rPr>
                <w:sz w:val="24"/>
              </w:rPr>
            </w:pPr>
            <w:hyperlink w:anchor="Seif11" w:tooltip="תחולה" w:history="1">
              <w:r>
                <w:rPr>
                  <w:rStyle w:val="Hyperlink"/>
                </w:rPr>
                <w:t>Go</w:t>
              </w:r>
            </w:hyperlink>
          </w:p>
        </w:tc>
        <w:tc>
          <w:tcPr>
            <w:tcW w:w="5669" w:type="dxa"/>
          </w:tcPr>
          <w:p w14:paraId="5D1E35C3" w14:textId="77777777" w:rsidR="000851D4" w:rsidRDefault="000851D4">
            <w:pPr>
              <w:spacing w:line="240" w:lineRule="auto"/>
              <w:rPr>
                <w:sz w:val="24"/>
                <w:rtl/>
              </w:rPr>
            </w:pPr>
            <w:r>
              <w:rPr>
                <w:sz w:val="24"/>
                <w:rtl/>
              </w:rPr>
              <w:t>תחולה</w:t>
            </w:r>
          </w:p>
        </w:tc>
        <w:tc>
          <w:tcPr>
            <w:tcW w:w="1247" w:type="dxa"/>
          </w:tcPr>
          <w:p w14:paraId="6B0153C0" w14:textId="77777777" w:rsidR="000851D4" w:rsidRDefault="000851D4">
            <w:pPr>
              <w:spacing w:line="240" w:lineRule="auto"/>
              <w:rPr>
                <w:sz w:val="24"/>
              </w:rPr>
            </w:pPr>
            <w:r>
              <w:rPr>
                <w:sz w:val="24"/>
                <w:rtl/>
              </w:rPr>
              <w:t xml:space="preserve">סעיף 12 </w:t>
            </w:r>
          </w:p>
        </w:tc>
      </w:tr>
      <w:tr w:rsidR="000851D4" w14:paraId="560D2BC3" w14:textId="77777777">
        <w:tblPrEx>
          <w:tblCellMar>
            <w:top w:w="0" w:type="dxa"/>
            <w:bottom w:w="0" w:type="dxa"/>
          </w:tblCellMar>
        </w:tblPrEx>
        <w:tc>
          <w:tcPr>
            <w:tcW w:w="850" w:type="dxa"/>
          </w:tcPr>
          <w:p w14:paraId="17BF2076" w14:textId="77777777" w:rsidR="000851D4" w:rsidRDefault="000851D4">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117B45">
              <w:rPr>
                <w:noProof/>
                <w:sz w:val="24"/>
                <w:rtl/>
              </w:rPr>
              <w:t>3</w:t>
            </w:r>
            <w:r>
              <w:rPr>
                <w:sz w:val="24"/>
                <w:rtl/>
              </w:rPr>
              <w:fldChar w:fldCharType="end"/>
            </w:r>
          </w:p>
        </w:tc>
        <w:tc>
          <w:tcPr>
            <w:tcW w:w="567" w:type="dxa"/>
          </w:tcPr>
          <w:p w14:paraId="1A4CFE13" w14:textId="77777777" w:rsidR="000851D4" w:rsidRDefault="000851D4">
            <w:pPr>
              <w:spacing w:line="240" w:lineRule="auto"/>
              <w:rPr>
                <w:sz w:val="24"/>
              </w:rPr>
            </w:pPr>
            <w:hyperlink w:anchor="Seif12" w:tooltip="ביטולים" w:history="1">
              <w:r>
                <w:rPr>
                  <w:rStyle w:val="Hyperlink"/>
                </w:rPr>
                <w:t>Go</w:t>
              </w:r>
            </w:hyperlink>
          </w:p>
        </w:tc>
        <w:tc>
          <w:tcPr>
            <w:tcW w:w="5669" w:type="dxa"/>
          </w:tcPr>
          <w:p w14:paraId="16BBE304" w14:textId="77777777" w:rsidR="000851D4" w:rsidRDefault="000851D4">
            <w:pPr>
              <w:spacing w:line="240" w:lineRule="auto"/>
              <w:rPr>
                <w:sz w:val="24"/>
                <w:rtl/>
              </w:rPr>
            </w:pPr>
            <w:r>
              <w:rPr>
                <w:sz w:val="24"/>
                <w:rtl/>
              </w:rPr>
              <w:t>ביטולים</w:t>
            </w:r>
          </w:p>
        </w:tc>
        <w:tc>
          <w:tcPr>
            <w:tcW w:w="1247" w:type="dxa"/>
          </w:tcPr>
          <w:p w14:paraId="4100C833" w14:textId="77777777" w:rsidR="000851D4" w:rsidRDefault="000851D4">
            <w:pPr>
              <w:spacing w:line="240" w:lineRule="auto"/>
              <w:rPr>
                <w:sz w:val="24"/>
              </w:rPr>
            </w:pPr>
            <w:r>
              <w:rPr>
                <w:sz w:val="24"/>
                <w:rtl/>
              </w:rPr>
              <w:t xml:space="preserve">סעיף 13 </w:t>
            </w:r>
          </w:p>
        </w:tc>
      </w:tr>
      <w:tr w:rsidR="000851D4" w14:paraId="7E5C534A" w14:textId="77777777">
        <w:tblPrEx>
          <w:tblCellMar>
            <w:top w:w="0" w:type="dxa"/>
            <w:bottom w:w="0" w:type="dxa"/>
          </w:tblCellMar>
        </w:tblPrEx>
        <w:tc>
          <w:tcPr>
            <w:tcW w:w="850" w:type="dxa"/>
          </w:tcPr>
          <w:p w14:paraId="5254AC82" w14:textId="77777777" w:rsidR="000851D4" w:rsidRDefault="000851D4">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117B45">
              <w:rPr>
                <w:noProof/>
                <w:sz w:val="24"/>
                <w:rtl/>
              </w:rPr>
              <w:t>3</w:t>
            </w:r>
            <w:r>
              <w:rPr>
                <w:sz w:val="24"/>
                <w:rtl/>
              </w:rPr>
              <w:fldChar w:fldCharType="end"/>
            </w:r>
          </w:p>
        </w:tc>
        <w:tc>
          <w:tcPr>
            <w:tcW w:w="567" w:type="dxa"/>
          </w:tcPr>
          <w:p w14:paraId="156ADACF" w14:textId="77777777" w:rsidR="000851D4" w:rsidRDefault="000851D4">
            <w:pPr>
              <w:spacing w:line="240" w:lineRule="auto"/>
              <w:rPr>
                <w:sz w:val="24"/>
              </w:rPr>
            </w:pPr>
            <w:hyperlink w:anchor="Seif13" w:tooltip="תחילה" w:history="1">
              <w:r>
                <w:rPr>
                  <w:rStyle w:val="Hyperlink"/>
                </w:rPr>
                <w:t>Go</w:t>
              </w:r>
            </w:hyperlink>
          </w:p>
        </w:tc>
        <w:tc>
          <w:tcPr>
            <w:tcW w:w="5669" w:type="dxa"/>
          </w:tcPr>
          <w:p w14:paraId="3F58FA09" w14:textId="77777777" w:rsidR="000851D4" w:rsidRDefault="000851D4">
            <w:pPr>
              <w:spacing w:line="240" w:lineRule="auto"/>
              <w:rPr>
                <w:sz w:val="24"/>
                <w:rtl/>
              </w:rPr>
            </w:pPr>
            <w:r>
              <w:rPr>
                <w:sz w:val="24"/>
                <w:rtl/>
              </w:rPr>
              <w:t>תחילה</w:t>
            </w:r>
          </w:p>
        </w:tc>
        <w:tc>
          <w:tcPr>
            <w:tcW w:w="1247" w:type="dxa"/>
          </w:tcPr>
          <w:p w14:paraId="537D0602" w14:textId="77777777" w:rsidR="000851D4" w:rsidRDefault="000851D4">
            <w:pPr>
              <w:spacing w:line="240" w:lineRule="auto"/>
              <w:rPr>
                <w:sz w:val="24"/>
              </w:rPr>
            </w:pPr>
            <w:r>
              <w:rPr>
                <w:sz w:val="24"/>
                <w:rtl/>
              </w:rPr>
              <w:t xml:space="preserve">סעיף 14 </w:t>
            </w:r>
          </w:p>
        </w:tc>
      </w:tr>
    </w:tbl>
    <w:p w14:paraId="36F4328C" w14:textId="77777777" w:rsidR="000851D4" w:rsidRDefault="000851D4">
      <w:pPr>
        <w:pStyle w:val="big-header"/>
        <w:ind w:left="0" w:right="1134"/>
        <w:rPr>
          <w:rFonts w:cs="FrankRuehl"/>
          <w:sz w:val="32"/>
          <w:rtl/>
        </w:rPr>
      </w:pPr>
    </w:p>
    <w:p w14:paraId="5143F7A8" w14:textId="77777777" w:rsidR="000851D4" w:rsidRDefault="000851D4" w:rsidP="001C6802">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השבת אבידה, תשל"ג</w:t>
      </w:r>
      <w:r w:rsidR="00117B45">
        <w:rPr>
          <w:rFonts w:cs="FrankRuehl" w:hint="cs"/>
          <w:sz w:val="32"/>
          <w:rtl/>
        </w:rPr>
        <w:t>-</w:t>
      </w:r>
      <w:r>
        <w:rPr>
          <w:rFonts w:cs="FrankRuehl"/>
          <w:sz w:val="32"/>
          <w:rtl/>
        </w:rPr>
        <w:t>1973</w:t>
      </w:r>
      <w:r w:rsidR="00117B45">
        <w:rPr>
          <w:rStyle w:val="a6"/>
          <w:rFonts w:cs="FrankRuehl"/>
          <w:sz w:val="32"/>
          <w:rtl/>
        </w:rPr>
        <w:footnoteReference w:customMarkFollows="1" w:id="1"/>
        <w:t>*</w:t>
      </w:r>
    </w:p>
    <w:p w14:paraId="3780B6DB" w14:textId="77777777" w:rsidR="000851D4" w:rsidRDefault="000851D4">
      <w:pPr>
        <w:pStyle w:val="P00"/>
        <w:spacing w:before="72"/>
        <w:ind w:left="0" w:right="1134"/>
        <w:rPr>
          <w:rStyle w:val="default"/>
          <w:rFonts w:cs="FrankRuehl" w:hint="cs"/>
          <w:rtl/>
        </w:rPr>
      </w:pPr>
      <w:bookmarkStart w:id="0" w:name="Seif0"/>
      <w:bookmarkEnd w:id="0"/>
      <w:r>
        <w:rPr>
          <w:lang w:val="he-IL"/>
        </w:rPr>
        <w:pict w14:anchorId="3F789662">
          <v:rect id="_x0000_s1026" style="position:absolute;left:0;text-align:left;margin-left:464.5pt;margin-top:8.05pt;width:75.05pt;height:12.8pt;z-index:251651072" o:allowincell="f" filled="f" stroked="f" strokecolor="lime" strokeweight=".25pt">
            <v:textbox inset="0,0,0,0">
              <w:txbxContent>
                <w:p w14:paraId="37EABDB7" w14:textId="77777777" w:rsidR="000851D4" w:rsidRDefault="000851D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117B45">
        <w:rPr>
          <w:rStyle w:val="default"/>
          <w:rFonts w:cs="FrankRuehl"/>
          <w:rtl/>
        </w:rPr>
        <w:t>–</w:t>
      </w:r>
    </w:p>
    <w:p w14:paraId="5FF3CCB1" w14:textId="77777777" w:rsidR="000851D4" w:rsidRDefault="000851D4" w:rsidP="00117B45">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בידה" </w:t>
      </w:r>
      <w:r w:rsidR="00117B45">
        <w:rPr>
          <w:rStyle w:val="default"/>
          <w:rFonts w:cs="FrankRuehl" w:hint="cs"/>
          <w:rtl/>
        </w:rPr>
        <w:t>-</w:t>
      </w:r>
      <w:r>
        <w:rPr>
          <w:rStyle w:val="default"/>
          <w:rFonts w:cs="FrankRuehl"/>
          <w:rtl/>
        </w:rPr>
        <w:t xml:space="preserve"> </w:t>
      </w:r>
      <w:r>
        <w:rPr>
          <w:rStyle w:val="default"/>
          <w:rFonts w:cs="FrankRuehl" w:hint="cs"/>
          <w:rtl/>
        </w:rPr>
        <w:t>מיטלטלין שאבדו לבעליהם, או שבנסיבות הענין יש להניח שיצאו משליטתם;</w:t>
      </w:r>
    </w:p>
    <w:p w14:paraId="27009A0A" w14:textId="77777777" w:rsidR="000851D4" w:rsidRDefault="000851D4" w:rsidP="00117B4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לגבי אבידה </w:t>
      </w:r>
      <w:r w:rsidR="00117B45">
        <w:rPr>
          <w:rStyle w:val="default"/>
          <w:rFonts w:cs="FrankRuehl" w:hint="cs"/>
          <w:rtl/>
        </w:rPr>
        <w:t>-</w:t>
      </w:r>
      <w:r>
        <w:rPr>
          <w:rStyle w:val="default"/>
          <w:rFonts w:cs="FrankRuehl"/>
          <w:rtl/>
        </w:rPr>
        <w:t xml:space="preserve"> </w:t>
      </w:r>
      <w:r>
        <w:rPr>
          <w:rStyle w:val="default"/>
          <w:rFonts w:cs="FrankRuehl" w:hint="cs"/>
          <w:rtl/>
        </w:rPr>
        <w:t>לרבות מי שזכאי להחזיק בה.</w:t>
      </w:r>
    </w:p>
    <w:p w14:paraId="5D222F26" w14:textId="77777777" w:rsidR="000851D4" w:rsidRDefault="000851D4" w:rsidP="00117B45">
      <w:pPr>
        <w:pStyle w:val="P00"/>
        <w:spacing w:before="72"/>
        <w:ind w:left="0" w:right="1134"/>
        <w:rPr>
          <w:rStyle w:val="default"/>
          <w:rFonts w:cs="FrankRuehl"/>
          <w:rtl/>
        </w:rPr>
      </w:pPr>
      <w:bookmarkStart w:id="1" w:name="Seif1"/>
      <w:bookmarkEnd w:id="1"/>
      <w:r>
        <w:rPr>
          <w:lang w:val="he-IL"/>
        </w:rPr>
        <w:pict w14:anchorId="102DF6CF">
          <v:rect id="_x0000_s1027" style="position:absolute;left:0;text-align:left;margin-left:464.5pt;margin-top:8.05pt;width:75.05pt;height:10pt;z-index:251652096" o:allowincell="f" filled="f" stroked="f" strokecolor="lime" strokeweight=".25pt">
            <v:textbox inset="0,0,0,0">
              <w:txbxContent>
                <w:p w14:paraId="277DB66D" w14:textId="77777777" w:rsidR="000851D4" w:rsidRDefault="000851D4">
                  <w:pPr>
                    <w:spacing w:line="160" w:lineRule="exact"/>
                    <w:jc w:val="left"/>
                    <w:rPr>
                      <w:rFonts w:cs="Miriam"/>
                      <w:noProof/>
                      <w:sz w:val="18"/>
                      <w:szCs w:val="18"/>
                      <w:rtl/>
                    </w:rPr>
                  </w:pPr>
                  <w:r>
                    <w:rPr>
                      <w:rFonts w:cs="Miriam"/>
                      <w:sz w:val="18"/>
                      <w:szCs w:val="18"/>
                      <w:rtl/>
                    </w:rPr>
                    <w:t>חו</w:t>
                  </w:r>
                  <w:r>
                    <w:rPr>
                      <w:rFonts w:cs="Miriam" w:hint="cs"/>
                      <w:sz w:val="18"/>
                      <w:szCs w:val="18"/>
                      <w:rtl/>
                    </w:rPr>
                    <w:t>בת המוצא</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מוצא אבידה ונוטלה (להלן </w:t>
      </w:r>
      <w:r w:rsidR="00117B45">
        <w:rPr>
          <w:rStyle w:val="default"/>
          <w:rFonts w:cs="FrankRuehl" w:hint="cs"/>
          <w:rtl/>
        </w:rPr>
        <w:t>-</w:t>
      </w:r>
      <w:r>
        <w:rPr>
          <w:rStyle w:val="default"/>
          <w:rFonts w:cs="FrankRuehl"/>
          <w:rtl/>
        </w:rPr>
        <w:t xml:space="preserve"> </w:t>
      </w:r>
      <w:r>
        <w:rPr>
          <w:rStyle w:val="default"/>
          <w:rFonts w:cs="FrankRuehl" w:hint="cs"/>
          <w:rtl/>
        </w:rPr>
        <w:t>המוצא) חייב להשיבה לבעלה או להודיע</w:t>
      </w:r>
      <w:r>
        <w:rPr>
          <w:rStyle w:val="default"/>
          <w:rFonts w:cs="FrankRuehl"/>
          <w:rtl/>
        </w:rPr>
        <w:t xml:space="preserve"> ע</w:t>
      </w:r>
      <w:r>
        <w:rPr>
          <w:rStyle w:val="default"/>
          <w:rFonts w:cs="FrankRuehl" w:hint="cs"/>
          <w:rtl/>
        </w:rPr>
        <w:t>ליה בהקדם למשטרה, זולת אם בנסיבות הענין יש להניח שבעל האבידה הת</w:t>
      </w:r>
      <w:r>
        <w:rPr>
          <w:rStyle w:val="default"/>
          <w:rFonts w:cs="FrankRuehl"/>
          <w:rtl/>
        </w:rPr>
        <w:t>י</w:t>
      </w:r>
      <w:r>
        <w:rPr>
          <w:rStyle w:val="default"/>
          <w:rFonts w:cs="FrankRuehl" w:hint="cs"/>
          <w:rtl/>
        </w:rPr>
        <w:t>יאש ממנה מחמת מיעוט שוויה.</w:t>
      </w:r>
    </w:p>
    <w:p w14:paraId="0377A385" w14:textId="77777777" w:rsidR="000851D4" w:rsidRDefault="000851D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ודיע המוצא למשטרה, רשאי הוא למסור לה את האבידה והוא חייב לעשות כן אם היא דרשה זאת ממנו.</w:t>
      </w:r>
    </w:p>
    <w:p w14:paraId="1FC8C936" w14:textId="77777777" w:rsidR="000851D4" w:rsidRDefault="000851D4">
      <w:pPr>
        <w:pStyle w:val="P00"/>
        <w:spacing w:before="72"/>
        <w:ind w:left="0" w:right="1134"/>
        <w:rPr>
          <w:rStyle w:val="default"/>
          <w:rFonts w:cs="FrankRuehl"/>
          <w:rtl/>
        </w:rPr>
      </w:pPr>
      <w:bookmarkStart w:id="2" w:name="Seif2"/>
      <w:bookmarkEnd w:id="2"/>
      <w:r>
        <w:rPr>
          <w:lang w:val="he-IL"/>
        </w:rPr>
        <w:pict w14:anchorId="4E62286F">
          <v:rect id="_x0000_s1028" style="position:absolute;left:0;text-align:left;margin-left:464.5pt;margin-top:8.05pt;width:75.05pt;height:18.5pt;z-index:251653120" o:allowincell="f" filled="f" stroked="f" strokecolor="lime" strokeweight=".25pt">
            <v:textbox inset="0,0,0,0">
              <w:txbxContent>
                <w:p w14:paraId="600F298C" w14:textId="77777777" w:rsidR="000851D4" w:rsidRDefault="000851D4">
                  <w:pPr>
                    <w:spacing w:line="160" w:lineRule="exact"/>
                    <w:jc w:val="left"/>
                    <w:rPr>
                      <w:rFonts w:cs="Miriam"/>
                      <w:noProof/>
                      <w:sz w:val="18"/>
                      <w:szCs w:val="18"/>
                      <w:rtl/>
                    </w:rPr>
                  </w:pPr>
                  <w:r>
                    <w:rPr>
                      <w:rFonts w:cs="Miriam"/>
                      <w:sz w:val="18"/>
                      <w:szCs w:val="18"/>
                      <w:rtl/>
                    </w:rPr>
                    <w:t>אב</w:t>
                  </w:r>
                  <w:r>
                    <w:rPr>
                      <w:rFonts w:cs="Miriam" w:hint="cs"/>
                      <w:sz w:val="18"/>
                      <w:szCs w:val="18"/>
                      <w:rtl/>
                    </w:rPr>
                    <w:t>ידה שנמצאה ברשות הזולת</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 xml:space="preserve">וצא אבידה ברשותו של אדם אחר חייב להודיע עליה לבעל הרשות ולמסרה </w:t>
      </w:r>
      <w:r>
        <w:rPr>
          <w:rStyle w:val="default"/>
          <w:rFonts w:cs="FrankRuehl"/>
          <w:rtl/>
        </w:rPr>
        <w:t>לו</w:t>
      </w:r>
      <w:r>
        <w:rPr>
          <w:rStyle w:val="default"/>
          <w:rFonts w:cs="FrankRuehl" w:hint="cs"/>
          <w:rtl/>
        </w:rPr>
        <w:t xml:space="preserve"> לפי דרישתו; קיבל בעל הרשות את האבידה לידו, יראו אותו כמוצא.</w:t>
      </w:r>
    </w:p>
    <w:p w14:paraId="74DBD051" w14:textId="77777777" w:rsidR="000851D4" w:rsidRDefault="000851D4" w:rsidP="00117B45">
      <w:pPr>
        <w:pStyle w:val="P00"/>
        <w:spacing w:before="72"/>
        <w:ind w:left="0" w:right="1134"/>
        <w:rPr>
          <w:rStyle w:val="default"/>
          <w:rFonts w:cs="FrankRuehl"/>
          <w:rtl/>
        </w:rPr>
      </w:pPr>
      <w:bookmarkStart w:id="3" w:name="Seif3"/>
      <w:bookmarkEnd w:id="3"/>
      <w:r>
        <w:rPr>
          <w:lang w:val="he-IL"/>
        </w:rPr>
        <w:pict w14:anchorId="26B5FDDF">
          <v:rect id="_x0000_s1029" style="position:absolute;left:0;text-align:left;margin-left:464.5pt;margin-top:8.05pt;width:75.05pt;height:19.15pt;z-index:251654144" o:allowincell="f" filled="f" stroked="f" strokecolor="lime" strokeweight=".25pt">
            <v:textbox inset="0,0,0,0">
              <w:txbxContent>
                <w:p w14:paraId="3012F9D4" w14:textId="77777777" w:rsidR="000851D4" w:rsidRDefault="000851D4">
                  <w:pPr>
                    <w:spacing w:line="160" w:lineRule="exact"/>
                    <w:jc w:val="left"/>
                    <w:rPr>
                      <w:rFonts w:cs="Miriam"/>
                      <w:noProof/>
                      <w:sz w:val="18"/>
                      <w:szCs w:val="18"/>
                      <w:rtl/>
                    </w:rPr>
                  </w:pPr>
                  <w:r>
                    <w:rPr>
                      <w:rFonts w:cs="Miriam"/>
                      <w:sz w:val="18"/>
                      <w:szCs w:val="18"/>
                      <w:rtl/>
                    </w:rPr>
                    <w:t>אב</w:t>
                  </w:r>
                  <w:r>
                    <w:rPr>
                      <w:rFonts w:cs="Miriam" w:hint="cs"/>
                      <w:sz w:val="18"/>
                      <w:szCs w:val="18"/>
                      <w:rtl/>
                    </w:rPr>
                    <w:t>ידה שלא נתגלה בעלה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 xml:space="preserve">יים המוצא הוראות סעיף 2 ולא נתגלה בעל האבידה תוך ארבעה חדשים, יראו כאילו התייאש ממנה והמוצא יהיה לבעל האבידה; התקופה האמורה תתחיל מהיום שהודיע למשטרה על האבידה, ואם לא היה עליו להודיע </w:t>
      </w:r>
      <w:r>
        <w:rPr>
          <w:rStyle w:val="default"/>
          <w:rFonts w:cs="FrankRuehl"/>
          <w:rtl/>
        </w:rPr>
        <w:t>כא</w:t>
      </w:r>
      <w:r>
        <w:rPr>
          <w:rStyle w:val="default"/>
          <w:rFonts w:cs="FrankRuehl" w:hint="cs"/>
          <w:rtl/>
        </w:rPr>
        <w:t>מור בסעיף 2(א</w:t>
      </w:r>
      <w:r>
        <w:rPr>
          <w:rStyle w:val="default"/>
          <w:rFonts w:cs="FrankRuehl"/>
          <w:rtl/>
        </w:rPr>
        <w:t xml:space="preserve">) </w:t>
      </w:r>
      <w:r w:rsidR="00117B45">
        <w:rPr>
          <w:rStyle w:val="default"/>
          <w:rFonts w:cs="FrankRuehl" w:hint="cs"/>
          <w:rtl/>
        </w:rPr>
        <w:t>-</w:t>
      </w:r>
      <w:r>
        <w:rPr>
          <w:rStyle w:val="default"/>
          <w:rFonts w:cs="FrankRuehl"/>
          <w:rtl/>
        </w:rPr>
        <w:t xml:space="preserve"> </w:t>
      </w:r>
      <w:r>
        <w:rPr>
          <w:rStyle w:val="default"/>
          <w:rFonts w:cs="FrankRuehl" w:hint="cs"/>
          <w:rtl/>
        </w:rPr>
        <w:t>מיום מציאתה.</w:t>
      </w:r>
    </w:p>
    <w:p w14:paraId="2FD39A01" w14:textId="77777777" w:rsidR="000851D4" w:rsidRDefault="000851D4" w:rsidP="00117B4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קיים המוצא הוראות סעיף 2 ולא נתגלה בעל האבידה תוך ארבעה חדשים לאחר שנודע למשטרה על האבידה, יראו כאילו התייאש ממנה והמדינה תהיה לבעלת האבידה; והוא הדין אם המוצא מסר את</w:t>
      </w:r>
      <w:r>
        <w:rPr>
          <w:rStyle w:val="default"/>
          <w:rFonts w:cs="FrankRuehl"/>
          <w:rtl/>
        </w:rPr>
        <w:t xml:space="preserve"> ה</w:t>
      </w:r>
      <w:r>
        <w:rPr>
          <w:rStyle w:val="default"/>
          <w:rFonts w:cs="FrankRuehl" w:hint="cs"/>
          <w:rtl/>
        </w:rPr>
        <w:t xml:space="preserve">אבידה למשטרה והיה לבעלה לפי סעיף קטן (א) אך לא </w:t>
      </w:r>
      <w:r>
        <w:rPr>
          <w:rStyle w:val="default"/>
          <w:rFonts w:cs="FrankRuehl"/>
          <w:rtl/>
        </w:rPr>
        <w:t>דר</w:t>
      </w:r>
      <w:r>
        <w:rPr>
          <w:rStyle w:val="default"/>
          <w:rFonts w:cs="FrankRuehl" w:hint="cs"/>
          <w:rtl/>
        </w:rPr>
        <w:t>ש אותה תוך חד</w:t>
      </w:r>
      <w:r>
        <w:rPr>
          <w:rStyle w:val="default"/>
          <w:rFonts w:cs="FrankRuehl"/>
          <w:rtl/>
        </w:rPr>
        <w:t>ש</w:t>
      </w:r>
      <w:r>
        <w:rPr>
          <w:rStyle w:val="default"/>
          <w:rFonts w:cs="FrankRuehl" w:hint="cs"/>
          <w:rtl/>
        </w:rPr>
        <w:t>יים לאחר שהיה לבעל כאמור.</w:t>
      </w:r>
    </w:p>
    <w:p w14:paraId="63C7E576" w14:textId="77777777" w:rsidR="000851D4" w:rsidRDefault="000851D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המשטרה רשאי, בהתייעצות עם שר המשפטים, לקבוע בתקנות שעל אבידות יקרות ערך, או שניתן להניח שהן בעלות ערך רגשי מיוחד לבעליהן, ועל סוגים מיוחדים אחרים של אבידות, לא יחולו הוראות סעיף זה או שיחולו בהארכת התקופות </w:t>
      </w:r>
      <w:r>
        <w:rPr>
          <w:rStyle w:val="default"/>
          <w:rFonts w:cs="FrankRuehl"/>
          <w:rtl/>
        </w:rPr>
        <w:t>הא</w:t>
      </w:r>
      <w:r>
        <w:rPr>
          <w:rStyle w:val="default"/>
          <w:rFonts w:cs="FrankRuehl" w:hint="cs"/>
          <w:rtl/>
        </w:rPr>
        <w:t>מורות בו או בשינויים אחרים שנקבעו בתקנות.</w:t>
      </w:r>
    </w:p>
    <w:p w14:paraId="06BADC8D" w14:textId="77777777" w:rsidR="000851D4" w:rsidRDefault="000851D4">
      <w:pPr>
        <w:pStyle w:val="P00"/>
        <w:spacing w:before="72"/>
        <w:ind w:left="0" w:right="1134"/>
        <w:rPr>
          <w:rStyle w:val="default"/>
          <w:rFonts w:cs="FrankRuehl"/>
          <w:rtl/>
        </w:rPr>
      </w:pPr>
      <w:bookmarkStart w:id="4" w:name="Seif4"/>
      <w:bookmarkEnd w:id="4"/>
      <w:r>
        <w:rPr>
          <w:lang w:val="he-IL"/>
        </w:rPr>
        <w:pict w14:anchorId="2ED91BCB">
          <v:rect id="_x0000_s1030" style="position:absolute;left:0;text-align:left;margin-left:464.5pt;margin-top:8.05pt;width:75.05pt;height:11.3pt;z-index:251655168" o:allowincell="f" filled="f" stroked="f" strokecolor="lime" strokeweight=".25pt">
            <v:textbox inset="0,0,0,0">
              <w:txbxContent>
                <w:p w14:paraId="221E63E5" w14:textId="77777777" w:rsidR="000851D4" w:rsidRDefault="000851D4">
                  <w:pPr>
                    <w:spacing w:line="160" w:lineRule="exact"/>
                    <w:jc w:val="left"/>
                    <w:rPr>
                      <w:rFonts w:cs="Miriam"/>
                      <w:noProof/>
                      <w:sz w:val="18"/>
                      <w:szCs w:val="18"/>
                      <w:rtl/>
                    </w:rPr>
                  </w:pPr>
                  <w:r>
                    <w:rPr>
                      <w:rFonts w:cs="Miriam"/>
                      <w:sz w:val="18"/>
                      <w:szCs w:val="18"/>
                      <w:rtl/>
                    </w:rPr>
                    <w:t>פד</w:t>
                  </w:r>
                  <w:r>
                    <w:rPr>
                      <w:rFonts w:cs="Miriam" w:hint="cs"/>
                      <w:sz w:val="18"/>
                      <w:szCs w:val="18"/>
                      <w:rtl/>
                    </w:rPr>
                    <w:t>יון האבידה</w:t>
                  </w:r>
                </w:p>
              </w:txbxContent>
            </v:textbox>
            <w10:anchorlock/>
          </v:rect>
        </w:pict>
      </w:r>
      <w:r>
        <w:rPr>
          <w:rStyle w:val="big-number"/>
          <w:rFonts w:cs="Miriam"/>
          <w:rtl/>
        </w:rPr>
        <w:t>5.</w:t>
      </w:r>
      <w:r>
        <w:rPr>
          <w:rStyle w:val="big-number"/>
          <w:rFonts w:cs="Miriam"/>
          <w:rtl/>
        </w:rPr>
        <w:tab/>
      </w:r>
      <w:r>
        <w:rPr>
          <w:rStyle w:val="default"/>
          <w:rFonts w:cs="FrankRuehl"/>
          <w:rtl/>
        </w:rPr>
        <w:t>זכ</w:t>
      </w:r>
      <w:r>
        <w:rPr>
          <w:rStyle w:val="default"/>
          <w:rFonts w:cs="FrankRuehl" w:hint="cs"/>
          <w:rtl/>
        </w:rPr>
        <w:t>ה המוצא או המדינה באבידה לפי סעיף 4, זכאי בעלה הקודם, תוך שנה לאחר הזכיה, לפדותה מהזוכה, או ממי שרכש אותה</w:t>
      </w:r>
      <w:r>
        <w:rPr>
          <w:rStyle w:val="default"/>
          <w:rFonts w:cs="FrankRuehl"/>
          <w:rtl/>
        </w:rPr>
        <w:t xml:space="preserve"> מ</w:t>
      </w:r>
      <w:r>
        <w:rPr>
          <w:rStyle w:val="default"/>
          <w:rFonts w:cs="FrankRuehl" w:hint="cs"/>
          <w:rtl/>
        </w:rPr>
        <w:t>ן הזוכה שלא בתמורה, בתשלום שוויה בזמן הפדיון, זולת אם חל בה שינוי של ממש.</w:t>
      </w:r>
    </w:p>
    <w:p w14:paraId="49ABCA4A" w14:textId="77777777" w:rsidR="000851D4" w:rsidRDefault="000851D4">
      <w:pPr>
        <w:pStyle w:val="P00"/>
        <w:spacing w:before="72"/>
        <w:ind w:left="0" w:right="1134"/>
        <w:rPr>
          <w:rStyle w:val="default"/>
          <w:rFonts w:cs="FrankRuehl"/>
          <w:rtl/>
        </w:rPr>
      </w:pPr>
      <w:bookmarkStart w:id="5" w:name="Seif5"/>
      <w:bookmarkEnd w:id="5"/>
      <w:r>
        <w:rPr>
          <w:lang w:val="he-IL"/>
        </w:rPr>
        <w:pict w14:anchorId="5A0C1509">
          <v:rect id="_x0000_s1031" style="position:absolute;left:0;text-align:left;margin-left:464.5pt;margin-top:8.05pt;width:75.05pt;height:15.8pt;z-index:251656192" o:allowincell="f" filled="f" stroked="f" strokecolor="lime" strokeweight=".25pt">
            <v:textbox inset="0,0,0,0">
              <w:txbxContent>
                <w:p w14:paraId="0FF010D1" w14:textId="77777777" w:rsidR="000851D4" w:rsidRDefault="000851D4">
                  <w:pPr>
                    <w:spacing w:line="160" w:lineRule="exact"/>
                    <w:jc w:val="left"/>
                    <w:rPr>
                      <w:rFonts w:cs="Miriam"/>
                      <w:noProof/>
                      <w:sz w:val="18"/>
                      <w:szCs w:val="18"/>
                      <w:rtl/>
                    </w:rPr>
                  </w:pPr>
                  <w:r>
                    <w:rPr>
                      <w:rFonts w:cs="Miriam"/>
                      <w:sz w:val="18"/>
                      <w:szCs w:val="18"/>
                      <w:rtl/>
                    </w:rPr>
                    <w:t>מכ</w:t>
                  </w:r>
                  <w:r>
                    <w:rPr>
                      <w:rFonts w:cs="Miriam" w:hint="cs"/>
                      <w:sz w:val="18"/>
                      <w:szCs w:val="18"/>
                      <w:rtl/>
                    </w:rPr>
                    <w:t>ירת האבידה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בידה שהיא נכס שעלול להתקלקל או לאבד שיעור ניכר משוויו, או שהוצאות שמירתו אינן סבירות לעומת שוויו, או אבידה שהיא בעל חיים, רשאי המוצא למכרה בדרך סבירה, וכן רשאית לעשות המשט</w:t>
      </w:r>
      <w:r>
        <w:rPr>
          <w:rStyle w:val="default"/>
          <w:rFonts w:cs="FrankRuehl"/>
          <w:rtl/>
        </w:rPr>
        <w:t>רה</w:t>
      </w:r>
      <w:r>
        <w:rPr>
          <w:rStyle w:val="default"/>
          <w:rFonts w:cs="FrankRuehl" w:hint="cs"/>
          <w:rtl/>
        </w:rPr>
        <w:t>, אם האבידה נמסרה לה.</w:t>
      </w:r>
    </w:p>
    <w:p w14:paraId="5E7C5425" w14:textId="77777777" w:rsidR="000851D4" w:rsidRDefault="000851D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מוצא לא ימכור את האבידה כאמור אלא לאחר שהודיע על כך למשטרה זמן סביר מראש והמשטרה לא דרשה למסור לה את האבידה.</w:t>
      </w:r>
    </w:p>
    <w:p w14:paraId="62B4F26B" w14:textId="77777777" w:rsidR="000851D4" w:rsidRDefault="000851D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מכרה האבידה, יבוא, לענין חוק זה, הפדיון במקומה.</w:t>
      </w:r>
    </w:p>
    <w:p w14:paraId="52C4F10D" w14:textId="77777777" w:rsidR="000851D4" w:rsidRDefault="000851D4" w:rsidP="00117B45">
      <w:pPr>
        <w:pStyle w:val="P00"/>
        <w:spacing w:before="72"/>
        <w:ind w:left="0" w:right="1134"/>
        <w:rPr>
          <w:rStyle w:val="default"/>
          <w:rFonts w:cs="FrankRuehl"/>
          <w:rtl/>
        </w:rPr>
      </w:pPr>
      <w:bookmarkStart w:id="6" w:name="Seif6"/>
      <w:bookmarkEnd w:id="6"/>
      <w:r>
        <w:rPr>
          <w:lang w:val="he-IL"/>
        </w:rPr>
        <w:pict w14:anchorId="1C8FCF64">
          <v:rect id="_x0000_s1032" style="position:absolute;left:0;text-align:left;margin-left:464.5pt;margin-top:8.05pt;width:75.05pt;height:13.25pt;z-index:251657216" o:allowincell="f" filled="f" stroked="f" strokecolor="lime" strokeweight=".25pt">
            <v:textbox inset="0,0,0,0">
              <w:txbxContent>
                <w:p w14:paraId="32EB102C" w14:textId="77777777" w:rsidR="000851D4" w:rsidRDefault="000851D4">
                  <w:pPr>
                    <w:spacing w:line="160" w:lineRule="exact"/>
                    <w:jc w:val="left"/>
                    <w:rPr>
                      <w:rFonts w:cs="Miriam"/>
                      <w:noProof/>
                      <w:sz w:val="18"/>
                      <w:szCs w:val="18"/>
                      <w:rtl/>
                    </w:rPr>
                  </w:pPr>
                  <w:r>
                    <w:rPr>
                      <w:rFonts w:cs="Miriam"/>
                      <w:sz w:val="18"/>
                      <w:szCs w:val="18"/>
                      <w:rtl/>
                    </w:rPr>
                    <w:t>נכ</w:t>
                  </w:r>
                  <w:r>
                    <w:rPr>
                      <w:rFonts w:cs="Miriam" w:hint="cs"/>
                      <w:sz w:val="18"/>
                      <w:szCs w:val="18"/>
                      <w:rtl/>
                    </w:rPr>
                    <w:t>ס שהוזנח</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כס שהופקד או הושאר במוסד ש</w:t>
      </w:r>
      <w:r>
        <w:rPr>
          <w:rStyle w:val="default"/>
          <w:rFonts w:cs="FrankRuehl"/>
          <w:rtl/>
        </w:rPr>
        <w:t>ב</w:t>
      </w:r>
      <w:r>
        <w:rPr>
          <w:rStyle w:val="default"/>
          <w:rFonts w:cs="FrankRuehl" w:hint="cs"/>
          <w:rtl/>
        </w:rPr>
        <w:t>ו מתאכסנים, מאושפזים או מבק</w:t>
      </w:r>
      <w:r>
        <w:rPr>
          <w:rStyle w:val="default"/>
          <w:rFonts w:cs="FrankRuehl"/>
          <w:rtl/>
        </w:rPr>
        <w:t>רי</w:t>
      </w:r>
      <w:r>
        <w:rPr>
          <w:rStyle w:val="default"/>
          <w:rFonts w:cs="FrankRuehl" w:hint="cs"/>
          <w:rtl/>
        </w:rPr>
        <w:t xml:space="preserve">ם בני אדם, או במקום כיוצא באלה, ולא נדרש תוך חדשיים מהיום שהושאר או מתום תקופת ההפקדה, יראוהו כאבידה ואת בעל המוסד או המקום </w:t>
      </w:r>
      <w:r w:rsidR="00117B45">
        <w:rPr>
          <w:rStyle w:val="default"/>
          <w:rFonts w:cs="FrankRuehl" w:hint="cs"/>
          <w:rtl/>
        </w:rPr>
        <w:t>-</w:t>
      </w:r>
      <w:r>
        <w:rPr>
          <w:rStyle w:val="default"/>
          <w:rFonts w:cs="FrankRuehl"/>
          <w:rtl/>
        </w:rPr>
        <w:t xml:space="preserve"> </w:t>
      </w:r>
      <w:r>
        <w:rPr>
          <w:rStyle w:val="default"/>
          <w:rFonts w:cs="FrankRuehl" w:hint="cs"/>
          <w:rtl/>
        </w:rPr>
        <w:t>כמוצא.</w:t>
      </w:r>
    </w:p>
    <w:p w14:paraId="68605510" w14:textId="77777777" w:rsidR="000851D4" w:rsidRDefault="000851D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קטן (א) אין בהן כדי לגרוע מתנאי הפקדה.</w:t>
      </w:r>
    </w:p>
    <w:p w14:paraId="52AC42BE" w14:textId="77777777" w:rsidR="000851D4" w:rsidRDefault="000851D4">
      <w:pPr>
        <w:pStyle w:val="P00"/>
        <w:spacing w:before="72"/>
        <w:ind w:left="0" w:right="1134"/>
        <w:rPr>
          <w:rStyle w:val="default"/>
          <w:rFonts w:cs="FrankRuehl"/>
          <w:rtl/>
        </w:rPr>
      </w:pPr>
      <w:bookmarkStart w:id="7" w:name="Seif7"/>
      <w:bookmarkEnd w:id="7"/>
      <w:r>
        <w:rPr>
          <w:lang w:val="he-IL"/>
        </w:rPr>
        <w:pict w14:anchorId="5413EFFE">
          <v:rect id="_x0000_s1033" style="position:absolute;left:0;text-align:left;margin-left:464.5pt;margin-top:8.05pt;width:75.05pt;height:10.4pt;z-index:251658240" o:allowincell="f" filled="f" stroked="f" strokecolor="lime" strokeweight=".25pt">
            <v:textbox inset="0,0,0,0">
              <w:txbxContent>
                <w:p w14:paraId="45967909" w14:textId="77777777" w:rsidR="000851D4" w:rsidRDefault="000851D4">
                  <w:pPr>
                    <w:spacing w:line="160" w:lineRule="exact"/>
                    <w:jc w:val="left"/>
                    <w:rPr>
                      <w:rFonts w:cs="Miriam"/>
                      <w:noProof/>
                      <w:sz w:val="18"/>
                      <w:szCs w:val="18"/>
                      <w:rtl/>
                    </w:rPr>
                  </w:pPr>
                  <w:r>
                    <w:rPr>
                      <w:rFonts w:cs="Miriam"/>
                      <w:sz w:val="18"/>
                      <w:szCs w:val="18"/>
                      <w:rtl/>
                    </w:rPr>
                    <w:t>נכ</w:t>
                  </w:r>
                  <w:r>
                    <w:rPr>
                      <w:rFonts w:cs="Miriam" w:hint="cs"/>
                      <w:sz w:val="18"/>
                      <w:szCs w:val="18"/>
                      <w:rtl/>
                    </w:rPr>
                    <w:t>ס של נעדר</w:t>
                  </w:r>
                </w:p>
              </w:txbxContent>
            </v:textbox>
            <w10:anchorlock/>
          </v:rect>
        </w:pict>
      </w:r>
      <w:r>
        <w:rPr>
          <w:rStyle w:val="big-number"/>
          <w:rFonts w:cs="Miriam"/>
          <w:rtl/>
        </w:rPr>
        <w:t>8.</w:t>
      </w:r>
      <w:r>
        <w:rPr>
          <w:rStyle w:val="big-number"/>
          <w:rFonts w:cs="Miriam"/>
          <w:rtl/>
        </w:rPr>
        <w:tab/>
      </w:r>
      <w:r>
        <w:rPr>
          <w:rStyle w:val="default"/>
          <w:rFonts w:cs="FrankRuehl"/>
          <w:rtl/>
        </w:rPr>
        <w:t>מי</w:t>
      </w:r>
      <w:r>
        <w:rPr>
          <w:rStyle w:val="default"/>
          <w:rFonts w:cs="FrankRuehl" w:hint="cs"/>
          <w:rtl/>
        </w:rPr>
        <w:t>טלטלין של אדם שעקבותיו נעלמו, או שנפטר ויורשיו אינם</w:t>
      </w:r>
      <w:r>
        <w:rPr>
          <w:rFonts w:cs="FrankRuehl"/>
          <w:sz w:val="26"/>
          <w:rtl/>
        </w:rPr>
        <w:t> </w:t>
      </w:r>
      <w:r>
        <w:rPr>
          <w:rStyle w:val="default"/>
          <w:rFonts w:cs="FrankRuehl"/>
          <w:rtl/>
        </w:rPr>
        <w:t xml:space="preserve"> י</w:t>
      </w:r>
      <w:r>
        <w:rPr>
          <w:rStyle w:val="default"/>
          <w:rFonts w:cs="FrankRuehl" w:hint="cs"/>
          <w:rtl/>
        </w:rPr>
        <w:t>דועים</w:t>
      </w:r>
      <w:r>
        <w:rPr>
          <w:rStyle w:val="default"/>
          <w:rFonts w:cs="FrankRuehl"/>
          <w:rtl/>
        </w:rPr>
        <w:t>, ו</w:t>
      </w:r>
      <w:r>
        <w:rPr>
          <w:rStyle w:val="default"/>
          <w:rFonts w:cs="FrankRuehl" w:hint="cs"/>
          <w:rtl/>
        </w:rPr>
        <w:t>האפוטרופוס הכללי או אדם אחר המוסמך לכך לא קיבלם לידו, יחולו עליהם סעיפים 2 ו-6 בשינויים המחוייבים.</w:t>
      </w:r>
    </w:p>
    <w:p w14:paraId="35895D7F" w14:textId="77777777" w:rsidR="000851D4" w:rsidRDefault="000851D4" w:rsidP="00117B45">
      <w:pPr>
        <w:pStyle w:val="P00"/>
        <w:spacing w:before="72"/>
        <w:ind w:left="0" w:right="1134"/>
        <w:rPr>
          <w:rStyle w:val="default"/>
          <w:rFonts w:cs="FrankRuehl"/>
          <w:rtl/>
        </w:rPr>
      </w:pPr>
      <w:bookmarkStart w:id="8" w:name="Seif8"/>
      <w:bookmarkEnd w:id="8"/>
      <w:r>
        <w:rPr>
          <w:lang w:val="he-IL"/>
        </w:rPr>
        <w:pict w14:anchorId="1BEAB3C0">
          <v:rect id="_x0000_s1034" style="position:absolute;left:0;text-align:left;margin-left:464.5pt;margin-top:8.05pt;width:75.05pt;height:12.65pt;z-index:251659264" o:allowincell="f" filled="f" stroked="f" strokecolor="lime" strokeweight=".25pt">
            <v:textbox inset="0,0,0,0">
              <w:txbxContent>
                <w:p w14:paraId="0DFA7831" w14:textId="77777777" w:rsidR="000851D4" w:rsidRDefault="000851D4">
                  <w:pPr>
                    <w:spacing w:line="160" w:lineRule="exact"/>
                    <w:jc w:val="left"/>
                    <w:rPr>
                      <w:rFonts w:cs="Miriam"/>
                      <w:noProof/>
                      <w:sz w:val="18"/>
                      <w:szCs w:val="18"/>
                      <w:rtl/>
                    </w:rPr>
                  </w:pPr>
                  <w:r>
                    <w:rPr>
                      <w:rFonts w:cs="Miriam"/>
                      <w:sz w:val="18"/>
                      <w:szCs w:val="18"/>
                      <w:rtl/>
                    </w:rPr>
                    <w:t>עב</w:t>
                  </w:r>
                  <w:r>
                    <w:rPr>
                      <w:rFonts w:cs="Miriam" w:hint="cs"/>
                      <w:sz w:val="18"/>
                      <w:szCs w:val="18"/>
                      <w:rtl/>
                    </w:rPr>
                    <w:t>ירות</w:t>
                  </w:r>
                </w:p>
              </w:txbxContent>
            </v:textbox>
            <w10:anchorlock/>
          </v:rect>
        </w:pict>
      </w:r>
      <w:r>
        <w:rPr>
          <w:rStyle w:val="big-number"/>
          <w:rFonts w:cs="Miriam"/>
          <w:rtl/>
        </w:rPr>
        <w:t>9.</w:t>
      </w:r>
      <w:r>
        <w:rPr>
          <w:rStyle w:val="big-number"/>
          <w:rFonts w:cs="Miriam"/>
          <w:rtl/>
        </w:rPr>
        <w:tab/>
      </w:r>
      <w:r>
        <w:rPr>
          <w:rStyle w:val="default"/>
          <w:rFonts w:cs="FrankRuehl"/>
          <w:rtl/>
        </w:rPr>
        <w:t>מי</w:t>
      </w:r>
      <w:r>
        <w:rPr>
          <w:rStyle w:val="default"/>
          <w:rFonts w:cs="FrankRuehl" w:hint="cs"/>
          <w:rtl/>
        </w:rPr>
        <w:t xml:space="preserve"> שאינו מקיים את המוטל עליו לפי חוק זה, דינו </w:t>
      </w:r>
      <w:r w:rsidR="00117B45">
        <w:rPr>
          <w:rStyle w:val="default"/>
          <w:rFonts w:cs="FrankRuehl" w:hint="cs"/>
          <w:rtl/>
        </w:rPr>
        <w:t>-</w:t>
      </w:r>
      <w:r>
        <w:rPr>
          <w:rStyle w:val="default"/>
          <w:rFonts w:cs="FrankRuehl"/>
          <w:rtl/>
        </w:rPr>
        <w:t xml:space="preserve"> </w:t>
      </w:r>
      <w:r>
        <w:rPr>
          <w:rStyle w:val="default"/>
          <w:rFonts w:cs="FrankRuehl" w:hint="cs"/>
          <w:rtl/>
        </w:rPr>
        <w:t>מאסר ששה חדשים או קנס 2,000 לירות.</w:t>
      </w:r>
    </w:p>
    <w:p w14:paraId="71D4AF3E" w14:textId="77777777" w:rsidR="000851D4" w:rsidRDefault="000851D4">
      <w:pPr>
        <w:pStyle w:val="P00"/>
        <w:spacing w:before="72"/>
        <w:ind w:left="0" w:right="1134"/>
        <w:rPr>
          <w:rStyle w:val="default"/>
          <w:rFonts w:cs="FrankRuehl"/>
          <w:rtl/>
        </w:rPr>
      </w:pPr>
      <w:bookmarkStart w:id="9" w:name="Seif9"/>
      <w:bookmarkEnd w:id="9"/>
      <w:r>
        <w:rPr>
          <w:lang w:val="he-IL"/>
        </w:rPr>
        <w:lastRenderedPageBreak/>
        <w:pict w14:anchorId="15FE8360">
          <v:rect id="_x0000_s1035" style="position:absolute;left:0;text-align:left;margin-left:464.5pt;margin-top:8.05pt;width:75.05pt;height:19.3pt;z-index:251660288" o:allowincell="f" filled="f" stroked="f" strokecolor="lime" strokeweight=".25pt">
            <v:textbox inset="0,0,0,0">
              <w:txbxContent>
                <w:p w14:paraId="554D82F7" w14:textId="77777777" w:rsidR="000851D4" w:rsidRDefault="000851D4">
                  <w:pPr>
                    <w:spacing w:line="160" w:lineRule="exact"/>
                    <w:jc w:val="left"/>
                    <w:rPr>
                      <w:rFonts w:cs="Miriam"/>
                      <w:noProof/>
                      <w:sz w:val="18"/>
                      <w:szCs w:val="18"/>
                      <w:rtl/>
                    </w:rPr>
                  </w:pPr>
                  <w:r>
                    <w:rPr>
                      <w:rFonts w:cs="Miriam"/>
                      <w:sz w:val="18"/>
                      <w:szCs w:val="18"/>
                      <w:rtl/>
                    </w:rPr>
                    <w:t>אצ</w:t>
                  </w:r>
                  <w:r>
                    <w:rPr>
                      <w:rFonts w:cs="Miriam" w:hint="cs"/>
                      <w:sz w:val="18"/>
                      <w:szCs w:val="18"/>
                      <w:rtl/>
                    </w:rPr>
                    <w:t>י</w:t>
                  </w:r>
                  <w:r>
                    <w:rPr>
                      <w:rFonts w:cs="Miriam"/>
                      <w:sz w:val="18"/>
                      <w:szCs w:val="18"/>
                      <w:rtl/>
                    </w:rPr>
                    <w:t>לת</w:t>
                  </w:r>
                  <w:r>
                    <w:rPr>
                      <w:rFonts w:cs="Miriam" w:hint="cs"/>
                      <w:sz w:val="18"/>
                      <w:szCs w:val="18"/>
                      <w:rtl/>
                    </w:rPr>
                    <w:t xml:space="preserve"> תפקידים וסמכויות</w:t>
                  </w:r>
                </w:p>
              </w:txbxContent>
            </v:textbox>
            <w10:anchorlock/>
          </v:rect>
        </w:pict>
      </w:r>
      <w:r>
        <w:rPr>
          <w:rStyle w:val="big-number"/>
          <w:rFonts w:cs="Miriam"/>
          <w:rtl/>
        </w:rPr>
        <w:t>10.</w:t>
      </w:r>
      <w:r>
        <w:rPr>
          <w:rStyle w:val="big-number"/>
          <w:rFonts w:cs="Miriam"/>
          <w:rtl/>
        </w:rPr>
        <w:tab/>
      </w:r>
      <w:r>
        <w:rPr>
          <w:rStyle w:val="default"/>
          <w:rFonts w:cs="FrankRuehl"/>
          <w:rtl/>
        </w:rPr>
        <w:t>שר</w:t>
      </w:r>
      <w:r>
        <w:rPr>
          <w:rStyle w:val="default"/>
          <w:rFonts w:cs="FrankRuehl" w:hint="cs"/>
          <w:rtl/>
        </w:rPr>
        <w:t xml:space="preserve"> המשטרה רשאי, בהסכמת שר הפנים, לאצול את תפקידי המשטרה וסמכוי</w:t>
      </w:r>
      <w:r>
        <w:rPr>
          <w:rStyle w:val="default"/>
          <w:rFonts w:cs="FrankRuehl"/>
          <w:rtl/>
        </w:rPr>
        <w:t>ות</w:t>
      </w:r>
      <w:r>
        <w:rPr>
          <w:rStyle w:val="default"/>
          <w:rFonts w:cs="FrankRuehl" w:hint="cs"/>
          <w:rtl/>
        </w:rPr>
        <w:t>יה לפי חוק זה לרשות מקומית שהסכימה לכך; אצילה זו יכול שתהיה מוגבלת או מותנית.</w:t>
      </w:r>
    </w:p>
    <w:p w14:paraId="0753E320" w14:textId="77777777" w:rsidR="000851D4" w:rsidRDefault="000851D4">
      <w:pPr>
        <w:pStyle w:val="P00"/>
        <w:spacing w:before="72"/>
        <w:ind w:left="0" w:right="1134"/>
        <w:rPr>
          <w:rStyle w:val="default"/>
          <w:rFonts w:cs="FrankRuehl" w:hint="cs"/>
          <w:rtl/>
        </w:rPr>
      </w:pPr>
      <w:bookmarkStart w:id="10" w:name="Seif10"/>
      <w:bookmarkEnd w:id="10"/>
      <w:r>
        <w:rPr>
          <w:lang w:val="he-IL"/>
        </w:rPr>
        <w:pict w14:anchorId="6002BD4F">
          <v:rect id="_x0000_s1036" style="position:absolute;left:0;text-align:left;margin-left:464.5pt;margin-top:8.05pt;width:75.05pt;height:14.35pt;z-index:251661312" o:allowincell="f" filled="f" stroked="f" strokecolor="lime" strokeweight=".25pt">
            <v:textbox inset="0,0,0,0">
              <w:txbxContent>
                <w:p w14:paraId="17CB60B5" w14:textId="77777777" w:rsidR="000851D4" w:rsidRDefault="000851D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11.</w:t>
      </w:r>
      <w:r>
        <w:rPr>
          <w:rStyle w:val="big-number"/>
          <w:rFonts w:cs="Miriam"/>
          <w:rtl/>
        </w:rPr>
        <w:tab/>
      </w:r>
      <w:r>
        <w:rPr>
          <w:rStyle w:val="default"/>
          <w:rFonts w:cs="FrankRuehl"/>
          <w:rtl/>
        </w:rPr>
        <w:t>שר</w:t>
      </w:r>
      <w:r>
        <w:rPr>
          <w:rStyle w:val="default"/>
          <w:rFonts w:cs="FrankRuehl" w:hint="cs"/>
          <w:rtl/>
        </w:rPr>
        <w:t xml:space="preserve"> המשטרה ממונה על ביצוע חוק זה והוא רשאי, בהתייעצות עם שר המשפטים, להתקין תקנות</w:t>
      </w:r>
      <w:r>
        <w:rPr>
          <w:rStyle w:val="default"/>
          <w:rFonts w:cs="FrankRuehl"/>
          <w:rtl/>
        </w:rPr>
        <w:t xml:space="preserve"> </w:t>
      </w:r>
      <w:r>
        <w:rPr>
          <w:rStyle w:val="default"/>
          <w:rFonts w:cs="FrankRuehl" w:hint="cs"/>
          <w:rtl/>
        </w:rPr>
        <w:t xml:space="preserve">בכל ענין הנוגע לביצועו, ובין השאר לקבוע בהן </w:t>
      </w:r>
      <w:r w:rsidR="00117B45">
        <w:rPr>
          <w:rStyle w:val="default"/>
          <w:rFonts w:cs="FrankRuehl"/>
          <w:rtl/>
        </w:rPr>
        <w:t>–</w:t>
      </w:r>
    </w:p>
    <w:p w14:paraId="383CF102" w14:textId="77777777" w:rsidR="000851D4" w:rsidRDefault="000851D4" w:rsidP="00117B45">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ה יעשו המשטרה או הרשות המקומית באבידות</w:t>
      </w:r>
      <w:r>
        <w:rPr>
          <w:rStyle w:val="default"/>
          <w:rFonts w:cs="FrankRuehl"/>
          <w:rtl/>
        </w:rPr>
        <w:t xml:space="preserve"> ש</w:t>
      </w:r>
      <w:r>
        <w:rPr>
          <w:rStyle w:val="default"/>
          <w:rFonts w:cs="FrankRuehl" w:hint="cs"/>
          <w:rtl/>
        </w:rPr>
        <w:t>נמסרו להם;</w:t>
      </w:r>
    </w:p>
    <w:p w14:paraId="14F69DEA" w14:textId="77777777" w:rsidR="000851D4" w:rsidRDefault="000851D4" w:rsidP="00117B45">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ה ייעשה באבידה שהמדינה היתה לבעלה ובפדיון</w:t>
      </w:r>
      <w:r>
        <w:rPr>
          <w:rStyle w:val="default"/>
          <w:rFonts w:cs="FrankRuehl"/>
          <w:rtl/>
        </w:rPr>
        <w:t xml:space="preserve"> מ</w:t>
      </w:r>
      <w:r>
        <w:rPr>
          <w:rStyle w:val="default"/>
          <w:rFonts w:cs="FrankRuehl" w:hint="cs"/>
          <w:rtl/>
        </w:rPr>
        <w:t>מכירתה;</w:t>
      </w:r>
    </w:p>
    <w:p w14:paraId="5414D8B9" w14:textId="77777777" w:rsidR="000851D4" w:rsidRDefault="000851D4">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ה ייעשה בסוגי אבידות שהוראות סעיף 4(א) ו-(ב) אינן חלות עליהם;</w:t>
      </w:r>
    </w:p>
    <w:p w14:paraId="3ECB0C52" w14:textId="77777777" w:rsidR="000851D4" w:rsidRDefault="000851D4">
      <w:pPr>
        <w:pStyle w:val="P22"/>
        <w:spacing w:before="72"/>
        <w:ind w:left="1021" w:right="1134"/>
        <w:rPr>
          <w:rStyle w:val="default"/>
          <w:rFonts w:cs="FrankRuehl"/>
          <w:rtl/>
        </w:rPr>
      </w:pPr>
      <w:r>
        <w:rPr>
          <w:rStyle w:val="default"/>
          <w:rFonts w:cs="FrankRuehl" w:hint="cs"/>
          <w:rtl/>
        </w:rPr>
        <w:t>(4</w:t>
      </w:r>
      <w:r>
        <w:rPr>
          <w:rStyle w:val="default"/>
          <w:rFonts w:cs="FrankRuehl"/>
          <w:rtl/>
        </w:rPr>
        <w:t>)</w:t>
      </w:r>
      <w:r>
        <w:rPr>
          <w:rStyle w:val="default"/>
          <w:rFonts w:cs="FrankRuehl"/>
          <w:rtl/>
        </w:rPr>
        <w:tab/>
        <w:t>מ</w:t>
      </w:r>
      <w:r>
        <w:rPr>
          <w:rStyle w:val="default"/>
          <w:rFonts w:cs="FrankRuehl" w:hint="cs"/>
          <w:rtl/>
        </w:rPr>
        <w:t>ה ייעשה בנכסים האמורים בסעיף 8.</w:t>
      </w:r>
    </w:p>
    <w:p w14:paraId="0EA47AD6" w14:textId="77777777" w:rsidR="000851D4" w:rsidRDefault="000851D4">
      <w:pPr>
        <w:pStyle w:val="P00"/>
        <w:spacing w:before="72"/>
        <w:ind w:left="0" w:right="1134"/>
        <w:rPr>
          <w:rStyle w:val="default"/>
          <w:rFonts w:cs="FrankRuehl"/>
          <w:rtl/>
        </w:rPr>
      </w:pPr>
      <w:bookmarkStart w:id="11" w:name="Seif11"/>
      <w:bookmarkEnd w:id="11"/>
      <w:r>
        <w:rPr>
          <w:lang w:val="he-IL"/>
        </w:rPr>
        <w:pict w14:anchorId="64256BD2">
          <v:rect id="_x0000_s1037" style="position:absolute;left:0;text-align:left;margin-left:464.5pt;margin-top:8.05pt;width:75.05pt;height:13.9pt;z-index:251662336" o:allowincell="f" filled="f" stroked="f" strokecolor="lime" strokeweight=".25pt">
            <v:textbox inset="0,0,0,0">
              <w:txbxContent>
                <w:p w14:paraId="59E8C803" w14:textId="77777777" w:rsidR="000851D4" w:rsidRDefault="000851D4">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12.</w:t>
      </w:r>
      <w:r>
        <w:rPr>
          <w:rStyle w:val="big-number"/>
          <w:rFonts w:cs="Miriam"/>
          <w:rtl/>
        </w:rPr>
        <w:tab/>
      </w:r>
      <w:r>
        <w:rPr>
          <w:rStyle w:val="default"/>
          <w:rFonts w:cs="FrankRuehl"/>
          <w:rtl/>
        </w:rPr>
        <w:t>הו</w:t>
      </w:r>
      <w:r>
        <w:rPr>
          <w:rStyle w:val="default"/>
          <w:rFonts w:cs="FrankRuehl" w:hint="cs"/>
          <w:rtl/>
        </w:rPr>
        <w:t>ראות חוק זה יחולו כשאין בחוק אחר הוראות מיוחדות ל</w:t>
      </w:r>
      <w:r>
        <w:rPr>
          <w:rStyle w:val="default"/>
          <w:rFonts w:cs="FrankRuehl"/>
          <w:rtl/>
        </w:rPr>
        <w:t>ענ</w:t>
      </w:r>
      <w:r>
        <w:rPr>
          <w:rStyle w:val="default"/>
          <w:rFonts w:cs="FrankRuehl" w:hint="cs"/>
          <w:rtl/>
        </w:rPr>
        <w:t>ין הנדון.</w:t>
      </w:r>
    </w:p>
    <w:p w14:paraId="57091D70" w14:textId="77777777" w:rsidR="000851D4" w:rsidRDefault="000851D4">
      <w:pPr>
        <w:pStyle w:val="P00"/>
        <w:spacing w:before="72"/>
        <w:ind w:left="0" w:right="1134"/>
        <w:rPr>
          <w:rStyle w:val="default"/>
          <w:rFonts w:cs="FrankRuehl" w:hint="cs"/>
          <w:rtl/>
        </w:rPr>
      </w:pPr>
      <w:bookmarkStart w:id="12" w:name="Seif12"/>
      <w:bookmarkEnd w:id="12"/>
      <w:r>
        <w:rPr>
          <w:lang w:val="he-IL"/>
        </w:rPr>
        <w:pict w14:anchorId="0AA63541">
          <v:rect id="_x0000_s1038" style="position:absolute;left:0;text-align:left;margin-left:464.5pt;margin-top:8.05pt;width:75.05pt;height:10.8pt;z-index:251663360" o:allowincell="f" filled="f" stroked="f" strokecolor="lime" strokeweight=".25pt">
            <v:textbox inset="0,0,0,0">
              <w:txbxContent>
                <w:p w14:paraId="17ADF29D" w14:textId="77777777" w:rsidR="000851D4" w:rsidRDefault="000851D4">
                  <w:pPr>
                    <w:spacing w:line="160" w:lineRule="exact"/>
                    <w:jc w:val="left"/>
                    <w:rPr>
                      <w:rFonts w:cs="Miriam"/>
                      <w:noProof/>
                      <w:sz w:val="18"/>
                      <w:szCs w:val="18"/>
                      <w:rtl/>
                    </w:rPr>
                  </w:pPr>
                  <w:r>
                    <w:rPr>
                      <w:rFonts w:cs="Miriam"/>
                      <w:sz w:val="18"/>
                      <w:szCs w:val="18"/>
                      <w:rtl/>
                    </w:rPr>
                    <w:t>בי</w:t>
                  </w:r>
                  <w:r>
                    <w:rPr>
                      <w:rFonts w:cs="Miriam" w:hint="cs"/>
                      <w:sz w:val="18"/>
                      <w:szCs w:val="18"/>
                      <w:rtl/>
                    </w:rPr>
                    <w:t>טולים</w:t>
                  </w:r>
                </w:p>
              </w:txbxContent>
            </v:textbox>
            <w10:anchorlock/>
          </v:rect>
        </w:pict>
      </w:r>
      <w:r>
        <w:rPr>
          <w:rStyle w:val="big-number"/>
          <w:rFonts w:cs="Miriam"/>
          <w:rtl/>
        </w:rPr>
        <w:t>13.</w:t>
      </w:r>
      <w:r>
        <w:rPr>
          <w:rStyle w:val="big-number"/>
          <w:rFonts w:cs="Miriam"/>
          <w:rtl/>
        </w:rPr>
        <w:tab/>
      </w:r>
      <w:r>
        <w:rPr>
          <w:rStyle w:val="default"/>
          <w:rFonts w:cs="FrankRuehl"/>
          <w:rtl/>
        </w:rPr>
        <w:t>בט</w:t>
      </w:r>
      <w:r>
        <w:rPr>
          <w:rStyle w:val="default"/>
          <w:rFonts w:cs="FrankRuehl" w:hint="cs"/>
          <w:rtl/>
        </w:rPr>
        <w:t xml:space="preserve">לים </w:t>
      </w:r>
      <w:r w:rsidR="00117B45">
        <w:rPr>
          <w:rStyle w:val="default"/>
          <w:rFonts w:cs="FrankRuehl"/>
          <w:rtl/>
        </w:rPr>
        <w:t>–</w:t>
      </w:r>
    </w:p>
    <w:p w14:paraId="13BB2649" w14:textId="77777777" w:rsidR="000851D4" w:rsidRDefault="000851D4">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עיף 770 למג'לה;</w:t>
      </w:r>
    </w:p>
    <w:p w14:paraId="0DB874C5" w14:textId="77777777" w:rsidR="000851D4" w:rsidRDefault="000851D4" w:rsidP="00117B45">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עיף 94(6) לפקודת המשטרה [נוסח חדש], תשל"א</w:t>
      </w:r>
      <w:r w:rsidR="00117B45">
        <w:rPr>
          <w:rStyle w:val="default"/>
          <w:rFonts w:cs="FrankRuehl" w:hint="cs"/>
          <w:rtl/>
        </w:rPr>
        <w:t>-</w:t>
      </w:r>
      <w:r>
        <w:rPr>
          <w:rStyle w:val="default"/>
          <w:rFonts w:cs="FrankRuehl"/>
          <w:rtl/>
        </w:rPr>
        <w:t>1971.</w:t>
      </w:r>
    </w:p>
    <w:p w14:paraId="78647085" w14:textId="77777777" w:rsidR="000851D4" w:rsidRDefault="000851D4">
      <w:pPr>
        <w:pStyle w:val="P00"/>
        <w:spacing w:before="72"/>
        <w:ind w:left="0" w:right="1134"/>
        <w:rPr>
          <w:rStyle w:val="default"/>
          <w:rFonts w:cs="FrankRuehl"/>
          <w:rtl/>
        </w:rPr>
      </w:pPr>
      <w:bookmarkStart w:id="13" w:name="Seif13"/>
      <w:bookmarkEnd w:id="13"/>
      <w:r>
        <w:rPr>
          <w:lang w:val="he-IL"/>
        </w:rPr>
        <w:pict w14:anchorId="2555A98D">
          <v:rect id="_x0000_s1039" style="position:absolute;left:0;text-align:left;margin-left:464.5pt;margin-top:8.05pt;width:75.05pt;height:13.65pt;z-index:251664384" o:allowincell="f" filled="f" stroked="f" strokecolor="lime" strokeweight=".25pt">
            <v:textbox inset="0,0,0,0">
              <w:txbxContent>
                <w:p w14:paraId="6A253B9F" w14:textId="77777777" w:rsidR="000851D4" w:rsidRDefault="000851D4">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14.</w:t>
      </w:r>
      <w:r>
        <w:rPr>
          <w:rStyle w:val="big-number"/>
          <w:rFonts w:cs="Miriam"/>
          <w:rtl/>
        </w:rPr>
        <w:tab/>
      </w:r>
      <w:r>
        <w:rPr>
          <w:rStyle w:val="default"/>
          <w:rFonts w:cs="FrankRuehl"/>
          <w:rtl/>
        </w:rPr>
        <w:t>תח</w:t>
      </w:r>
      <w:r>
        <w:rPr>
          <w:rStyle w:val="default"/>
          <w:rFonts w:cs="FrankRuehl" w:hint="cs"/>
          <w:rtl/>
        </w:rPr>
        <w:t>ילתו של חוק זה ביום ג' באלול תשל"ג (31 באוגוסט 1973).</w:t>
      </w:r>
    </w:p>
    <w:p w14:paraId="403D9F0B" w14:textId="77777777" w:rsidR="000851D4" w:rsidRDefault="000851D4">
      <w:pPr>
        <w:pStyle w:val="P00"/>
        <w:spacing w:before="72"/>
        <w:ind w:left="0" w:right="1134"/>
        <w:rPr>
          <w:rStyle w:val="default"/>
          <w:rFonts w:cs="FrankRuehl"/>
          <w:rtl/>
        </w:rPr>
      </w:pPr>
    </w:p>
    <w:p w14:paraId="170B453C" w14:textId="77777777" w:rsidR="000851D4" w:rsidRDefault="000851D4">
      <w:pPr>
        <w:pStyle w:val="P00"/>
        <w:spacing w:before="72"/>
        <w:ind w:left="0" w:right="1134"/>
        <w:rPr>
          <w:rStyle w:val="default"/>
          <w:rFonts w:cs="FrankRuehl"/>
          <w:rtl/>
        </w:rPr>
      </w:pPr>
    </w:p>
    <w:p w14:paraId="266BD947" w14:textId="77777777" w:rsidR="000851D4" w:rsidRPr="00117B45" w:rsidRDefault="000851D4" w:rsidP="00117B45">
      <w:pPr>
        <w:pStyle w:val="sig-1"/>
        <w:widowControl/>
        <w:spacing w:before="72"/>
        <w:ind w:left="0" w:right="1134"/>
        <w:rPr>
          <w:rFonts w:cs="FrankRuehl"/>
          <w:sz w:val="26"/>
          <w:szCs w:val="26"/>
          <w:rtl/>
        </w:rPr>
      </w:pPr>
      <w:r w:rsidRPr="00117B45">
        <w:rPr>
          <w:rFonts w:cs="FrankRuehl"/>
          <w:sz w:val="26"/>
          <w:szCs w:val="26"/>
          <w:rtl/>
        </w:rPr>
        <w:tab/>
      </w:r>
      <w:r w:rsidRPr="00117B45">
        <w:rPr>
          <w:rFonts w:cs="FrankRuehl"/>
          <w:sz w:val="26"/>
          <w:szCs w:val="26"/>
          <w:rtl/>
        </w:rPr>
        <w:tab/>
        <w:t>ג</w:t>
      </w:r>
      <w:r w:rsidRPr="00117B45">
        <w:rPr>
          <w:rFonts w:cs="FrankRuehl" w:hint="cs"/>
          <w:sz w:val="26"/>
          <w:szCs w:val="26"/>
          <w:rtl/>
        </w:rPr>
        <w:t>ולדה מאיר</w:t>
      </w:r>
      <w:r w:rsidRPr="00117B45">
        <w:rPr>
          <w:rFonts w:cs="FrankRuehl"/>
          <w:sz w:val="26"/>
          <w:szCs w:val="26"/>
          <w:rtl/>
        </w:rPr>
        <w:tab/>
        <w:t>ש</w:t>
      </w:r>
      <w:r w:rsidRPr="00117B45">
        <w:rPr>
          <w:rFonts w:cs="FrankRuehl" w:hint="cs"/>
          <w:sz w:val="26"/>
          <w:szCs w:val="26"/>
          <w:rtl/>
        </w:rPr>
        <w:t>למה הלל</w:t>
      </w:r>
    </w:p>
    <w:p w14:paraId="127B4167" w14:textId="77777777" w:rsidR="000851D4" w:rsidRDefault="000851D4" w:rsidP="00117B45">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המשטרה</w:t>
      </w:r>
    </w:p>
    <w:p w14:paraId="1D88C045" w14:textId="77777777" w:rsidR="00117B45" w:rsidRPr="00117B45" w:rsidRDefault="00117B45" w:rsidP="00117B45">
      <w:pPr>
        <w:pStyle w:val="sig-1"/>
        <w:widowControl/>
        <w:spacing w:before="72"/>
        <w:ind w:left="0" w:right="1134"/>
        <w:rPr>
          <w:rFonts w:cs="FrankRuehl"/>
          <w:sz w:val="26"/>
          <w:szCs w:val="26"/>
          <w:rtl/>
        </w:rPr>
      </w:pPr>
      <w:r w:rsidRPr="00117B45">
        <w:rPr>
          <w:rFonts w:cs="FrankRuehl"/>
          <w:sz w:val="26"/>
          <w:szCs w:val="26"/>
          <w:rtl/>
        </w:rPr>
        <w:tab/>
        <w:t>א</w:t>
      </w:r>
      <w:r w:rsidRPr="00117B45">
        <w:rPr>
          <w:rFonts w:cs="FrankRuehl" w:hint="cs"/>
          <w:sz w:val="26"/>
          <w:szCs w:val="26"/>
          <w:rtl/>
        </w:rPr>
        <w:t>פרים קציר</w:t>
      </w:r>
    </w:p>
    <w:p w14:paraId="2244E538" w14:textId="77777777" w:rsidR="00117B45" w:rsidRDefault="00117B45" w:rsidP="00117B45">
      <w:pPr>
        <w:pStyle w:val="sig-1"/>
        <w:widowControl/>
        <w:ind w:left="0" w:right="1134"/>
        <w:rPr>
          <w:rFonts w:cs="FrankRuehl"/>
          <w:sz w:val="22"/>
          <w:rtl/>
        </w:rPr>
      </w:pPr>
      <w:r>
        <w:rPr>
          <w:rFonts w:cs="FrankRuehl"/>
          <w:sz w:val="22"/>
          <w:rtl/>
        </w:rPr>
        <w:tab/>
        <w:t>נ</w:t>
      </w:r>
      <w:r>
        <w:rPr>
          <w:rFonts w:cs="FrankRuehl" w:hint="cs"/>
          <w:sz w:val="22"/>
          <w:rtl/>
        </w:rPr>
        <w:t>שיא המדינה</w:t>
      </w:r>
    </w:p>
    <w:p w14:paraId="481A5A21" w14:textId="77777777" w:rsidR="000851D4" w:rsidRPr="00117B45" w:rsidRDefault="000851D4" w:rsidP="00117B45">
      <w:pPr>
        <w:pStyle w:val="P00"/>
        <w:spacing w:before="72"/>
        <w:ind w:left="0" w:right="1134"/>
        <w:rPr>
          <w:rStyle w:val="default"/>
          <w:rFonts w:cs="FrankRuehl"/>
          <w:rtl/>
        </w:rPr>
      </w:pPr>
    </w:p>
    <w:p w14:paraId="36007416" w14:textId="77777777" w:rsidR="000851D4" w:rsidRPr="00117B45" w:rsidRDefault="000851D4" w:rsidP="00117B45">
      <w:pPr>
        <w:pStyle w:val="P00"/>
        <w:spacing w:before="72"/>
        <w:ind w:left="0" w:right="1134"/>
        <w:rPr>
          <w:rStyle w:val="default"/>
          <w:rFonts w:cs="FrankRuehl"/>
          <w:rtl/>
        </w:rPr>
      </w:pPr>
    </w:p>
    <w:p w14:paraId="4A725080" w14:textId="77777777" w:rsidR="000851D4" w:rsidRPr="00117B45" w:rsidRDefault="000851D4" w:rsidP="00117B45">
      <w:pPr>
        <w:pStyle w:val="P00"/>
        <w:spacing w:before="72"/>
        <w:ind w:left="0" w:right="1134"/>
        <w:rPr>
          <w:rStyle w:val="default"/>
          <w:rFonts w:cs="FrankRuehl"/>
          <w:rtl/>
        </w:rPr>
      </w:pPr>
      <w:bookmarkStart w:id="14" w:name="LawPartEnd"/>
    </w:p>
    <w:bookmarkEnd w:id="14"/>
    <w:p w14:paraId="1E87168B" w14:textId="77777777" w:rsidR="000851D4" w:rsidRPr="00117B45" w:rsidRDefault="000851D4" w:rsidP="00117B45">
      <w:pPr>
        <w:pStyle w:val="P00"/>
        <w:spacing w:before="72"/>
        <w:ind w:left="0" w:right="1134"/>
        <w:rPr>
          <w:rStyle w:val="default"/>
          <w:rFonts w:cs="FrankRuehl"/>
          <w:rtl/>
        </w:rPr>
      </w:pPr>
    </w:p>
    <w:sectPr w:rsidR="000851D4" w:rsidRPr="00117B45">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2ECF8" w14:textId="77777777" w:rsidR="00696ABA" w:rsidRDefault="00696ABA">
      <w:r>
        <w:separator/>
      </w:r>
    </w:p>
  </w:endnote>
  <w:endnote w:type="continuationSeparator" w:id="0">
    <w:p w14:paraId="2971E110" w14:textId="77777777" w:rsidR="00696ABA" w:rsidRDefault="0069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7A7B" w14:textId="77777777" w:rsidR="000851D4" w:rsidRDefault="000851D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D2B9E6B" w14:textId="77777777" w:rsidR="000851D4" w:rsidRDefault="000851D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D6951A1" w14:textId="77777777" w:rsidR="000851D4" w:rsidRDefault="000851D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17B45">
      <w:rPr>
        <w:rFonts w:cs="TopType Jerushalmi"/>
        <w:noProof/>
        <w:color w:val="000000"/>
        <w:sz w:val="14"/>
        <w:szCs w:val="14"/>
      </w:rPr>
      <w:t>D:\Yael\hakika\Revadim\122_001.doc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7FA80" w14:textId="77777777" w:rsidR="000851D4" w:rsidRDefault="000851D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A2742">
      <w:rPr>
        <w:rFonts w:hAnsi="FrankRuehl" w:cs="FrankRuehl"/>
        <w:noProof/>
        <w:sz w:val="24"/>
        <w:szCs w:val="24"/>
        <w:rtl/>
      </w:rPr>
      <w:t>2</w:t>
    </w:r>
    <w:r>
      <w:rPr>
        <w:rFonts w:hAnsi="FrankRuehl" w:cs="FrankRuehl"/>
        <w:sz w:val="24"/>
        <w:szCs w:val="24"/>
        <w:rtl/>
      </w:rPr>
      <w:fldChar w:fldCharType="end"/>
    </w:r>
  </w:p>
  <w:p w14:paraId="2511F311" w14:textId="77777777" w:rsidR="000851D4" w:rsidRDefault="000851D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CA6A29A" w14:textId="77777777" w:rsidR="000851D4" w:rsidRDefault="000851D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17B45">
      <w:rPr>
        <w:rFonts w:cs="TopType Jerushalmi"/>
        <w:noProof/>
        <w:color w:val="000000"/>
        <w:sz w:val="14"/>
        <w:szCs w:val="14"/>
      </w:rPr>
      <w:t>D:\Yael\hakika\Revadim\122_001.doc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63CC5" w14:textId="77777777" w:rsidR="00696ABA" w:rsidRDefault="00696ABA" w:rsidP="00117B45">
      <w:pPr>
        <w:spacing w:before="60" w:line="240" w:lineRule="auto"/>
        <w:ind w:right="1134"/>
      </w:pPr>
      <w:r>
        <w:separator/>
      </w:r>
    </w:p>
  </w:footnote>
  <w:footnote w:type="continuationSeparator" w:id="0">
    <w:p w14:paraId="68F4F6EF" w14:textId="77777777" w:rsidR="00696ABA" w:rsidRDefault="00696ABA">
      <w:r>
        <w:continuationSeparator/>
      </w:r>
    </w:p>
  </w:footnote>
  <w:footnote w:id="1">
    <w:p w14:paraId="3C76307F" w14:textId="77777777" w:rsidR="00117B45" w:rsidRPr="00117B45" w:rsidRDefault="00117B45" w:rsidP="00117B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117B45">
        <w:rPr>
          <w:rFonts w:cs="FrankRuehl"/>
          <w:rtl/>
        </w:rPr>
        <w:t xml:space="preserve">* </w:t>
      </w:r>
      <w:r>
        <w:rPr>
          <w:rFonts w:cs="FrankRuehl"/>
          <w:rtl/>
        </w:rPr>
        <w:t>פו</w:t>
      </w:r>
      <w:r>
        <w:rPr>
          <w:rFonts w:cs="FrankRuehl" w:hint="cs"/>
          <w:rtl/>
        </w:rPr>
        <w:t xml:space="preserve">רסם </w:t>
      </w:r>
      <w:hyperlink r:id="rId1" w:history="1">
        <w:r w:rsidRPr="00074D7F">
          <w:rPr>
            <w:rStyle w:val="Hyperlink"/>
            <w:rFonts w:cs="FrankRuehl" w:hint="cs"/>
            <w:rtl/>
          </w:rPr>
          <w:t>ס"ח ת</w:t>
        </w:r>
        <w:r w:rsidRPr="00074D7F">
          <w:rPr>
            <w:rStyle w:val="Hyperlink"/>
            <w:rFonts w:cs="FrankRuehl" w:hint="cs"/>
            <w:rtl/>
          </w:rPr>
          <w:t>של"ג מס' 702</w:t>
        </w:r>
      </w:hyperlink>
      <w:r>
        <w:rPr>
          <w:rFonts w:cs="FrankRuehl" w:hint="cs"/>
          <w:rtl/>
        </w:rPr>
        <w:t xml:space="preserve"> מיום 6.7.1973 עמ' 172 (</w:t>
      </w:r>
      <w:hyperlink r:id="rId2" w:history="1">
        <w:r w:rsidRPr="00074D7F">
          <w:rPr>
            <w:rStyle w:val="Hyperlink"/>
            <w:rFonts w:cs="FrankRuehl" w:hint="cs"/>
            <w:rtl/>
          </w:rPr>
          <w:t>ה"ח תשל"א מס' 930</w:t>
        </w:r>
      </w:hyperlink>
      <w:r>
        <w:rPr>
          <w:rFonts w:cs="FrankRuehl" w:hint="cs"/>
          <w:rtl/>
        </w:rPr>
        <w:t xml:space="preserve"> עמ' 165).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8FCB" w14:textId="77777777" w:rsidR="000851D4" w:rsidRDefault="000851D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השבת אבידה, תשל"ג–1973</w:t>
    </w:r>
  </w:p>
  <w:p w14:paraId="14FB3BBC" w14:textId="77777777" w:rsidR="000851D4" w:rsidRDefault="000851D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2F5EBC" w14:textId="77777777" w:rsidR="000851D4" w:rsidRDefault="000851D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AF0C" w14:textId="77777777" w:rsidR="000851D4" w:rsidRDefault="000851D4" w:rsidP="00117B4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השבת אבידה, תשל"ג</w:t>
    </w:r>
    <w:r w:rsidR="00117B45">
      <w:rPr>
        <w:rFonts w:hAnsi="FrankRuehl" w:cs="FrankRuehl" w:hint="cs"/>
        <w:color w:val="000000"/>
        <w:sz w:val="28"/>
        <w:szCs w:val="28"/>
        <w:rtl/>
      </w:rPr>
      <w:t>-</w:t>
    </w:r>
    <w:r>
      <w:rPr>
        <w:rFonts w:hAnsi="FrankRuehl" w:cs="FrankRuehl"/>
        <w:color w:val="000000"/>
        <w:sz w:val="28"/>
        <w:szCs w:val="28"/>
        <w:rtl/>
      </w:rPr>
      <w:t>1973</w:t>
    </w:r>
  </w:p>
  <w:p w14:paraId="595530A8" w14:textId="77777777" w:rsidR="000851D4" w:rsidRDefault="000851D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3879F2" w14:textId="77777777" w:rsidR="000851D4" w:rsidRDefault="000851D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4D7F"/>
    <w:rsid w:val="00074D7F"/>
    <w:rsid w:val="000851D4"/>
    <w:rsid w:val="00096373"/>
    <w:rsid w:val="00117B45"/>
    <w:rsid w:val="001C6802"/>
    <w:rsid w:val="00696ABA"/>
    <w:rsid w:val="007D23D8"/>
    <w:rsid w:val="00A639EB"/>
    <w:rsid w:val="00EA274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3787BDC"/>
  <w15:chartTrackingRefBased/>
  <w15:docId w15:val="{CB2A899A-4DD4-4BFC-9EDA-C0A14D6E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074D7F"/>
    <w:rPr>
      <w:color w:val="800080"/>
      <w:u w:val="single"/>
    </w:rPr>
  </w:style>
  <w:style w:type="paragraph" w:styleId="a5">
    <w:name w:val="footnote text"/>
    <w:basedOn w:val="a"/>
    <w:semiHidden/>
    <w:rsid w:val="00117B45"/>
    <w:rPr>
      <w:sz w:val="20"/>
      <w:szCs w:val="20"/>
    </w:rPr>
  </w:style>
  <w:style w:type="character" w:styleId="a6">
    <w:name w:val="footnote reference"/>
    <w:basedOn w:val="a0"/>
    <w:semiHidden/>
    <w:rsid w:val="00117B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0930.pdf" TargetMode="External"/><Relationship Id="rId1" Type="http://schemas.openxmlformats.org/officeDocument/2006/relationships/hyperlink" Target="http://www.nevo.co.il/Law_word/law14/LAW-07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פרק 122</vt:lpstr>
    </vt:vector>
  </TitlesOfParts>
  <Company/>
  <LinksUpToDate>false</LinksUpToDate>
  <CharactersWithSpaces>4560</CharactersWithSpaces>
  <SharedDoc>false</SharedDoc>
  <HLinks>
    <vt:vector size="96" baseType="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126</vt:i4>
      </vt:variant>
      <vt:variant>
        <vt:i4>3</vt:i4>
      </vt:variant>
      <vt:variant>
        <vt:i4>0</vt:i4>
      </vt:variant>
      <vt:variant>
        <vt:i4>5</vt:i4>
      </vt:variant>
      <vt:variant>
        <vt:lpwstr>http://www.nevo.co.il/Law_word/law17/PROP-0930.pdf</vt:lpwstr>
      </vt:variant>
      <vt:variant>
        <vt:lpwstr/>
      </vt:variant>
      <vt:variant>
        <vt:i4>8323084</vt:i4>
      </vt:variant>
      <vt:variant>
        <vt:i4>0</vt:i4>
      </vt:variant>
      <vt:variant>
        <vt:i4>0</vt:i4>
      </vt:variant>
      <vt:variant>
        <vt:i4>5</vt:i4>
      </vt:variant>
      <vt:variant>
        <vt:lpwstr>http://www.nevo.co.il/Law_word/law14/LAW-0702.pdf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122</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0122</vt:lpwstr>
  </property>
  <property fmtid="{D5CDD505-2E9C-101B-9397-08002B2CF9AE}" pid="3" name="CHNAME">
    <vt:lpwstr>השבת אבידה</vt:lpwstr>
  </property>
  <property fmtid="{D5CDD505-2E9C-101B-9397-08002B2CF9AE}" pid="4" name="LAWNAME">
    <vt:lpwstr>חוק השבת אבידה, תשל"ג-1973</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חיובים</vt:lpwstr>
  </property>
  <property fmtid="{D5CDD505-2E9C-101B-9397-08002B2CF9AE}" pid="9" name="NOSE31">
    <vt:lpwstr>עשיית עושר ולא במשפט</vt:lpwstr>
  </property>
  <property fmtid="{D5CDD505-2E9C-101B-9397-08002B2CF9AE}" pid="10" name="NOSE41">
    <vt:lpwstr>השבת אבדה</vt:lpwstr>
  </property>
  <property fmtid="{D5CDD505-2E9C-101B-9397-08002B2CF9AE}" pid="11" name="NOSE12">
    <vt:lpwstr>משפט פרטי וכלכלה</vt:lpwstr>
  </property>
  <property fmtid="{D5CDD505-2E9C-101B-9397-08002B2CF9AE}" pid="12" name="NOSE22">
    <vt:lpwstr>קניין</vt:lpwstr>
  </property>
  <property fmtid="{D5CDD505-2E9C-101B-9397-08002B2CF9AE}" pid="13" name="NOSE32">
    <vt:lpwstr>מטלטלין</vt:lpwstr>
  </property>
  <property fmtid="{D5CDD505-2E9C-101B-9397-08002B2CF9AE}" pid="14" name="NOSE42">
    <vt:lpwstr>השבת אבדה</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