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852F43" w:rsidP="002C7095">
      <w:pPr>
        <w:pStyle w:val="big-header"/>
        <w:ind w:left="0" w:right="1134"/>
        <w:rPr>
          <w:rFonts w:cs="FrankRuehl" w:hint="cs"/>
          <w:sz w:val="32"/>
          <w:rtl/>
        </w:rPr>
      </w:pPr>
      <w:r>
        <w:rPr>
          <w:rFonts w:cs="FrankRuehl" w:hint="cs"/>
          <w:sz w:val="32"/>
          <w:rtl/>
        </w:rPr>
        <w:t xml:space="preserve">חוק </w:t>
      </w:r>
      <w:r w:rsidR="002C7095">
        <w:rPr>
          <w:rFonts w:cs="FrankRuehl" w:hint="cs"/>
          <w:sz w:val="32"/>
          <w:rtl/>
        </w:rPr>
        <w:t>התכנית</w:t>
      </w:r>
      <w:r w:rsidR="005B3863">
        <w:rPr>
          <w:rFonts w:cs="FrankRuehl" w:hint="cs"/>
          <w:sz w:val="32"/>
          <w:rtl/>
        </w:rPr>
        <w:t xml:space="preserve"> הכלכלית (תיקוני חקיקה ליישום </w:t>
      </w:r>
      <w:r w:rsidR="002C7095">
        <w:rPr>
          <w:rFonts w:cs="FrankRuehl" w:hint="cs"/>
          <w:sz w:val="32"/>
          <w:rtl/>
        </w:rPr>
        <w:t>המדיניות הכלכלית לשנות התקציב 2015 ו-2016), תשע"ו-2016</w:t>
      </w:r>
    </w:p>
    <w:p w:rsidR="002C7095" w:rsidRPr="002C7095" w:rsidRDefault="002C7095" w:rsidP="002C7095">
      <w:pPr>
        <w:spacing w:line="320" w:lineRule="auto"/>
        <w:rPr>
          <w:rFonts w:cs="FrankRuehl"/>
          <w:szCs w:val="26"/>
          <w:rtl/>
        </w:rPr>
      </w:pPr>
    </w:p>
    <w:p w:rsidR="002C7095" w:rsidRDefault="002C7095" w:rsidP="002C7095">
      <w:pPr>
        <w:spacing w:line="320" w:lineRule="auto"/>
        <w:rPr>
          <w:rtl/>
        </w:rPr>
      </w:pPr>
    </w:p>
    <w:p w:rsidR="002C7095" w:rsidRPr="002C7095" w:rsidRDefault="002C7095" w:rsidP="002C7095">
      <w:pPr>
        <w:spacing w:line="320" w:lineRule="auto"/>
        <w:rPr>
          <w:rFonts w:cs="Miriam" w:hint="cs"/>
          <w:szCs w:val="22"/>
          <w:rtl/>
        </w:rPr>
      </w:pPr>
      <w:r w:rsidRPr="002C7095">
        <w:rPr>
          <w:rFonts w:cs="Miriam"/>
          <w:szCs w:val="22"/>
          <w:rtl/>
        </w:rPr>
        <w:t>משפט פרטי וכלכלה</w:t>
      </w:r>
      <w:r w:rsidRPr="002C7095">
        <w:rPr>
          <w:rFonts w:cs="FrankRuehl"/>
          <w:szCs w:val="26"/>
          <w:rtl/>
        </w:rPr>
        <w:t xml:space="preserve"> – כספים – תקציב ומשק המדינה – מדיניות כלכלית</w:t>
      </w:r>
    </w:p>
    <w:p w:rsidR="002A24E2" w:rsidRDefault="002A24E2">
      <w:pPr>
        <w:pStyle w:val="big-header"/>
        <w:ind w:left="0" w:right="1134"/>
        <w:rPr>
          <w:rFonts w:cs="FrankRuehl" w:hint="cs"/>
          <w:sz w:val="32"/>
          <w:rtl/>
        </w:rPr>
      </w:pPr>
      <w:r>
        <w:rPr>
          <w:rFonts w:cs="FrankRuehl" w:hint="cs"/>
          <w:sz w:val="32"/>
          <w:rtl/>
        </w:rPr>
        <w:t>תוכן ענינים</w:t>
      </w:r>
      <w:r w:rsidR="00F0718A">
        <w:rPr>
          <w:rFonts w:cs="FrankRuehl" w:hint="cs"/>
          <w:sz w:val="32"/>
          <w:rtl/>
        </w:rPr>
        <w:t xml:space="preserve"> </w:t>
      </w:r>
      <w:r w:rsidR="00F0718A">
        <w:rPr>
          <w:rFonts w:cs="FrankRuehl"/>
          <w:sz w:val="32"/>
          <w:rtl/>
        </w:rPr>
        <w:t>–</w:t>
      </w:r>
      <w:r w:rsidR="00F0718A">
        <w:rPr>
          <w:rFonts w:cs="FrankRuehl" w:hint="cs"/>
          <w:sz w:val="32"/>
          <w:rtl/>
        </w:rPr>
        <w:t xml:space="preserve"> </w:t>
      </w:r>
      <w:r w:rsidR="00F0718A" w:rsidRPr="00805BF7">
        <w:rPr>
          <w:rFonts w:cs="FrankRuehl"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p>
        </w:tc>
        <w:tc>
          <w:tcPr>
            <w:tcW w:w="5669" w:type="dxa"/>
          </w:tcPr>
          <w:p w:rsidR="00043599" w:rsidRPr="00043599" w:rsidRDefault="00043599" w:rsidP="00043599">
            <w:pPr>
              <w:rPr>
                <w:rFonts w:cs="Frankruhel" w:hint="cs"/>
                <w:rtl/>
              </w:rPr>
            </w:pPr>
            <w:r>
              <w:rPr>
                <w:rtl/>
              </w:rPr>
              <w:t>תוכן העניינים</w:t>
            </w:r>
          </w:p>
        </w:tc>
        <w:tc>
          <w:tcPr>
            <w:tcW w:w="567" w:type="dxa"/>
          </w:tcPr>
          <w:p w:rsidR="00043599" w:rsidRPr="00043599" w:rsidRDefault="00043599" w:rsidP="00043599">
            <w:pPr>
              <w:rPr>
                <w:rStyle w:val="Hyperlink"/>
                <w:rFonts w:hint="cs"/>
                <w:rtl/>
              </w:rPr>
            </w:pPr>
            <w:hyperlink w:anchor="med0" w:tooltip="תוכן העניינים"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p>
        </w:tc>
        <w:tc>
          <w:tcPr>
            <w:tcW w:w="5669" w:type="dxa"/>
          </w:tcPr>
          <w:p w:rsidR="00043599" w:rsidRPr="00043599" w:rsidRDefault="00043599" w:rsidP="00043599">
            <w:pPr>
              <w:rPr>
                <w:rFonts w:cs="Frankruhel" w:hint="cs"/>
                <w:rtl/>
              </w:rPr>
            </w:pPr>
            <w:r>
              <w:rPr>
                <w:rtl/>
              </w:rPr>
              <w:t>פרק א': מטרת החוק</w:t>
            </w:r>
          </w:p>
        </w:tc>
        <w:tc>
          <w:tcPr>
            <w:tcW w:w="567" w:type="dxa"/>
          </w:tcPr>
          <w:p w:rsidR="00043599" w:rsidRPr="00043599" w:rsidRDefault="00043599" w:rsidP="00043599">
            <w:pPr>
              <w:rPr>
                <w:rStyle w:val="Hyperlink"/>
                <w:rFonts w:hint="cs"/>
                <w:rtl/>
              </w:rPr>
            </w:pPr>
            <w:hyperlink w:anchor="med1" w:tooltip="פרק א: מטרת החוק"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 </w:t>
            </w:r>
          </w:p>
        </w:tc>
        <w:tc>
          <w:tcPr>
            <w:tcW w:w="5669" w:type="dxa"/>
          </w:tcPr>
          <w:p w:rsidR="00043599" w:rsidRPr="00043599" w:rsidRDefault="00043599" w:rsidP="00043599">
            <w:pPr>
              <w:rPr>
                <w:rFonts w:cs="Frankruhel" w:hint="cs"/>
                <w:rtl/>
              </w:rPr>
            </w:pPr>
            <w:r>
              <w:rPr>
                <w:rtl/>
              </w:rPr>
              <w:t>מטרה</w:t>
            </w:r>
          </w:p>
        </w:tc>
        <w:tc>
          <w:tcPr>
            <w:tcW w:w="567" w:type="dxa"/>
          </w:tcPr>
          <w:p w:rsidR="00043599" w:rsidRPr="00043599" w:rsidRDefault="00043599" w:rsidP="00043599">
            <w:pPr>
              <w:rPr>
                <w:rStyle w:val="Hyperlink"/>
                <w:rFonts w:hint="cs"/>
                <w:rtl/>
              </w:rPr>
            </w:pPr>
            <w:hyperlink w:anchor="Seif1" w:tooltip="מטרה"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p>
        </w:tc>
        <w:tc>
          <w:tcPr>
            <w:tcW w:w="5669" w:type="dxa"/>
          </w:tcPr>
          <w:p w:rsidR="00043599" w:rsidRPr="00043599" w:rsidRDefault="00043599" w:rsidP="00043599">
            <w:pPr>
              <w:rPr>
                <w:rFonts w:cs="Frankruhel" w:hint="cs"/>
                <w:rtl/>
              </w:rPr>
            </w:pPr>
            <w:r>
              <w:rPr>
                <w:rtl/>
              </w:rPr>
              <w:t>פרק ה': בריאות</w:t>
            </w:r>
          </w:p>
        </w:tc>
        <w:tc>
          <w:tcPr>
            <w:tcW w:w="567" w:type="dxa"/>
          </w:tcPr>
          <w:p w:rsidR="00043599" w:rsidRPr="00043599" w:rsidRDefault="00043599" w:rsidP="00043599">
            <w:pPr>
              <w:rPr>
                <w:rStyle w:val="Hyperlink"/>
                <w:rFonts w:hint="cs"/>
                <w:rtl/>
              </w:rPr>
            </w:pPr>
            <w:hyperlink w:anchor="med2" w:tooltip="פרק ה: בריאות"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13 </w:t>
            </w:r>
          </w:p>
        </w:tc>
        <w:tc>
          <w:tcPr>
            <w:tcW w:w="5669" w:type="dxa"/>
          </w:tcPr>
          <w:p w:rsidR="00043599" w:rsidRPr="00043599" w:rsidRDefault="00043599" w:rsidP="00043599">
            <w:pPr>
              <w:rPr>
                <w:rFonts w:cs="Frankruhel" w:hint="cs"/>
                <w:rtl/>
              </w:rPr>
            </w:pPr>
            <w:r>
              <w:rPr>
                <w:rtl/>
              </w:rPr>
              <w:t>הגדרות</w:t>
            </w:r>
          </w:p>
        </w:tc>
        <w:tc>
          <w:tcPr>
            <w:tcW w:w="567" w:type="dxa"/>
          </w:tcPr>
          <w:p w:rsidR="00043599" w:rsidRPr="00043599" w:rsidRDefault="00043599" w:rsidP="00043599">
            <w:pPr>
              <w:rPr>
                <w:rStyle w:val="Hyperlink"/>
                <w:rFonts w:hint="cs"/>
                <w:rtl/>
              </w:rPr>
            </w:pPr>
            <w:hyperlink w:anchor="Seif2" w:tooltip="הגדרות"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14 </w:t>
            </w:r>
          </w:p>
        </w:tc>
        <w:tc>
          <w:tcPr>
            <w:tcW w:w="5669" w:type="dxa"/>
          </w:tcPr>
          <w:p w:rsidR="00043599" w:rsidRPr="00043599" w:rsidRDefault="00043599" w:rsidP="00043599">
            <w:pPr>
              <w:rPr>
                <w:rFonts w:cs="Frankruhel" w:hint="cs"/>
                <w:rtl/>
              </w:rPr>
            </w:pPr>
            <w:r>
              <w:rPr>
                <w:rtl/>
              </w:rPr>
              <w:t>הסדרי ניתוח</w:t>
            </w:r>
          </w:p>
        </w:tc>
        <w:tc>
          <w:tcPr>
            <w:tcW w:w="567" w:type="dxa"/>
          </w:tcPr>
          <w:p w:rsidR="00043599" w:rsidRPr="00043599" w:rsidRDefault="00043599" w:rsidP="00043599">
            <w:pPr>
              <w:rPr>
                <w:rStyle w:val="Hyperlink"/>
                <w:rFonts w:hint="cs"/>
                <w:rtl/>
              </w:rPr>
            </w:pPr>
            <w:hyperlink w:anchor="Seif3" w:tooltip="הסדרי ניתוח"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15 </w:t>
            </w:r>
          </w:p>
        </w:tc>
        <w:tc>
          <w:tcPr>
            <w:tcW w:w="5669" w:type="dxa"/>
          </w:tcPr>
          <w:p w:rsidR="00043599" w:rsidRPr="00043599" w:rsidRDefault="00043599" w:rsidP="00043599">
            <w:pPr>
              <w:rPr>
                <w:rFonts w:cs="Frankruhel" w:hint="cs"/>
                <w:rtl/>
              </w:rPr>
            </w:pPr>
            <w:r>
              <w:rPr>
                <w:rtl/>
              </w:rPr>
              <w:t>תשלומים בשל ניתוח</w:t>
            </w:r>
          </w:p>
        </w:tc>
        <w:tc>
          <w:tcPr>
            <w:tcW w:w="567" w:type="dxa"/>
          </w:tcPr>
          <w:p w:rsidR="00043599" w:rsidRPr="00043599" w:rsidRDefault="00043599" w:rsidP="00043599">
            <w:pPr>
              <w:rPr>
                <w:rStyle w:val="Hyperlink"/>
                <w:rFonts w:hint="cs"/>
                <w:rtl/>
              </w:rPr>
            </w:pPr>
            <w:hyperlink w:anchor="Seif4" w:tooltip="תשלומים בשל ניתוח"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16 </w:t>
            </w:r>
          </w:p>
        </w:tc>
        <w:tc>
          <w:tcPr>
            <w:tcW w:w="5669" w:type="dxa"/>
          </w:tcPr>
          <w:p w:rsidR="00043599" w:rsidRPr="00043599" w:rsidRDefault="00043599" w:rsidP="00043599">
            <w:pPr>
              <w:rPr>
                <w:rFonts w:cs="Frankruhel" w:hint="cs"/>
                <w:rtl/>
              </w:rPr>
            </w:pPr>
            <w:r>
              <w:rPr>
                <w:rtl/>
              </w:rPr>
              <w:t>הסדר התייעצות</w:t>
            </w:r>
          </w:p>
        </w:tc>
        <w:tc>
          <w:tcPr>
            <w:tcW w:w="567" w:type="dxa"/>
          </w:tcPr>
          <w:p w:rsidR="00043599" w:rsidRPr="00043599" w:rsidRDefault="00043599" w:rsidP="00043599">
            <w:pPr>
              <w:rPr>
                <w:rStyle w:val="Hyperlink"/>
                <w:rFonts w:hint="cs"/>
                <w:rtl/>
              </w:rPr>
            </w:pPr>
            <w:hyperlink w:anchor="Seif5" w:tooltip="הסדר התייעצות"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17 </w:t>
            </w:r>
          </w:p>
        </w:tc>
        <w:tc>
          <w:tcPr>
            <w:tcW w:w="5669" w:type="dxa"/>
          </w:tcPr>
          <w:p w:rsidR="00043599" w:rsidRPr="00043599" w:rsidRDefault="00043599" w:rsidP="00043599">
            <w:pPr>
              <w:rPr>
                <w:rFonts w:cs="Frankruhel" w:hint="cs"/>
                <w:rtl/>
              </w:rPr>
            </w:pPr>
            <w:r>
              <w:rPr>
                <w:rtl/>
              </w:rPr>
              <w:t>קביעת חריגים להסדר</w:t>
            </w:r>
          </w:p>
        </w:tc>
        <w:tc>
          <w:tcPr>
            <w:tcW w:w="567" w:type="dxa"/>
          </w:tcPr>
          <w:p w:rsidR="00043599" w:rsidRPr="00043599" w:rsidRDefault="00043599" w:rsidP="00043599">
            <w:pPr>
              <w:rPr>
                <w:rStyle w:val="Hyperlink"/>
                <w:rFonts w:hint="cs"/>
                <w:rtl/>
              </w:rPr>
            </w:pPr>
            <w:hyperlink w:anchor="Seif6" w:tooltip="קביעת חריגים להסדר"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18 </w:t>
            </w:r>
          </w:p>
        </w:tc>
        <w:tc>
          <w:tcPr>
            <w:tcW w:w="5669" w:type="dxa"/>
          </w:tcPr>
          <w:p w:rsidR="00043599" w:rsidRPr="00043599" w:rsidRDefault="00043599" w:rsidP="00043599">
            <w:pPr>
              <w:rPr>
                <w:rFonts w:cs="Frankruhel" w:hint="cs"/>
                <w:rtl/>
              </w:rPr>
            </w:pPr>
            <w:r>
              <w:rPr>
                <w:rtl/>
              </w:rPr>
              <w:t>הוראות בעניין קופת חולים שחלקה בסך העמיתים נמוך מחמישה עשר אחוזים</w:t>
            </w:r>
          </w:p>
        </w:tc>
        <w:tc>
          <w:tcPr>
            <w:tcW w:w="567" w:type="dxa"/>
          </w:tcPr>
          <w:p w:rsidR="00043599" w:rsidRPr="00043599" w:rsidRDefault="00043599" w:rsidP="00043599">
            <w:pPr>
              <w:rPr>
                <w:rStyle w:val="Hyperlink"/>
                <w:rFonts w:hint="cs"/>
                <w:rtl/>
              </w:rPr>
            </w:pPr>
            <w:hyperlink w:anchor="Seif7" w:tooltip="הוראות בעניין קופת חולים שחלקה בסך העמיתים נמוך מחמישה עשר אחוזים"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19 </w:t>
            </w:r>
          </w:p>
        </w:tc>
        <w:tc>
          <w:tcPr>
            <w:tcW w:w="5669" w:type="dxa"/>
          </w:tcPr>
          <w:p w:rsidR="00043599" w:rsidRPr="00043599" w:rsidRDefault="00043599" w:rsidP="00043599">
            <w:pPr>
              <w:rPr>
                <w:rFonts w:cs="Frankruhel" w:hint="cs"/>
                <w:rtl/>
              </w:rPr>
            </w:pPr>
            <w:r>
              <w:rPr>
                <w:rtl/>
              </w:rPr>
              <w:t>הוראות בעניין חברת ביטוח בעלת נתח שוק קטן</w:t>
            </w:r>
          </w:p>
        </w:tc>
        <w:tc>
          <w:tcPr>
            <w:tcW w:w="567" w:type="dxa"/>
          </w:tcPr>
          <w:p w:rsidR="00043599" w:rsidRPr="00043599" w:rsidRDefault="00043599" w:rsidP="00043599">
            <w:pPr>
              <w:rPr>
                <w:rStyle w:val="Hyperlink"/>
                <w:rFonts w:hint="cs"/>
                <w:rtl/>
              </w:rPr>
            </w:pPr>
            <w:hyperlink w:anchor="Seif8" w:tooltip="הוראות בעניין חברת ביטוח בעלת נתח שוק קטן"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20 </w:t>
            </w:r>
          </w:p>
        </w:tc>
        <w:tc>
          <w:tcPr>
            <w:tcW w:w="5669" w:type="dxa"/>
          </w:tcPr>
          <w:p w:rsidR="00043599" w:rsidRPr="00043599" w:rsidRDefault="00043599" w:rsidP="00043599">
            <w:pPr>
              <w:rPr>
                <w:rFonts w:cs="Frankruhel" w:hint="cs"/>
                <w:rtl/>
              </w:rPr>
            </w:pPr>
            <w:r>
              <w:rPr>
                <w:rtl/>
              </w:rPr>
              <w:t>החלת הוראות</w:t>
            </w:r>
          </w:p>
        </w:tc>
        <w:tc>
          <w:tcPr>
            <w:tcW w:w="567" w:type="dxa"/>
          </w:tcPr>
          <w:p w:rsidR="00043599" w:rsidRPr="00043599" w:rsidRDefault="00043599" w:rsidP="00043599">
            <w:pPr>
              <w:rPr>
                <w:rStyle w:val="Hyperlink"/>
                <w:rFonts w:hint="cs"/>
                <w:rtl/>
              </w:rPr>
            </w:pPr>
            <w:hyperlink w:anchor="Seif9" w:tooltip="החלת הוראות"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21 </w:t>
            </w:r>
          </w:p>
        </w:tc>
        <w:tc>
          <w:tcPr>
            <w:tcW w:w="5669" w:type="dxa"/>
          </w:tcPr>
          <w:p w:rsidR="00043599" w:rsidRPr="00043599" w:rsidRDefault="00043599" w:rsidP="00043599">
            <w:pPr>
              <w:rPr>
                <w:rFonts w:cs="Frankruhel" w:hint="cs"/>
                <w:rtl/>
              </w:rPr>
            </w:pPr>
            <w:r>
              <w:rPr>
                <w:rtl/>
              </w:rPr>
              <w:t>פרק ה'   תחילה ותחולה</w:t>
            </w:r>
          </w:p>
        </w:tc>
        <w:tc>
          <w:tcPr>
            <w:tcW w:w="567" w:type="dxa"/>
          </w:tcPr>
          <w:p w:rsidR="00043599" w:rsidRPr="00043599" w:rsidRDefault="00043599" w:rsidP="00043599">
            <w:pPr>
              <w:rPr>
                <w:rStyle w:val="Hyperlink"/>
                <w:rFonts w:hint="cs"/>
                <w:rtl/>
              </w:rPr>
            </w:pPr>
            <w:hyperlink w:anchor="Seif10" w:tooltip="פרק ה   תחילה ותחולה"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43599" w:rsidRPr="00043599" w:rsidTr="00043599">
        <w:tblPrEx>
          <w:tblCellMar>
            <w:top w:w="0" w:type="dxa"/>
            <w:bottom w:w="0" w:type="dxa"/>
          </w:tblCellMar>
        </w:tblPrEx>
        <w:tc>
          <w:tcPr>
            <w:tcW w:w="1247" w:type="dxa"/>
          </w:tcPr>
          <w:p w:rsidR="00043599" w:rsidRPr="00043599" w:rsidRDefault="00043599" w:rsidP="00043599">
            <w:pPr>
              <w:rPr>
                <w:rFonts w:cs="Frankruhel" w:hint="cs"/>
                <w:rtl/>
              </w:rPr>
            </w:pPr>
            <w:r>
              <w:rPr>
                <w:rtl/>
              </w:rPr>
              <w:t xml:space="preserve">סעיף 41 </w:t>
            </w:r>
          </w:p>
        </w:tc>
        <w:tc>
          <w:tcPr>
            <w:tcW w:w="5669" w:type="dxa"/>
          </w:tcPr>
          <w:p w:rsidR="00043599" w:rsidRPr="00043599" w:rsidRDefault="00043599" w:rsidP="00043599">
            <w:pPr>
              <w:rPr>
                <w:rFonts w:cs="Frankruhel" w:hint="cs"/>
                <w:rtl/>
              </w:rPr>
            </w:pPr>
            <w:r>
              <w:rPr>
                <w:rtl/>
              </w:rPr>
              <w:t>פרק ח'   הוראות מעבר</w:t>
            </w:r>
          </w:p>
        </w:tc>
        <w:tc>
          <w:tcPr>
            <w:tcW w:w="567" w:type="dxa"/>
          </w:tcPr>
          <w:p w:rsidR="00043599" w:rsidRPr="00043599" w:rsidRDefault="00043599" w:rsidP="00043599">
            <w:pPr>
              <w:rPr>
                <w:rStyle w:val="Hyperlink"/>
                <w:rFonts w:hint="cs"/>
                <w:rtl/>
              </w:rPr>
            </w:pPr>
            <w:hyperlink w:anchor="Seif11" w:tooltip="פרק ח   הוראות מעבר" w:history="1">
              <w:r w:rsidRPr="00043599">
                <w:rPr>
                  <w:rStyle w:val="Hyperlink"/>
                </w:rPr>
                <w:t>Go</w:t>
              </w:r>
            </w:hyperlink>
          </w:p>
        </w:tc>
        <w:tc>
          <w:tcPr>
            <w:tcW w:w="850" w:type="dxa"/>
          </w:tcPr>
          <w:p w:rsidR="00043599" w:rsidRPr="00043599" w:rsidRDefault="00043599" w:rsidP="0004359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2C7095">
      <w:pPr>
        <w:pStyle w:val="big-header"/>
        <w:ind w:left="0" w:right="1134"/>
        <w:rPr>
          <w:rStyle w:val="default"/>
          <w:rFonts w:cs="FrankRuehl" w:hint="cs"/>
          <w:sz w:val="32"/>
          <w:szCs w:val="32"/>
          <w:rtl/>
        </w:rPr>
      </w:pPr>
      <w:r>
        <w:rPr>
          <w:rFonts w:cs="FrankRuehl"/>
          <w:sz w:val="32"/>
          <w:rtl/>
        </w:rPr>
        <w:br w:type="page"/>
      </w:r>
      <w:r w:rsidR="002C7095">
        <w:rPr>
          <w:rFonts w:cs="FrankRuehl" w:hint="cs"/>
          <w:sz w:val="32"/>
          <w:rtl/>
        </w:rPr>
        <w:lastRenderedPageBreak/>
        <w:t>חוק התכנית הכלכלית (תיקוני חקיקה ליישום המדיניות הכלכלית לשנות התקציב 2015 ו-2016), תשע"ו-2016</w:t>
      </w:r>
      <w:r>
        <w:rPr>
          <w:rStyle w:val="default"/>
          <w:sz w:val="22"/>
          <w:szCs w:val="22"/>
          <w:rtl/>
        </w:rPr>
        <w:footnoteReference w:customMarkFollows="1" w:id="1"/>
        <w:t>*</w:t>
      </w:r>
    </w:p>
    <w:p w:rsidR="00852F43" w:rsidRDefault="00852F43" w:rsidP="00852F43">
      <w:pPr>
        <w:pStyle w:val="medium2-header"/>
        <w:keepLines w:val="0"/>
        <w:spacing w:before="72"/>
        <w:ind w:left="0" w:right="1134"/>
        <w:outlineLvl w:val="0"/>
        <w:rPr>
          <w:rFonts w:cs="FrankRuehl" w:hint="cs"/>
          <w:noProof/>
          <w:rtl/>
        </w:rPr>
      </w:pPr>
      <w:bookmarkStart w:id="0" w:name="med0"/>
      <w:bookmarkEnd w:id="0"/>
      <w:r>
        <w:rPr>
          <w:rFonts w:cs="FrankRuehl" w:hint="cs"/>
          <w:noProof/>
          <w:rtl/>
        </w:rPr>
        <w:t>תוכן</w:t>
      </w:r>
      <w:r w:rsidR="002C7095">
        <w:rPr>
          <w:rFonts w:cs="FrankRuehl" w:hint="cs"/>
          <w:noProof/>
          <w:rtl/>
        </w:rPr>
        <w:t xml:space="preserve"> העניינים</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Default="005B386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א'</w:t>
      </w:r>
      <w:r w:rsidR="002C7095">
        <w:rPr>
          <w:rStyle w:val="default"/>
          <w:rFonts w:cs="FrankRuehl" w:hint="cs"/>
          <w:rtl/>
        </w:rPr>
        <w:t>:</w:t>
      </w:r>
      <w:r>
        <w:rPr>
          <w:rStyle w:val="default"/>
          <w:rFonts w:cs="FrankRuehl" w:hint="cs"/>
          <w:rtl/>
        </w:rPr>
        <w:t xml:space="preserve"> מטרה</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sidR="002C7095">
        <w:rPr>
          <w:rStyle w:val="default"/>
          <w:rFonts w:cs="FrankRuehl" w:hint="cs"/>
          <w:rtl/>
        </w:rPr>
        <w:t>:</w:t>
      </w:r>
      <w:r w:rsidR="005B3863">
        <w:rPr>
          <w:rStyle w:val="default"/>
          <w:rFonts w:cs="FrankRuehl" w:hint="cs"/>
          <w:rtl/>
        </w:rPr>
        <w:t xml:space="preserve"> </w:t>
      </w:r>
      <w:r w:rsidR="002C7095">
        <w:rPr>
          <w:rStyle w:val="default"/>
          <w:rFonts w:cs="FrankRuehl" w:hint="cs"/>
          <w:rtl/>
        </w:rPr>
        <w:t>דיור</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sidR="002C7095">
        <w:rPr>
          <w:rStyle w:val="default"/>
          <w:rFonts w:cs="FrankRuehl" w:hint="cs"/>
          <w:rtl/>
        </w:rPr>
        <w:t>: הסרת חסמים בתחום שירותי הביוב</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sidR="002C7095">
        <w:rPr>
          <w:rStyle w:val="default"/>
          <w:rFonts w:cs="FrankRuehl" w:hint="cs"/>
          <w:rtl/>
        </w:rPr>
        <w:t>: בנקאות</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sidR="002C7095">
        <w:rPr>
          <w:rStyle w:val="default"/>
          <w:rFonts w:cs="FrankRuehl" w:hint="cs"/>
          <w:rtl/>
        </w:rPr>
        <w:t>: בריאות</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sidR="002C7095">
        <w:rPr>
          <w:rStyle w:val="default"/>
          <w:rFonts w:cs="FrankRuehl" w:hint="cs"/>
          <w:rtl/>
        </w:rPr>
        <w:t>: ייעוץ פנסיוני ושיווק פנסיוני</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sidR="002C7095">
        <w:rPr>
          <w:rStyle w:val="default"/>
          <w:rFonts w:cs="FrankRuehl" w:hint="cs"/>
          <w:rtl/>
        </w:rPr>
        <w:t>: גז טבעי</w:t>
      </w:r>
    </w:p>
    <w:p w:rsidR="00852F43" w:rsidRDefault="002C7095"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ח': הקמת רשות החשמל</w:t>
      </w:r>
    </w:p>
    <w:p w:rsidR="00852F43" w:rsidRDefault="00852F43"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sidR="002C7095">
        <w:rPr>
          <w:rStyle w:val="default"/>
          <w:rFonts w:cs="FrankRuehl" w:hint="cs"/>
          <w:rtl/>
        </w:rPr>
        <w:t>: תחילה</w:t>
      </w:r>
    </w:p>
    <w:p w:rsidR="00852F43" w:rsidRDefault="002C7095" w:rsidP="002C7095">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 הגנה על בריאות הציבור (מזון)</w:t>
      </w:r>
    </w:p>
    <w:p w:rsidR="002C7095" w:rsidRDefault="002C7095"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Pr="005B3863" w:rsidRDefault="00852F43" w:rsidP="005B3863">
      <w:pPr>
        <w:pStyle w:val="medium2-header"/>
        <w:keepLines w:val="0"/>
        <w:spacing w:before="72"/>
        <w:ind w:left="0" w:right="1134"/>
        <w:outlineLvl w:val="0"/>
        <w:rPr>
          <w:rFonts w:cs="FrankRuehl" w:hint="cs"/>
          <w:noProof/>
          <w:rtl/>
        </w:rPr>
      </w:pPr>
      <w:bookmarkStart w:id="1" w:name="med1"/>
      <w:bookmarkEnd w:id="1"/>
      <w:r w:rsidRPr="005B3863">
        <w:rPr>
          <w:rFonts w:cs="FrankRuehl" w:hint="cs"/>
          <w:noProof/>
          <w:rtl/>
        </w:rPr>
        <w:t>פרק א': מטרת החוק</w:t>
      </w:r>
    </w:p>
    <w:p w:rsidR="00852F43" w:rsidRDefault="00852F43" w:rsidP="00E54A80">
      <w:pPr>
        <w:pStyle w:val="P00"/>
        <w:spacing w:before="72"/>
        <w:ind w:left="0" w:right="1134"/>
        <w:rPr>
          <w:rStyle w:val="default"/>
          <w:rFonts w:cs="FrankRuehl" w:hint="cs"/>
          <w:rtl/>
        </w:rPr>
      </w:pPr>
      <w:bookmarkStart w:id="2" w:name="Seif1"/>
      <w:bookmarkEnd w:id="2"/>
      <w:r>
        <w:rPr>
          <w:rFonts w:cs="Miriam"/>
          <w:lang w:val="he-IL"/>
        </w:rPr>
        <w:pict>
          <v:rect id="_x0000_s1708" style="position:absolute;left:0;text-align:left;margin-left:463.5pt;margin-top:8.05pt;width:75.05pt;height:10pt;z-index:251652096" filled="f" stroked="f" strokecolor="lime" strokeweight=".25pt">
            <v:textbox style="mso-next-textbox:#_x0000_s1708" inset="1mm,0,1mm,0">
              <w:txbxContent>
                <w:p w:rsidR="00D03489" w:rsidRDefault="00D03489"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חוק זה בא לתקן חוקים שונים במטרה </w:t>
      </w:r>
      <w:r w:rsidR="00E54A80">
        <w:rPr>
          <w:rStyle w:val="default"/>
          <w:rFonts w:cs="FrankRuehl" w:hint="cs"/>
          <w:rtl/>
        </w:rPr>
        <w:t xml:space="preserve">לחזק את הצמיחה במשק, להגדיל את הפריון במשק ואת רמת התחרות בו ולהוזיל את יוקר המחיה בישראל, ובכלל זה להוזיל את מחירי מוצרי המזון, מחירי הדיור ומחירי השירותים הפיננסיים, </w:t>
      </w:r>
      <w:r w:rsidR="009728DA">
        <w:rPr>
          <w:rStyle w:val="default"/>
          <w:rFonts w:cs="FrankRuehl" w:hint="cs"/>
          <w:rtl/>
        </w:rPr>
        <w:t>והכול בהתאם ליעדי התקציב והמדיניות הכלכלית לשנים 2015 ו-2016</w:t>
      </w:r>
      <w:r>
        <w:rPr>
          <w:rStyle w:val="default"/>
          <w:rFonts w:cs="FrankRuehl" w:hint="cs"/>
          <w:rtl/>
        </w:rPr>
        <w:t>.</w:t>
      </w:r>
    </w:p>
    <w:p w:rsidR="002C7095" w:rsidRDefault="002C7095" w:rsidP="00852F43">
      <w:pPr>
        <w:pStyle w:val="P00"/>
        <w:spacing w:before="72"/>
        <w:ind w:left="0" w:right="1134"/>
        <w:rPr>
          <w:rStyle w:val="default"/>
          <w:rFonts w:cs="FrankRuehl" w:hint="cs"/>
          <w:rtl/>
        </w:rPr>
      </w:pPr>
    </w:p>
    <w:p w:rsidR="00852F43" w:rsidRDefault="00852F43" w:rsidP="002C7095">
      <w:pPr>
        <w:pStyle w:val="P00"/>
        <w:spacing w:before="72"/>
        <w:ind w:left="0" w:right="1134"/>
        <w:rPr>
          <w:rStyle w:val="default"/>
          <w:rFonts w:cs="FrankRuehl" w:hint="cs"/>
          <w:b/>
          <w:bCs/>
          <w:rtl/>
        </w:rPr>
      </w:pPr>
      <w:r w:rsidRPr="00F0718A">
        <w:rPr>
          <w:rStyle w:val="default"/>
          <w:rFonts w:cs="FrankRuehl" w:hint="cs"/>
          <w:b/>
          <w:bCs/>
          <w:highlight w:val="yellow"/>
          <w:rtl/>
        </w:rPr>
        <w:t xml:space="preserve">* בפרקים ב' עד </w:t>
      </w:r>
      <w:r w:rsidR="002C7095">
        <w:rPr>
          <w:rStyle w:val="default"/>
          <w:rFonts w:cs="FrankRuehl" w:hint="cs"/>
          <w:b/>
          <w:bCs/>
          <w:highlight w:val="yellow"/>
          <w:rtl/>
        </w:rPr>
        <w:t>ד</w:t>
      </w:r>
      <w:r w:rsidRPr="00F0718A">
        <w:rPr>
          <w:rStyle w:val="default"/>
          <w:rFonts w:cs="FrankRuehl" w:hint="cs"/>
          <w:b/>
          <w:bCs/>
          <w:highlight w:val="yellow"/>
          <w:rtl/>
        </w:rPr>
        <w:t>'</w:t>
      </w:r>
      <w:r w:rsidR="00BA0C87" w:rsidRPr="00F0718A">
        <w:rPr>
          <w:rStyle w:val="default"/>
          <w:rFonts w:cs="FrankRuehl" w:hint="cs"/>
          <w:b/>
          <w:bCs/>
          <w:highlight w:val="yellow"/>
          <w:rtl/>
        </w:rPr>
        <w:t xml:space="preserve">, </w:t>
      </w:r>
      <w:r w:rsidR="002C7095">
        <w:rPr>
          <w:rStyle w:val="default"/>
          <w:rFonts w:cs="FrankRuehl" w:hint="cs"/>
          <w:b/>
          <w:bCs/>
          <w:highlight w:val="yellow"/>
          <w:rtl/>
        </w:rPr>
        <w:t>חלק מפרק ה', ופרקים ו' עד י'</w:t>
      </w:r>
      <w:r w:rsidRPr="00F0718A">
        <w:rPr>
          <w:rStyle w:val="default"/>
          <w:rFonts w:cs="FrankRuehl" w:hint="cs"/>
          <w:b/>
          <w:bCs/>
          <w:highlight w:val="yellow"/>
          <w:rtl/>
        </w:rPr>
        <w:t xml:space="preserve"> תיקוני חקיקה עקיפים. ניתן לראות את הנוסח המלא באתר תחת "רשומות </w:t>
      </w:r>
      <w:r w:rsidRPr="00F0718A">
        <w:rPr>
          <w:rStyle w:val="default"/>
          <w:rFonts w:cs="FrankRuehl"/>
          <w:b/>
          <w:bCs/>
          <w:highlight w:val="yellow"/>
          <w:rtl/>
        </w:rPr>
        <w:t>–</w:t>
      </w:r>
      <w:r w:rsidRPr="00F0718A">
        <w:rPr>
          <w:rStyle w:val="default"/>
          <w:rFonts w:cs="FrankRuehl" w:hint="cs"/>
          <w:b/>
          <w:bCs/>
          <w:highlight w:val="yellow"/>
          <w:rtl/>
        </w:rPr>
        <w:t xml:space="preserve"> ספר החוקים". יש לשים לב לתיקונים מאוחרים</w:t>
      </w:r>
      <w:r w:rsidR="00BA0C87" w:rsidRPr="00F0718A">
        <w:rPr>
          <w:rStyle w:val="default"/>
          <w:rFonts w:cs="FrankRuehl" w:hint="cs"/>
          <w:b/>
          <w:bCs/>
          <w:highlight w:val="yellow"/>
          <w:rtl/>
        </w:rPr>
        <w:t xml:space="preserve"> שייעשו בחלק מסעיפים אלה</w:t>
      </w:r>
      <w:r w:rsidRPr="00F0718A">
        <w:rPr>
          <w:rStyle w:val="default"/>
          <w:rFonts w:cs="FrankRuehl" w:hint="cs"/>
          <w:b/>
          <w:bCs/>
          <w:highlight w:val="yellow"/>
          <w:rtl/>
        </w:rPr>
        <w:t>.</w:t>
      </w:r>
    </w:p>
    <w:p w:rsidR="00852F43" w:rsidRDefault="00852F43" w:rsidP="00852F43">
      <w:pPr>
        <w:pStyle w:val="P00"/>
        <w:spacing w:before="72"/>
        <w:ind w:left="0" w:right="1134"/>
        <w:rPr>
          <w:rStyle w:val="default"/>
          <w:rFonts w:cs="FrankRuehl" w:hint="cs"/>
          <w:rtl/>
        </w:rPr>
      </w:pPr>
    </w:p>
    <w:p w:rsidR="00852F43" w:rsidRDefault="00852F43" w:rsidP="009728DA">
      <w:pPr>
        <w:pStyle w:val="medium2-header"/>
        <w:keepLines w:val="0"/>
        <w:spacing w:before="72"/>
        <w:ind w:left="0" w:right="1134"/>
        <w:outlineLvl w:val="0"/>
        <w:rPr>
          <w:rFonts w:cs="FrankRuehl" w:hint="cs"/>
          <w:noProof/>
          <w:rtl/>
        </w:rPr>
      </w:pPr>
      <w:bookmarkStart w:id="3" w:name="med2"/>
      <w:bookmarkEnd w:id="3"/>
      <w:r>
        <w:rPr>
          <w:rFonts w:cs="FrankRuehl" w:hint="cs"/>
          <w:noProof/>
          <w:rtl/>
        </w:rPr>
        <w:t xml:space="preserve">פרק </w:t>
      </w:r>
      <w:r w:rsidR="009728DA">
        <w:rPr>
          <w:rFonts w:cs="FrankRuehl" w:hint="cs"/>
          <w:noProof/>
          <w:rtl/>
        </w:rPr>
        <w:t>ה': בריאות</w:t>
      </w:r>
    </w:p>
    <w:p w:rsidR="008D2E6D" w:rsidRDefault="008D2E6D" w:rsidP="004576C6">
      <w:pPr>
        <w:pStyle w:val="P00"/>
        <w:spacing w:before="72"/>
        <w:ind w:left="0" w:right="1134"/>
        <w:rPr>
          <w:rStyle w:val="default"/>
          <w:rFonts w:cs="FrankRuehl" w:hint="cs"/>
          <w:rtl/>
        </w:rPr>
      </w:pPr>
      <w:bookmarkStart w:id="4" w:name="Seif2"/>
      <w:bookmarkEnd w:id="4"/>
      <w:r>
        <w:rPr>
          <w:rFonts w:cs="Miriam"/>
          <w:lang w:val="he-IL"/>
        </w:rPr>
        <w:pict>
          <v:rect id="_x0000_s1709" style="position:absolute;left:0;text-align:left;margin-left:463.5pt;margin-top:8.05pt;width:75.05pt;height:10pt;z-index:251653120" filled="f" stroked="f" strokecolor="lime" strokeweight=".25pt">
            <v:textbox style="mso-next-textbox:#_x0000_s1709" inset="1mm,0,1mm,0">
              <w:txbxContent>
                <w:p w:rsidR="00D03489" w:rsidRDefault="00D03489" w:rsidP="008D2E6D">
                  <w:pPr>
                    <w:spacing w:line="160" w:lineRule="exact"/>
                    <w:rPr>
                      <w:rFonts w:cs="Miriam" w:hint="cs"/>
                      <w:noProof/>
                      <w:sz w:val="18"/>
                      <w:szCs w:val="18"/>
                      <w:rtl/>
                    </w:rPr>
                  </w:pPr>
                  <w:r>
                    <w:rPr>
                      <w:rFonts w:cs="Miriam" w:hint="cs"/>
                      <w:sz w:val="18"/>
                      <w:szCs w:val="18"/>
                      <w:rtl/>
                    </w:rPr>
                    <w:t>הגדרות</w:t>
                  </w:r>
                </w:p>
              </w:txbxContent>
            </v:textbox>
            <w10:anchorlock/>
          </v:rect>
        </w:pict>
      </w:r>
      <w:r w:rsidR="009728DA">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9728DA" w:rsidRDefault="009728DA" w:rsidP="004576C6">
      <w:pPr>
        <w:pStyle w:val="P00"/>
        <w:spacing w:before="72"/>
        <w:ind w:left="0" w:right="1134"/>
        <w:rPr>
          <w:rStyle w:val="default"/>
          <w:rFonts w:cs="FrankRuehl" w:hint="cs"/>
          <w:rtl/>
        </w:rPr>
      </w:pPr>
      <w:r>
        <w:rPr>
          <w:rStyle w:val="default"/>
          <w:rFonts w:cs="FrankRuehl" w:hint="cs"/>
          <w:rtl/>
        </w:rPr>
        <w:tab/>
        <w:t xml:space="preserve">"הסדר התייעצות" </w:t>
      </w:r>
      <w:r>
        <w:rPr>
          <w:rStyle w:val="default"/>
          <w:rFonts w:cs="FrankRuehl"/>
          <w:rtl/>
        </w:rPr>
        <w:t>–</w:t>
      </w:r>
      <w:r>
        <w:rPr>
          <w:rStyle w:val="default"/>
          <w:rFonts w:cs="FrankRuehl" w:hint="cs"/>
          <w:rtl/>
        </w:rPr>
        <w:t xml:space="preserve"> הסכם בין קופת חולים או חברת ביטוח ובין רופא או מוסד רפואי, ולפיו מלוא התשלום המגיע לרופא או למוסד הרפואי בעד התייעצות רפואית נקבע באותו הסכם, </w:t>
      </w:r>
      <w:r>
        <w:rPr>
          <w:rStyle w:val="default"/>
          <w:rFonts w:cs="FrankRuehl" w:hint="cs"/>
          <w:rtl/>
        </w:rPr>
        <w:lastRenderedPageBreak/>
        <w:t>ימומן על ידי קופת החולים או חברת הביטוח, לפי העניין, למעט השתתפות עצמית ככל שנקבעה בתכנית לשירותי בריאות נוספים או בתכנית הביטוח, ויכול שישולם על ידי קופת החולים או חברת הביטוח או על ידי המטופל;</w:t>
      </w:r>
    </w:p>
    <w:p w:rsidR="009728DA" w:rsidRDefault="009728DA" w:rsidP="004576C6">
      <w:pPr>
        <w:pStyle w:val="P00"/>
        <w:spacing w:before="72"/>
        <w:ind w:left="0" w:right="1134"/>
        <w:rPr>
          <w:rStyle w:val="default"/>
          <w:rFonts w:cs="FrankRuehl" w:hint="cs"/>
          <w:rtl/>
        </w:rPr>
      </w:pPr>
      <w:r>
        <w:rPr>
          <w:rStyle w:val="default"/>
          <w:rFonts w:cs="FrankRuehl" w:hint="cs"/>
          <w:rtl/>
        </w:rPr>
        <w:tab/>
        <w:t xml:space="preserve">"הסדר ניתוח" </w:t>
      </w:r>
      <w:r>
        <w:rPr>
          <w:rStyle w:val="default"/>
          <w:rFonts w:cs="FrankRuehl"/>
          <w:rtl/>
        </w:rPr>
        <w:t>–</w:t>
      </w:r>
      <w:r>
        <w:rPr>
          <w:rStyle w:val="default"/>
          <w:rFonts w:cs="FrankRuehl" w:hint="cs"/>
          <w:rtl/>
        </w:rPr>
        <w:t xml:space="preserve"> הסכם בין קופת חולים או חברת ביטוח ובין רופא או מוסד רפואי, ולפיו מלוא התשלומים הקשורים לניתוח שבוצע בישראל, לרבות התשלומים לרופא ולמוסד הרפואי, וכן התשלומים בעבור הציוד, האבזרים והתכשירים המשמשים בביצוע הניתוח ובמהלך הטיפול, ישולמו על ידי קופת החולים או חברת הביטוח, לפי העניין, למעט השתתפות עצמית ככל שנקבעה בתכנית לשירותי בריאות נוספים או בתכנית הביטוח;</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"חברת ביטוח" </w:t>
      </w:r>
      <w:r>
        <w:rPr>
          <w:rStyle w:val="default"/>
          <w:rFonts w:cs="FrankRuehl"/>
          <w:rtl/>
        </w:rPr>
        <w:t>–</w:t>
      </w:r>
      <w:r>
        <w:rPr>
          <w:rStyle w:val="default"/>
          <w:rFonts w:cs="FrankRuehl" w:hint="cs"/>
          <w:rtl/>
        </w:rPr>
        <w:t xml:space="preserve"> מבטח כהגדרתו בחוק הפיקוח על הביטוח;</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"חוק ביטוח בריאות" </w:t>
      </w:r>
      <w:r>
        <w:rPr>
          <w:rStyle w:val="default"/>
          <w:rFonts w:cs="FrankRuehl"/>
          <w:rtl/>
        </w:rPr>
        <w:t>–</w:t>
      </w:r>
      <w:r>
        <w:rPr>
          <w:rStyle w:val="default"/>
          <w:rFonts w:cs="FrankRuehl" w:hint="cs"/>
          <w:rtl/>
        </w:rPr>
        <w:t xml:space="preserve"> חוק ביטוח בריאות ממלכתי, התשנ"ד-1994;</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"מוסד רפואי" </w:t>
      </w:r>
      <w:r>
        <w:rPr>
          <w:rStyle w:val="default"/>
          <w:rFonts w:cs="FrankRuehl"/>
          <w:rtl/>
        </w:rPr>
        <w:t>–</w:t>
      </w:r>
      <w:r>
        <w:rPr>
          <w:rStyle w:val="default"/>
          <w:rFonts w:cs="FrankRuehl" w:hint="cs"/>
          <w:rtl/>
        </w:rPr>
        <w:t xml:space="preserve"> בית חולים או מרפאה כירורגית;</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"מטופל" </w:t>
      </w:r>
      <w:r>
        <w:rPr>
          <w:rStyle w:val="default"/>
          <w:rFonts w:cs="FrankRuehl"/>
          <w:rtl/>
        </w:rPr>
        <w:t>–</w:t>
      </w:r>
      <w:r>
        <w:rPr>
          <w:rStyle w:val="default"/>
          <w:rFonts w:cs="FrankRuehl" w:hint="cs"/>
          <w:rtl/>
        </w:rPr>
        <w:t xml:space="preserve"> עמית או מבוטח, לפי העניין;</w:t>
      </w:r>
    </w:p>
    <w:p w:rsidR="009728DA" w:rsidRDefault="00D932A0" w:rsidP="009946F1">
      <w:pPr>
        <w:pStyle w:val="P00"/>
        <w:spacing w:before="72"/>
        <w:ind w:left="0" w:right="1134"/>
        <w:rPr>
          <w:rStyle w:val="default"/>
          <w:rFonts w:cs="FrankRuehl" w:hint="cs"/>
          <w:rtl/>
        </w:rPr>
      </w:pPr>
      <w:r w:rsidRPr="009946F1">
        <w:rPr>
          <w:rStyle w:val="default"/>
          <w:rFonts w:cs="FrankRuehl" w:hint="cs"/>
          <w:rtl/>
        </w:rPr>
        <w:pict>
          <v:shapetype id="_x0000_t202" coordsize="21600,21600" o:spt="202" path="m,l,21600r21600,l21600,xe">
            <v:stroke joinstyle="miter"/>
            <v:path gradientshapeok="t" o:connecttype="rect"/>
          </v:shapetype>
          <v:shape id="_x0000_s1836" type="#_x0000_t202" style="position:absolute;left:0;text-align:left;margin-left:470.35pt;margin-top:7.1pt;width:1in;height:18pt;z-index:251663360" filled="f" stroked="f">
            <v:textbox inset="1mm,0,1mm,0">
              <w:txbxContent>
                <w:p w:rsidR="00D932A0" w:rsidRDefault="00D932A0" w:rsidP="00D932A0">
                  <w:pPr>
                    <w:spacing w:line="160" w:lineRule="exact"/>
                    <w:rPr>
                      <w:rFonts w:cs="Miriam" w:hint="cs"/>
                      <w:noProof/>
                      <w:sz w:val="18"/>
                      <w:szCs w:val="18"/>
                      <w:rtl/>
                    </w:rPr>
                  </w:pPr>
                  <w:r>
                    <w:rPr>
                      <w:rFonts w:cs="Miriam" w:hint="cs"/>
                      <w:sz w:val="18"/>
                      <w:szCs w:val="18"/>
                      <w:rtl/>
                    </w:rPr>
                    <w:t>(תיקון מס' 2) תשע"ו-2016</w:t>
                  </w:r>
                </w:p>
              </w:txbxContent>
            </v:textbox>
            <w10:anchorlock/>
          </v:shape>
        </w:pict>
      </w:r>
      <w:r w:rsidR="009728DA">
        <w:rPr>
          <w:rStyle w:val="default"/>
          <w:rFonts w:cs="FrankRuehl" w:hint="cs"/>
          <w:rtl/>
        </w:rPr>
        <w:tab/>
      </w:r>
      <w:r w:rsidR="009946F1" w:rsidRPr="009946F1">
        <w:rPr>
          <w:rStyle w:val="default"/>
          <w:rFonts w:cs="FrankRuehl" w:hint="cs"/>
          <w:rtl/>
        </w:rPr>
        <w:t xml:space="preserve">"הממונה על שוק ההון" </w:t>
      </w:r>
      <w:r w:rsidR="009946F1" w:rsidRPr="009946F1">
        <w:rPr>
          <w:rStyle w:val="default"/>
          <w:rFonts w:cs="FrankRuehl"/>
          <w:rtl/>
        </w:rPr>
        <w:t>–</w:t>
      </w:r>
      <w:r w:rsidR="009946F1" w:rsidRPr="009946F1">
        <w:rPr>
          <w:rStyle w:val="default"/>
          <w:rFonts w:cs="FrankRuehl" w:hint="cs"/>
          <w:rtl/>
        </w:rPr>
        <w:t xml:space="preserve"> הממונה על שוק ההון, ביטוח וחיסכון כמשמעותו בחוק הפיקוח על הביטוח</w:t>
      </w:r>
      <w:r w:rsidR="009728DA">
        <w:rPr>
          <w:rStyle w:val="default"/>
          <w:rFonts w:cs="FrankRuehl" w:hint="cs"/>
          <w:rtl/>
        </w:rPr>
        <w:t>;</w:t>
      </w:r>
    </w:p>
    <w:p w:rsidR="00762570" w:rsidRPr="009946F1" w:rsidRDefault="00762570" w:rsidP="00762570">
      <w:pPr>
        <w:pStyle w:val="P00"/>
        <w:spacing w:before="0"/>
        <w:ind w:left="0" w:right="1134"/>
        <w:rPr>
          <w:rStyle w:val="default"/>
          <w:rFonts w:cs="FrankRuehl" w:hint="cs"/>
          <w:vanish/>
          <w:color w:val="FF0000"/>
          <w:sz w:val="20"/>
          <w:szCs w:val="20"/>
          <w:shd w:val="clear" w:color="auto" w:fill="FFFF99"/>
          <w:rtl/>
        </w:rPr>
      </w:pPr>
      <w:bookmarkStart w:id="5" w:name="Rov15"/>
      <w:r w:rsidRPr="009946F1">
        <w:rPr>
          <w:rStyle w:val="default"/>
          <w:rFonts w:cs="FrankRuehl" w:hint="cs"/>
          <w:vanish/>
          <w:color w:val="FF0000"/>
          <w:sz w:val="20"/>
          <w:szCs w:val="20"/>
          <w:shd w:val="clear" w:color="auto" w:fill="FFFF99"/>
          <w:rtl/>
        </w:rPr>
        <w:t>מיום 1.11.2016</w:t>
      </w:r>
    </w:p>
    <w:p w:rsidR="00762570" w:rsidRPr="009946F1" w:rsidRDefault="00762570" w:rsidP="00D932A0">
      <w:pPr>
        <w:pStyle w:val="P00"/>
        <w:spacing w:before="0"/>
        <w:ind w:left="0" w:right="1134"/>
        <w:rPr>
          <w:rStyle w:val="default"/>
          <w:rFonts w:cs="FrankRuehl" w:hint="cs"/>
          <w:vanish/>
          <w:sz w:val="20"/>
          <w:szCs w:val="20"/>
          <w:shd w:val="clear" w:color="auto" w:fill="FFFF99"/>
          <w:rtl/>
        </w:rPr>
      </w:pPr>
      <w:r w:rsidRPr="009946F1">
        <w:rPr>
          <w:rStyle w:val="default"/>
          <w:rFonts w:cs="FrankRuehl" w:hint="cs"/>
          <w:b/>
          <w:bCs/>
          <w:vanish/>
          <w:sz w:val="20"/>
          <w:szCs w:val="20"/>
          <w:shd w:val="clear" w:color="auto" w:fill="FFFF99"/>
          <w:rtl/>
        </w:rPr>
        <w:t xml:space="preserve">תיקון מס' </w:t>
      </w:r>
      <w:r w:rsidR="00D932A0" w:rsidRPr="009946F1">
        <w:rPr>
          <w:rStyle w:val="default"/>
          <w:rFonts w:cs="FrankRuehl" w:hint="cs"/>
          <w:b/>
          <w:bCs/>
          <w:vanish/>
          <w:sz w:val="20"/>
          <w:szCs w:val="20"/>
          <w:shd w:val="clear" w:color="auto" w:fill="FFFF99"/>
          <w:rtl/>
        </w:rPr>
        <w:t>2</w:t>
      </w:r>
    </w:p>
    <w:p w:rsidR="00762570" w:rsidRPr="009946F1" w:rsidRDefault="00762570" w:rsidP="00762570">
      <w:pPr>
        <w:pStyle w:val="P00"/>
        <w:spacing w:before="0"/>
        <w:ind w:left="0" w:right="1134"/>
        <w:rPr>
          <w:rStyle w:val="default"/>
          <w:rFonts w:cs="FrankRuehl" w:hint="cs"/>
          <w:vanish/>
          <w:szCs w:val="20"/>
          <w:shd w:val="clear" w:color="auto" w:fill="FFFF99"/>
          <w:rtl/>
        </w:rPr>
      </w:pPr>
      <w:hyperlink r:id="rId7" w:history="1">
        <w:r w:rsidRPr="009946F1">
          <w:rPr>
            <w:rStyle w:val="Hyperlink"/>
            <w:rFonts w:cs="FrankRuehl" w:hint="cs"/>
            <w:vanish/>
            <w:szCs w:val="20"/>
            <w:shd w:val="clear" w:color="auto" w:fill="FFFF99"/>
            <w:rtl/>
          </w:rPr>
          <w:t>ס"ח תשע"ו מס' 2582</w:t>
        </w:r>
      </w:hyperlink>
      <w:r w:rsidRPr="009946F1">
        <w:rPr>
          <w:rStyle w:val="default"/>
          <w:rFonts w:cs="FrankRuehl" w:hint="cs"/>
          <w:vanish/>
          <w:sz w:val="20"/>
          <w:szCs w:val="20"/>
          <w:shd w:val="clear" w:color="auto" w:fill="FFFF99"/>
          <w:rtl/>
        </w:rPr>
        <w:t xml:space="preserve"> מיום 21.8.2016 עמ' 126</w:t>
      </w:r>
      <w:r w:rsidRPr="009946F1">
        <w:rPr>
          <w:rStyle w:val="default"/>
          <w:rFonts w:cs="FrankRuehl" w:hint="cs"/>
          <w:vanish/>
          <w:szCs w:val="20"/>
          <w:shd w:val="clear" w:color="auto" w:fill="FFFF99"/>
          <w:rtl/>
        </w:rPr>
        <w:t>4</w:t>
      </w:r>
      <w:r w:rsidRPr="009946F1">
        <w:rPr>
          <w:rStyle w:val="default"/>
          <w:rFonts w:cs="FrankRuehl" w:hint="cs"/>
          <w:vanish/>
          <w:sz w:val="20"/>
          <w:szCs w:val="20"/>
          <w:shd w:val="clear" w:color="auto" w:fill="FFFF99"/>
          <w:rtl/>
        </w:rPr>
        <w:t xml:space="preserve"> (</w:t>
      </w:r>
      <w:hyperlink r:id="rId8" w:history="1">
        <w:r w:rsidRPr="009946F1">
          <w:rPr>
            <w:rStyle w:val="Hyperlink"/>
            <w:rFonts w:cs="FrankRuehl" w:hint="cs"/>
            <w:vanish/>
            <w:szCs w:val="20"/>
            <w:shd w:val="clear" w:color="auto" w:fill="FFFF99"/>
            <w:rtl/>
          </w:rPr>
          <w:t>ה"ח 1032</w:t>
        </w:r>
      </w:hyperlink>
      <w:r w:rsidRPr="009946F1">
        <w:rPr>
          <w:rStyle w:val="default"/>
          <w:rFonts w:cs="FrankRuehl" w:hint="cs"/>
          <w:vanish/>
          <w:sz w:val="20"/>
          <w:szCs w:val="20"/>
          <w:shd w:val="clear" w:color="auto" w:fill="FFFF99"/>
          <w:rtl/>
        </w:rPr>
        <w:t>)</w:t>
      </w:r>
    </w:p>
    <w:p w:rsidR="00D932A0" w:rsidRPr="009946F1" w:rsidRDefault="00D932A0" w:rsidP="00762570">
      <w:pPr>
        <w:pStyle w:val="P00"/>
        <w:spacing w:before="0"/>
        <w:ind w:left="0" w:right="1134"/>
        <w:rPr>
          <w:rStyle w:val="default"/>
          <w:rFonts w:cs="FrankRuehl" w:hint="cs"/>
          <w:vanish/>
          <w:szCs w:val="20"/>
          <w:shd w:val="clear" w:color="auto" w:fill="FFFF99"/>
          <w:rtl/>
        </w:rPr>
      </w:pPr>
      <w:r w:rsidRPr="009946F1">
        <w:rPr>
          <w:rStyle w:val="default"/>
          <w:rFonts w:cs="FrankRuehl" w:hint="cs"/>
          <w:b/>
          <w:bCs/>
          <w:vanish/>
          <w:szCs w:val="20"/>
          <w:shd w:val="clear" w:color="auto" w:fill="FFFF99"/>
          <w:rtl/>
        </w:rPr>
        <w:t>החלפת הגדרת "המפקח על הביטוח" בהגדרת "הממונה על שוק ההון"</w:t>
      </w:r>
    </w:p>
    <w:p w:rsidR="00D932A0" w:rsidRPr="009946F1" w:rsidRDefault="00D932A0" w:rsidP="00D932A0">
      <w:pPr>
        <w:pStyle w:val="P00"/>
        <w:ind w:left="0" w:right="1134"/>
        <w:rPr>
          <w:rStyle w:val="default"/>
          <w:rFonts w:cs="FrankRuehl" w:hint="cs"/>
          <w:vanish/>
          <w:szCs w:val="20"/>
          <w:shd w:val="clear" w:color="auto" w:fill="FFFF99"/>
          <w:rtl/>
        </w:rPr>
      </w:pPr>
      <w:r w:rsidRPr="009946F1">
        <w:rPr>
          <w:rStyle w:val="default"/>
          <w:rFonts w:cs="FrankRuehl" w:hint="cs"/>
          <w:vanish/>
          <w:szCs w:val="20"/>
          <w:shd w:val="clear" w:color="auto" w:fill="FFFF99"/>
          <w:rtl/>
        </w:rPr>
        <w:t>הנוסח הקודם:</w:t>
      </w:r>
    </w:p>
    <w:p w:rsidR="00D932A0" w:rsidRPr="00D932A0" w:rsidRDefault="00D932A0" w:rsidP="00D932A0">
      <w:pPr>
        <w:pStyle w:val="P00"/>
        <w:spacing w:before="0"/>
        <w:ind w:left="0" w:right="1134"/>
        <w:rPr>
          <w:rStyle w:val="default"/>
          <w:rFonts w:cs="FrankRuehl" w:hint="cs"/>
          <w:strike/>
          <w:sz w:val="2"/>
          <w:szCs w:val="2"/>
          <w:rtl/>
        </w:rPr>
      </w:pPr>
      <w:r w:rsidRPr="009946F1">
        <w:rPr>
          <w:rStyle w:val="default"/>
          <w:rFonts w:cs="FrankRuehl" w:hint="cs"/>
          <w:vanish/>
          <w:sz w:val="22"/>
          <w:szCs w:val="22"/>
          <w:shd w:val="clear" w:color="auto" w:fill="FFFF99"/>
          <w:rtl/>
        </w:rPr>
        <w:tab/>
      </w:r>
      <w:r w:rsidRPr="009946F1">
        <w:rPr>
          <w:rStyle w:val="default"/>
          <w:rFonts w:cs="FrankRuehl" w:hint="cs"/>
          <w:strike/>
          <w:vanish/>
          <w:sz w:val="22"/>
          <w:szCs w:val="22"/>
          <w:shd w:val="clear" w:color="auto" w:fill="FFFF99"/>
          <w:rtl/>
        </w:rPr>
        <w:t xml:space="preserve">"המפקח על הביטוח" </w:t>
      </w:r>
      <w:r w:rsidRPr="009946F1">
        <w:rPr>
          <w:rStyle w:val="default"/>
          <w:rFonts w:cs="FrankRuehl"/>
          <w:strike/>
          <w:vanish/>
          <w:sz w:val="22"/>
          <w:szCs w:val="22"/>
          <w:shd w:val="clear" w:color="auto" w:fill="FFFF99"/>
          <w:rtl/>
        </w:rPr>
        <w:t>–</w:t>
      </w:r>
      <w:r w:rsidRPr="009946F1">
        <w:rPr>
          <w:rStyle w:val="default"/>
          <w:rFonts w:cs="FrankRuehl" w:hint="cs"/>
          <w:strike/>
          <w:vanish/>
          <w:sz w:val="22"/>
          <w:szCs w:val="22"/>
          <w:shd w:val="clear" w:color="auto" w:fill="FFFF99"/>
          <w:rtl/>
        </w:rPr>
        <w:t xml:space="preserve"> כמשמעותו בחוק הפיקוח על הביטוח;</w:t>
      </w:r>
      <w:bookmarkEnd w:id="5"/>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"מרפאה כירורגית" </w:t>
      </w:r>
      <w:r>
        <w:rPr>
          <w:rStyle w:val="default"/>
          <w:rFonts w:cs="FrankRuehl"/>
          <w:rtl/>
        </w:rPr>
        <w:t>–</w:t>
      </w:r>
      <w:r>
        <w:rPr>
          <w:rStyle w:val="default"/>
          <w:rFonts w:cs="FrankRuehl" w:hint="cs"/>
          <w:rtl/>
        </w:rPr>
        <w:t xml:space="preserve"> מרפאה כהגדרתה בסעיף 34(ג) לפקודת בריאות העם, 1940, הטעונה רישום בהתאם להוראות לפי סעיף 34(א)(2) לפקודה האמורה ואשר מתבצעות בה פעולות כירורגיות;</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"עמית" ו"שירותי בריאות נוספים" </w:t>
      </w:r>
      <w:r>
        <w:rPr>
          <w:rStyle w:val="default"/>
          <w:rFonts w:cs="FrankRuehl"/>
          <w:rtl/>
        </w:rPr>
        <w:t>–</w:t>
      </w:r>
      <w:r>
        <w:rPr>
          <w:rStyle w:val="default"/>
          <w:rFonts w:cs="FrankRuehl" w:hint="cs"/>
          <w:rtl/>
        </w:rPr>
        <w:t xml:space="preserve"> כמשמעותם בסעיף 10 לחוק ביטוח בריאות;</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"פוליסת ביטוח" </w:t>
      </w:r>
      <w:r>
        <w:rPr>
          <w:rStyle w:val="default"/>
          <w:rFonts w:cs="FrankRuehl"/>
          <w:rtl/>
        </w:rPr>
        <w:t>–</w:t>
      </w:r>
      <w:r>
        <w:rPr>
          <w:rStyle w:val="default"/>
          <w:rFonts w:cs="FrankRuehl" w:hint="cs"/>
          <w:rtl/>
        </w:rPr>
        <w:t xml:space="preserve"> פוליסה שהוצאה לפי תכנית ביטוח הכוללת ביטוח לניתוחים;</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"קופת חולים" </w:t>
      </w:r>
      <w:r>
        <w:rPr>
          <w:rStyle w:val="default"/>
          <w:rFonts w:cs="FrankRuehl"/>
          <w:rtl/>
        </w:rPr>
        <w:t>–</w:t>
      </w:r>
      <w:r>
        <w:rPr>
          <w:rStyle w:val="default"/>
          <w:rFonts w:cs="FrankRuehl" w:hint="cs"/>
          <w:rtl/>
        </w:rPr>
        <w:t xml:space="preserve"> כהגדרתה בחוק ביטוח בריאות, במסגרת שירותי בריאות נוספים;</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"רופא מומחה" </w:t>
      </w:r>
      <w:r>
        <w:rPr>
          <w:rStyle w:val="default"/>
          <w:rFonts w:cs="FrankRuehl"/>
          <w:rtl/>
        </w:rPr>
        <w:t>–</w:t>
      </w:r>
      <w:r>
        <w:rPr>
          <w:rStyle w:val="default"/>
          <w:rFonts w:cs="FrankRuehl" w:hint="cs"/>
          <w:rtl/>
        </w:rPr>
        <w:t xml:space="preserve"> רופא בעל תואר מומחה לפי פקודת הרופאים [נוסח חדש], התשל"ז-1976;</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"תכנית ביטוח" </w:t>
      </w:r>
      <w:r>
        <w:rPr>
          <w:rStyle w:val="default"/>
          <w:rFonts w:cs="FrankRuehl"/>
          <w:rtl/>
        </w:rPr>
        <w:t>–</w:t>
      </w:r>
      <w:r>
        <w:rPr>
          <w:rStyle w:val="default"/>
          <w:rFonts w:cs="FrankRuehl" w:hint="cs"/>
          <w:rtl/>
        </w:rPr>
        <w:t xml:space="preserve"> כהגדרתה בסעיף 40 לחוק הפיקוח על הביטוח;</w:t>
      </w:r>
    </w:p>
    <w:p w:rsidR="009728DA" w:rsidRDefault="009728DA" w:rsidP="009728DA">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הבריאות ושר האוצר.</w:t>
      </w:r>
    </w:p>
    <w:p w:rsidR="008D2E6D" w:rsidRDefault="008D2E6D" w:rsidP="009946F1">
      <w:pPr>
        <w:pStyle w:val="P00"/>
        <w:spacing w:before="72"/>
        <w:ind w:left="0" w:right="1134"/>
        <w:rPr>
          <w:rStyle w:val="default"/>
          <w:rFonts w:cs="FrankRuehl" w:hint="cs"/>
          <w:rtl/>
        </w:rPr>
      </w:pPr>
      <w:bookmarkStart w:id="6" w:name="Seif3"/>
      <w:bookmarkEnd w:id="6"/>
      <w:r>
        <w:rPr>
          <w:rFonts w:cs="Miriam"/>
          <w:lang w:val="he-IL"/>
        </w:rPr>
        <w:pict>
          <v:rect id="_x0000_s1710" style="position:absolute;left:0;text-align:left;margin-left:463.5pt;margin-top:8.05pt;width:75.05pt;height:29.55pt;z-index:251654144" filled="f" stroked="f" strokecolor="lime" strokeweight=".25pt">
            <v:textbox style="mso-next-textbox:#_x0000_s1710" inset="1mm,0,1mm,0">
              <w:txbxContent>
                <w:p w:rsidR="00D03489" w:rsidRDefault="009728DA" w:rsidP="008D2E6D">
                  <w:pPr>
                    <w:spacing w:line="160" w:lineRule="exact"/>
                    <w:rPr>
                      <w:rFonts w:cs="Miriam" w:hint="cs"/>
                      <w:noProof/>
                      <w:sz w:val="18"/>
                      <w:szCs w:val="18"/>
                      <w:rtl/>
                    </w:rPr>
                  </w:pPr>
                  <w:r>
                    <w:rPr>
                      <w:rFonts w:cs="Miriam" w:hint="cs"/>
                      <w:sz w:val="18"/>
                      <w:szCs w:val="18"/>
                      <w:rtl/>
                    </w:rPr>
                    <w:t>הסדרי ניתוח</w:t>
                  </w:r>
                </w:p>
                <w:p w:rsidR="00D932A0" w:rsidRDefault="00D932A0" w:rsidP="00D932A0">
                  <w:pPr>
                    <w:spacing w:line="160" w:lineRule="exact"/>
                    <w:rPr>
                      <w:rFonts w:cs="Miriam" w:hint="cs"/>
                      <w:noProof/>
                      <w:sz w:val="18"/>
                      <w:szCs w:val="18"/>
                      <w:rtl/>
                    </w:rPr>
                  </w:pPr>
                  <w:r>
                    <w:rPr>
                      <w:rFonts w:cs="Miriam" w:hint="cs"/>
                      <w:sz w:val="18"/>
                      <w:szCs w:val="18"/>
                      <w:rtl/>
                    </w:rPr>
                    <w:t>(תיקון מס' 2) תשע"ו-2016</w:t>
                  </w:r>
                </w:p>
              </w:txbxContent>
            </v:textbox>
            <w10:anchorlock/>
          </v:rect>
        </w:pict>
      </w:r>
      <w:r w:rsidR="009728DA">
        <w:rPr>
          <w:rStyle w:val="big-number"/>
          <w:rFonts w:cs="Miriam" w:hint="cs"/>
          <w:rtl/>
        </w:rPr>
        <w:t>14</w:t>
      </w:r>
      <w:r>
        <w:rPr>
          <w:rStyle w:val="big-number"/>
          <w:rFonts w:cs="FrankRuehl"/>
          <w:sz w:val="26"/>
          <w:szCs w:val="26"/>
          <w:rtl/>
        </w:rPr>
        <w:t>.</w:t>
      </w:r>
      <w:r>
        <w:rPr>
          <w:rStyle w:val="big-number"/>
          <w:rFonts w:cs="FrankRuehl"/>
          <w:sz w:val="26"/>
          <w:szCs w:val="26"/>
          <w:rtl/>
        </w:rPr>
        <w:tab/>
      </w:r>
      <w:r w:rsidR="009728DA">
        <w:rPr>
          <w:rStyle w:val="default"/>
          <w:rFonts w:cs="FrankRuehl" w:hint="cs"/>
          <w:rtl/>
        </w:rPr>
        <w:t xml:space="preserve">לא תאושר תכנית לשירותי בריאות נוספים, לעניין החלק הכולל כיסוי לניתוחים, ולא תותר לשיווק תכנית ביטוח הכוללת ביטוח לניתוחים, או יאושר שינוי בתכניות כאמור, אלא אם כן נוכח שר הבריאות או </w:t>
      </w:r>
      <w:r w:rsidR="009946F1">
        <w:rPr>
          <w:rStyle w:val="default"/>
          <w:rFonts w:cs="FrankRuehl" w:hint="cs"/>
          <w:rtl/>
        </w:rPr>
        <w:t>הממונה על שוק ההון</w:t>
      </w:r>
      <w:r w:rsidR="009728DA">
        <w:rPr>
          <w:rStyle w:val="default"/>
          <w:rFonts w:cs="FrankRuehl" w:hint="cs"/>
          <w:rtl/>
        </w:rPr>
        <w:t>, לפי העניין, כי יש לקופת החולים או לחברת הביטוח, הסדרי ניתוח שיש בהם כדי להבטיח לעמיתים או למבוטחים היקף מספק של רופאים מנתחים וניתוחים, הן מבחינת מגוון הרופאים המנחים וסוגי הניתוחים והן מבחינת פריסתם הגאוגרפית, לרבות פריסה בפריפריה</w:t>
      </w:r>
      <w:r w:rsidR="004576C6">
        <w:rPr>
          <w:rStyle w:val="default"/>
          <w:rFonts w:cs="FrankRuehl" w:hint="cs"/>
          <w:rtl/>
        </w:rPr>
        <w:t>.</w:t>
      </w:r>
    </w:p>
    <w:p w:rsidR="00D932A0" w:rsidRPr="009946F1" w:rsidRDefault="00D932A0" w:rsidP="00D932A0">
      <w:pPr>
        <w:pStyle w:val="P00"/>
        <w:spacing w:before="0"/>
        <w:ind w:left="0" w:right="1134"/>
        <w:rPr>
          <w:rStyle w:val="default"/>
          <w:rFonts w:cs="FrankRuehl" w:hint="cs"/>
          <w:vanish/>
          <w:color w:val="FF0000"/>
          <w:sz w:val="20"/>
          <w:szCs w:val="20"/>
          <w:shd w:val="clear" w:color="auto" w:fill="FFFF99"/>
          <w:rtl/>
        </w:rPr>
      </w:pPr>
      <w:bookmarkStart w:id="7" w:name="Rov16"/>
      <w:r w:rsidRPr="009946F1">
        <w:rPr>
          <w:rStyle w:val="default"/>
          <w:rFonts w:cs="FrankRuehl" w:hint="cs"/>
          <w:vanish/>
          <w:color w:val="FF0000"/>
          <w:sz w:val="20"/>
          <w:szCs w:val="20"/>
          <w:shd w:val="clear" w:color="auto" w:fill="FFFF99"/>
          <w:rtl/>
        </w:rPr>
        <w:t>מיום 1.11.2016</w:t>
      </w:r>
    </w:p>
    <w:p w:rsidR="00D932A0" w:rsidRPr="009946F1" w:rsidRDefault="00D932A0" w:rsidP="00D932A0">
      <w:pPr>
        <w:pStyle w:val="P00"/>
        <w:spacing w:before="0"/>
        <w:ind w:left="0" w:right="1134"/>
        <w:rPr>
          <w:rStyle w:val="default"/>
          <w:rFonts w:cs="FrankRuehl" w:hint="cs"/>
          <w:vanish/>
          <w:sz w:val="20"/>
          <w:szCs w:val="20"/>
          <w:shd w:val="clear" w:color="auto" w:fill="FFFF99"/>
          <w:rtl/>
        </w:rPr>
      </w:pPr>
      <w:r w:rsidRPr="009946F1">
        <w:rPr>
          <w:rStyle w:val="default"/>
          <w:rFonts w:cs="FrankRuehl" w:hint="cs"/>
          <w:b/>
          <w:bCs/>
          <w:vanish/>
          <w:sz w:val="20"/>
          <w:szCs w:val="20"/>
          <w:shd w:val="clear" w:color="auto" w:fill="FFFF99"/>
          <w:rtl/>
        </w:rPr>
        <w:t>תיקון מס' 2</w:t>
      </w:r>
    </w:p>
    <w:p w:rsidR="00D932A0" w:rsidRPr="009946F1" w:rsidRDefault="00D932A0" w:rsidP="00D932A0">
      <w:pPr>
        <w:pStyle w:val="P00"/>
        <w:spacing w:before="0"/>
        <w:ind w:left="0" w:right="1134"/>
        <w:rPr>
          <w:rStyle w:val="default"/>
          <w:rFonts w:cs="FrankRuehl" w:hint="cs"/>
          <w:vanish/>
          <w:szCs w:val="20"/>
          <w:shd w:val="clear" w:color="auto" w:fill="FFFF99"/>
          <w:rtl/>
        </w:rPr>
      </w:pPr>
      <w:hyperlink r:id="rId9" w:history="1">
        <w:r w:rsidRPr="009946F1">
          <w:rPr>
            <w:rStyle w:val="Hyperlink"/>
            <w:rFonts w:cs="FrankRuehl" w:hint="cs"/>
            <w:vanish/>
            <w:szCs w:val="20"/>
            <w:shd w:val="clear" w:color="auto" w:fill="FFFF99"/>
            <w:rtl/>
          </w:rPr>
          <w:t>ס"ח תשע"ו מס' 2582</w:t>
        </w:r>
      </w:hyperlink>
      <w:r w:rsidRPr="009946F1">
        <w:rPr>
          <w:rStyle w:val="default"/>
          <w:rFonts w:cs="FrankRuehl" w:hint="cs"/>
          <w:vanish/>
          <w:sz w:val="20"/>
          <w:szCs w:val="20"/>
          <w:shd w:val="clear" w:color="auto" w:fill="FFFF99"/>
          <w:rtl/>
        </w:rPr>
        <w:t xml:space="preserve"> מיום 21.8.2016 עמ' 126</w:t>
      </w:r>
      <w:r w:rsidRPr="009946F1">
        <w:rPr>
          <w:rStyle w:val="default"/>
          <w:rFonts w:cs="FrankRuehl" w:hint="cs"/>
          <w:vanish/>
          <w:szCs w:val="20"/>
          <w:shd w:val="clear" w:color="auto" w:fill="FFFF99"/>
          <w:rtl/>
        </w:rPr>
        <w:t>4</w:t>
      </w:r>
      <w:r w:rsidRPr="009946F1">
        <w:rPr>
          <w:rStyle w:val="default"/>
          <w:rFonts w:cs="FrankRuehl" w:hint="cs"/>
          <w:vanish/>
          <w:sz w:val="20"/>
          <w:szCs w:val="20"/>
          <w:shd w:val="clear" w:color="auto" w:fill="FFFF99"/>
          <w:rtl/>
        </w:rPr>
        <w:t xml:space="preserve"> (</w:t>
      </w:r>
      <w:hyperlink r:id="rId10" w:history="1">
        <w:r w:rsidRPr="009946F1">
          <w:rPr>
            <w:rStyle w:val="Hyperlink"/>
            <w:rFonts w:cs="FrankRuehl" w:hint="cs"/>
            <w:vanish/>
            <w:szCs w:val="20"/>
            <w:shd w:val="clear" w:color="auto" w:fill="FFFF99"/>
            <w:rtl/>
          </w:rPr>
          <w:t>ה"ח 1032</w:t>
        </w:r>
      </w:hyperlink>
      <w:r w:rsidRPr="009946F1">
        <w:rPr>
          <w:rStyle w:val="default"/>
          <w:rFonts w:cs="FrankRuehl" w:hint="cs"/>
          <w:vanish/>
          <w:sz w:val="20"/>
          <w:szCs w:val="20"/>
          <w:shd w:val="clear" w:color="auto" w:fill="FFFF99"/>
          <w:rtl/>
        </w:rPr>
        <w:t>)</w:t>
      </w:r>
    </w:p>
    <w:p w:rsidR="00D932A0" w:rsidRPr="00D932A0" w:rsidRDefault="00D932A0" w:rsidP="00D932A0">
      <w:pPr>
        <w:pStyle w:val="P00"/>
        <w:ind w:left="0" w:right="1134"/>
        <w:rPr>
          <w:rStyle w:val="default"/>
          <w:rFonts w:cs="FrankRuehl" w:hint="cs"/>
          <w:sz w:val="2"/>
          <w:szCs w:val="2"/>
          <w:rtl/>
        </w:rPr>
      </w:pPr>
      <w:r w:rsidRPr="009946F1">
        <w:rPr>
          <w:rStyle w:val="default"/>
          <w:rFonts w:cs="FrankRuehl" w:hint="cs"/>
          <w:vanish/>
          <w:sz w:val="22"/>
          <w:szCs w:val="22"/>
          <w:shd w:val="clear" w:color="auto" w:fill="FFFF99"/>
          <w:rtl/>
        </w:rPr>
        <w:t>14</w:t>
      </w:r>
      <w:r w:rsidRPr="009946F1">
        <w:rPr>
          <w:rStyle w:val="default"/>
          <w:rFonts w:cs="FrankRuehl"/>
          <w:vanish/>
          <w:sz w:val="22"/>
          <w:szCs w:val="22"/>
          <w:shd w:val="clear" w:color="auto" w:fill="FFFF99"/>
          <w:rtl/>
        </w:rPr>
        <w:t>.</w:t>
      </w:r>
      <w:r w:rsidRPr="009946F1">
        <w:rPr>
          <w:rStyle w:val="default"/>
          <w:rFonts w:cs="FrankRuehl"/>
          <w:vanish/>
          <w:sz w:val="22"/>
          <w:szCs w:val="22"/>
          <w:shd w:val="clear" w:color="auto" w:fill="FFFF99"/>
          <w:rtl/>
        </w:rPr>
        <w:tab/>
      </w:r>
      <w:r w:rsidRPr="009946F1">
        <w:rPr>
          <w:rStyle w:val="default"/>
          <w:rFonts w:cs="FrankRuehl" w:hint="cs"/>
          <w:vanish/>
          <w:sz w:val="22"/>
          <w:szCs w:val="22"/>
          <w:shd w:val="clear" w:color="auto" w:fill="FFFF99"/>
          <w:rtl/>
        </w:rPr>
        <w:t xml:space="preserve">לא תאושר תכנית לשירותי בריאות נוספים, לעניין החלק הכולל כיסוי לניתוחים, ולא תותר לשיווק תכנית ביטוח הכוללת ביטוח לניתוחים, או יאושר שינוי בתכניות כאמור, אלא אם כן נוכח שר הבריאות או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לפי העניין, כי יש לקופת החולים או לחברת הביטוח, הסדרי ניתוח שיש בהם כדי להבטיח לעמיתים או למבוטחים היקף מספק של רופאים מנתחים וניתוחים, הן מבחינת מגוון הרופאים המנחים וסוגי הניתוחים והן מבחינת פריסתם הגאוגרפית, לרבות פריסה בפריפריה.</w:t>
      </w:r>
      <w:bookmarkEnd w:id="7"/>
    </w:p>
    <w:p w:rsidR="008D2E6D" w:rsidRDefault="008D2E6D" w:rsidP="009728DA">
      <w:pPr>
        <w:pStyle w:val="P00"/>
        <w:spacing w:before="72"/>
        <w:ind w:left="0" w:right="1134"/>
        <w:rPr>
          <w:rStyle w:val="default"/>
          <w:rFonts w:cs="FrankRuehl" w:hint="cs"/>
          <w:rtl/>
        </w:rPr>
      </w:pPr>
      <w:bookmarkStart w:id="8" w:name="Seif4"/>
      <w:bookmarkEnd w:id="8"/>
      <w:r>
        <w:rPr>
          <w:rFonts w:cs="Miriam"/>
          <w:lang w:val="he-IL"/>
        </w:rPr>
        <w:pict>
          <v:rect id="_x0000_s1711" style="position:absolute;left:0;text-align:left;margin-left:463.5pt;margin-top:8.05pt;width:75.05pt;height:21.85pt;z-index:251655168" filled="f" stroked="f" strokecolor="lime" strokeweight=".25pt">
            <v:textbox style="mso-next-textbox:#_x0000_s1711" inset="1mm,0,1mm,0">
              <w:txbxContent>
                <w:p w:rsidR="00D03489" w:rsidRDefault="009728DA" w:rsidP="008D2E6D">
                  <w:pPr>
                    <w:spacing w:line="160" w:lineRule="exact"/>
                    <w:rPr>
                      <w:rFonts w:cs="Miriam" w:hint="cs"/>
                      <w:noProof/>
                      <w:sz w:val="18"/>
                      <w:szCs w:val="18"/>
                      <w:rtl/>
                    </w:rPr>
                  </w:pPr>
                  <w:r>
                    <w:rPr>
                      <w:rFonts w:cs="Miriam" w:hint="cs"/>
                      <w:sz w:val="18"/>
                      <w:szCs w:val="18"/>
                      <w:rtl/>
                    </w:rPr>
                    <w:t>תשלומים בשל ניתוח</w:t>
                  </w:r>
                </w:p>
              </w:txbxContent>
            </v:textbox>
            <w10:anchorlock/>
          </v:rect>
        </w:pict>
      </w:r>
      <w:r w:rsidR="009728DA">
        <w:rPr>
          <w:rStyle w:val="big-number"/>
          <w:rFonts w:cs="Miriam" w:hint="cs"/>
          <w:rtl/>
        </w:rPr>
        <w:t>15</w:t>
      </w:r>
      <w:r>
        <w:rPr>
          <w:rStyle w:val="big-number"/>
          <w:rFonts w:cs="FrankRuehl"/>
          <w:sz w:val="26"/>
          <w:szCs w:val="26"/>
          <w:rtl/>
        </w:rPr>
        <w:t>.</w:t>
      </w:r>
      <w:r>
        <w:rPr>
          <w:rStyle w:val="big-number"/>
          <w:rFonts w:cs="FrankRuehl"/>
          <w:sz w:val="26"/>
          <w:szCs w:val="26"/>
          <w:rtl/>
        </w:rPr>
        <w:tab/>
      </w:r>
      <w:r w:rsidR="009728DA">
        <w:rPr>
          <w:rStyle w:val="default"/>
          <w:rFonts w:cs="FrankRuehl" w:hint="cs"/>
          <w:rtl/>
        </w:rPr>
        <w:t>(א)</w:t>
      </w:r>
      <w:r w:rsidR="009728DA">
        <w:rPr>
          <w:rStyle w:val="default"/>
          <w:rFonts w:cs="FrankRuehl" w:hint="cs"/>
          <w:rtl/>
        </w:rPr>
        <w:tab/>
        <w:t xml:space="preserve">קופת חולים וחברת ביטוח ישלמו לפי תכנית ביטוח או לפי תכנית לשירותי בריאות נוספים, בשל ניתוח, </w:t>
      </w:r>
      <w:r w:rsidR="00AA4545">
        <w:rPr>
          <w:rStyle w:val="default"/>
          <w:rFonts w:cs="FrankRuehl" w:hint="cs"/>
          <w:rtl/>
        </w:rPr>
        <w:t>לרופא או למוסד רפואי שבו בוצע הניתוח ולפי הסדר ניתוח, בלבד; קופת חולים וחברת ביטוח לא ייתנו למטופל החזר כספי או תשלום בשל הניתוח</w:t>
      </w:r>
      <w:r w:rsidR="00B10F4D">
        <w:rPr>
          <w:rStyle w:val="default"/>
          <w:rFonts w:cs="FrankRuehl" w:hint="cs"/>
          <w:rtl/>
        </w:rPr>
        <w:t>.</w:t>
      </w:r>
    </w:p>
    <w:p w:rsidR="00AA4545" w:rsidRDefault="00AA4545" w:rsidP="009728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E3EA7">
        <w:rPr>
          <w:rStyle w:val="default"/>
          <w:rFonts w:cs="FrankRuehl" w:hint="cs"/>
          <w:rtl/>
        </w:rPr>
        <w:t>רופא או מוסד רפואי או מי מטעמם לא ידרשו ולא יקבלו מהמטופל כל תשלום, במישרין או בעקיפין, בשל הניתוח או בשל בחירת הרופא המנתח, אם הניתוח בוצע במסגרת הסדר ניתוח, למעט השתתפות עצמית ככל שנקבעה לפי התכנית לשירותי בריאות נוספים או לפי תכנית הביטוח.</w:t>
      </w:r>
    </w:p>
    <w:p w:rsidR="008D2E6D" w:rsidRDefault="008D2E6D" w:rsidP="007E3EA7">
      <w:pPr>
        <w:pStyle w:val="P00"/>
        <w:spacing w:before="72"/>
        <w:ind w:left="0" w:right="1134"/>
        <w:rPr>
          <w:rStyle w:val="default"/>
          <w:rFonts w:cs="FrankRuehl" w:hint="cs"/>
          <w:rtl/>
        </w:rPr>
      </w:pPr>
      <w:bookmarkStart w:id="9" w:name="Seif5"/>
      <w:bookmarkEnd w:id="9"/>
      <w:r>
        <w:rPr>
          <w:rFonts w:cs="Miriam"/>
          <w:lang w:val="he-IL"/>
        </w:rPr>
        <w:pict>
          <v:rect id="_x0000_s1712" style="position:absolute;left:0;text-align:left;margin-left:463.5pt;margin-top:8.05pt;width:75.05pt;height:10pt;z-index:251656192" filled="f" stroked="f" strokecolor="lime" strokeweight=".25pt">
            <v:textbox style="mso-next-textbox:#_x0000_s1712" inset="1mm,0,1mm,0">
              <w:txbxContent>
                <w:p w:rsidR="00D03489" w:rsidRDefault="007E3EA7" w:rsidP="008D2E6D">
                  <w:pPr>
                    <w:spacing w:line="160" w:lineRule="exact"/>
                    <w:rPr>
                      <w:rFonts w:cs="Miriam" w:hint="cs"/>
                      <w:noProof/>
                      <w:sz w:val="18"/>
                      <w:szCs w:val="18"/>
                      <w:rtl/>
                    </w:rPr>
                  </w:pPr>
                  <w:r>
                    <w:rPr>
                      <w:rFonts w:cs="Miriam" w:hint="cs"/>
                      <w:sz w:val="18"/>
                      <w:szCs w:val="18"/>
                      <w:rtl/>
                    </w:rPr>
                    <w:t>הסדר התייעצות</w:t>
                  </w:r>
                </w:p>
              </w:txbxContent>
            </v:textbox>
            <w10:anchorlock/>
          </v:rect>
        </w:pict>
      </w:r>
      <w:r w:rsidR="007E3EA7">
        <w:rPr>
          <w:rStyle w:val="big-number"/>
          <w:rFonts w:cs="Miriam" w:hint="cs"/>
          <w:rtl/>
        </w:rPr>
        <w:t>16</w:t>
      </w:r>
      <w:r>
        <w:rPr>
          <w:rStyle w:val="big-number"/>
          <w:rFonts w:cs="FrankRuehl"/>
          <w:sz w:val="26"/>
          <w:szCs w:val="26"/>
          <w:rtl/>
        </w:rPr>
        <w:t>.</w:t>
      </w:r>
      <w:r>
        <w:rPr>
          <w:rStyle w:val="big-number"/>
          <w:rFonts w:cs="FrankRuehl"/>
          <w:sz w:val="26"/>
          <w:szCs w:val="26"/>
          <w:rtl/>
        </w:rPr>
        <w:tab/>
      </w:r>
      <w:r w:rsidR="007E3EA7">
        <w:rPr>
          <w:rStyle w:val="default"/>
          <w:rFonts w:cs="FrankRuehl" w:hint="cs"/>
          <w:rtl/>
        </w:rPr>
        <w:t>לא ייכלל רופא ברשימת הרופאים המנתחים שלקופת החולים או לחברת הביטוח יש עמם הסדר ניתוח, אלא אם כן יש לקופת החולים או לחברת הביטוח הסדר התייעצות עמו</w:t>
      </w:r>
      <w:r w:rsidR="00B10F4D">
        <w:rPr>
          <w:rStyle w:val="default"/>
          <w:rFonts w:cs="FrankRuehl" w:hint="cs"/>
          <w:rtl/>
        </w:rPr>
        <w:t>.</w:t>
      </w:r>
    </w:p>
    <w:p w:rsidR="008D2E6D" w:rsidRDefault="008D2E6D" w:rsidP="007E3EA7">
      <w:pPr>
        <w:pStyle w:val="P00"/>
        <w:spacing w:before="72"/>
        <w:ind w:left="0" w:right="1134"/>
        <w:rPr>
          <w:rStyle w:val="default"/>
          <w:rFonts w:cs="FrankRuehl" w:hint="cs"/>
          <w:rtl/>
        </w:rPr>
      </w:pPr>
      <w:bookmarkStart w:id="10" w:name="Seif6"/>
      <w:bookmarkEnd w:id="10"/>
      <w:r>
        <w:rPr>
          <w:rFonts w:cs="Miriam"/>
          <w:lang w:val="he-IL"/>
        </w:rPr>
        <w:pict>
          <v:rect id="_x0000_s1713" style="position:absolute;left:0;text-align:left;margin-left:463.5pt;margin-top:8.05pt;width:75.05pt;height:22.4pt;z-index:251657216" filled="f" stroked="f" strokecolor="lime" strokeweight=".25pt">
            <v:textbox style="mso-next-textbox:#_x0000_s1713" inset="1mm,0,1mm,0">
              <w:txbxContent>
                <w:p w:rsidR="00D03489" w:rsidRDefault="007E3EA7" w:rsidP="008D2E6D">
                  <w:pPr>
                    <w:spacing w:line="160" w:lineRule="exact"/>
                    <w:rPr>
                      <w:rFonts w:cs="Miriam" w:hint="cs"/>
                      <w:noProof/>
                      <w:sz w:val="18"/>
                      <w:szCs w:val="18"/>
                      <w:rtl/>
                    </w:rPr>
                  </w:pPr>
                  <w:r>
                    <w:rPr>
                      <w:rFonts w:cs="Miriam" w:hint="cs"/>
                      <w:sz w:val="18"/>
                      <w:szCs w:val="18"/>
                      <w:rtl/>
                    </w:rPr>
                    <w:t>קביעת חריגים להסדר</w:t>
                  </w:r>
                </w:p>
              </w:txbxContent>
            </v:textbox>
            <w10:anchorlock/>
          </v:rect>
        </w:pict>
      </w:r>
      <w:r w:rsidR="007E3EA7">
        <w:rPr>
          <w:rStyle w:val="big-number"/>
          <w:rFonts w:cs="Miriam" w:hint="cs"/>
          <w:rtl/>
        </w:rPr>
        <w:t>17</w:t>
      </w:r>
      <w:r>
        <w:rPr>
          <w:rStyle w:val="big-number"/>
          <w:rFonts w:cs="FrankRuehl"/>
          <w:sz w:val="26"/>
          <w:szCs w:val="26"/>
          <w:rtl/>
        </w:rPr>
        <w:t>.</w:t>
      </w:r>
      <w:r>
        <w:rPr>
          <w:rStyle w:val="big-number"/>
          <w:rFonts w:cs="FrankRuehl"/>
          <w:sz w:val="26"/>
          <w:szCs w:val="26"/>
          <w:rtl/>
        </w:rPr>
        <w:tab/>
      </w:r>
      <w:r w:rsidR="007E3EA7">
        <w:rPr>
          <w:rStyle w:val="default"/>
          <w:rFonts w:cs="FrankRuehl" w:hint="cs"/>
          <w:rtl/>
        </w:rPr>
        <w:t>(א)</w:t>
      </w:r>
      <w:r w:rsidR="007E3EA7">
        <w:rPr>
          <w:rStyle w:val="default"/>
          <w:rFonts w:cs="FrankRuehl" w:hint="cs"/>
          <w:rtl/>
        </w:rPr>
        <w:tab/>
        <w:t>קופת חולים רשאים להגיש לאישור שר הבריאות רשימה של עד 50 רופאים מומחים בתחומים ייחודיים או באזורים גאוגרפיים, שבהם קיים מספר מצומצם של רופאים מומחים, ולגביהם תהיה קופת החולים רשאית להציע החזר כספי אם אין לקופת החולים הסדר ניתוח עמם; הרשימה תעודכן מעת לעת, באישור שר הבריאות</w:t>
      </w:r>
      <w:r w:rsidR="00B10F4D">
        <w:rPr>
          <w:rStyle w:val="default"/>
          <w:rFonts w:cs="FrankRuehl" w:hint="cs"/>
          <w:rtl/>
        </w:rPr>
        <w:t>.</w:t>
      </w:r>
    </w:p>
    <w:p w:rsidR="007E3EA7" w:rsidRDefault="007E3EA7" w:rsidP="007E3E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חברת ביטוח רשאית להגיש לאישור שר האוצר רשימה של עד 50 רופאים מומחים בתחומים ייחודיים או באזורים גאוגרפיים, שבהם קיים מספר מצומצם של רופאים מומחים, ולגביהם תהיה חברת הביטוח רשאית להציע החזר כספי אם אין לחברת הביטוח הסדר ניתוח עמם; הרשימה תעודכן מעת לעת, באישור שר האוצר.</w:t>
      </w:r>
    </w:p>
    <w:p w:rsidR="007E3EA7" w:rsidRDefault="007E3EA7" w:rsidP="007E3E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השרים כאחד, רשאים לשנות בצו את המספר הקבוע בסעיפים קטנים (א) ו-(ב), וכן רשאים הם לקבוע כי מספר הרופאים המרבי בכל רשימה כאמור בסעיפים קטנים אלה, ייקבע כשיעור מרבי ממספר הרופאים שעמם יש לכל אחת מקופות החולים או מחברות הביטוח הסדר ניתוח.</w:t>
      </w:r>
    </w:p>
    <w:p w:rsidR="008D2E6D" w:rsidRDefault="008D2E6D" w:rsidP="004D1925">
      <w:pPr>
        <w:pStyle w:val="P00"/>
        <w:spacing w:before="72"/>
        <w:ind w:left="0" w:right="1134"/>
        <w:rPr>
          <w:rStyle w:val="default"/>
          <w:rFonts w:cs="FrankRuehl" w:hint="cs"/>
          <w:rtl/>
        </w:rPr>
      </w:pPr>
      <w:bookmarkStart w:id="11" w:name="Seif7"/>
      <w:bookmarkEnd w:id="11"/>
      <w:r>
        <w:rPr>
          <w:rFonts w:cs="Miriam"/>
          <w:lang w:val="he-IL"/>
        </w:rPr>
        <w:pict>
          <v:rect id="_x0000_s1714" style="position:absolute;left:0;text-align:left;margin-left:463.5pt;margin-top:8.05pt;width:75.05pt;height:45.9pt;z-index:251658240" filled="f" stroked="f" strokecolor="lime" strokeweight=".25pt">
            <v:textbox style="mso-next-textbox:#_x0000_s1714" inset="1mm,0,1mm,0">
              <w:txbxContent>
                <w:p w:rsidR="00D03489" w:rsidRDefault="004D1925" w:rsidP="008D2E6D">
                  <w:pPr>
                    <w:spacing w:line="160" w:lineRule="exact"/>
                    <w:rPr>
                      <w:rFonts w:cs="Miriam" w:hint="cs"/>
                      <w:noProof/>
                      <w:sz w:val="18"/>
                      <w:szCs w:val="18"/>
                      <w:rtl/>
                    </w:rPr>
                  </w:pPr>
                  <w:r>
                    <w:rPr>
                      <w:rFonts w:cs="Miriam" w:hint="cs"/>
                      <w:sz w:val="18"/>
                      <w:szCs w:val="18"/>
                      <w:rtl/>
                    </w:rPr>
                    <w:t>הוראות בעניין קופת חולים שחלקה בסך העמיתים נמוך מחמישה עשר אחוזים</w:t>
                  </w:r>
                </w:p>
              </w:txbxContent>
            </v:textbox>
            <w10:anchorlock/>
          </v:rect>
        </w:pict>
      </w:r>
      <w:r w:rsidR="007E3EA7">
        <w:rPr>
          <w:rStyle w:val="big-number"/>
          <w:rFonts w:cs="Miriam" w:hint="cs"/>
          <w:rtl/>
        </w:rPr>
        <w:t>18</w:t>
      </w:r>
      <w:r>
        <w:rPr>
          <w:rStyle w:val="big-number"/>
          <w:rFonts w:cs="FrankRuehl"/>
          <w:sz w:val="26"/>
          <w:szCs w:val="26"/>
          <w:rtl/>
        </w:rPr>
        <w:t>.</w:t>
      </w:r>
      <w:r>
        <w:rPr>
          <w:rStyle w:val="big-number"/>
          <w:rFonts w:cs="FrankRuehl"/>
          <w:sz w:val="26"/>
          <w:szCs w:val="26"/>
          <w:rtl/>
        </w:rPr>
        <w:tab/>
      </w:r>
      <w:r w:rsidR="004D1925">
        <w:rPr>
          <w:rStyle w:val="default"/>
          <w:rFonts w:cs="FrankRuehl" w:hint="cs"/>
          <w:rtl/>
        </w:rPr>
        <w:t>נוסף על הוראות סעיף 17, שר הבריאות רשאי, אם ראה שהדבר נדרש לשם הבטחת התחרות, לקבוע כי קופת חולים שחלקה בסך העמיתים מכלל העמיתים בקופות החולים נמוך מ-15 אחוזים תהיה רשאית להגיש לאישורו רשימה נוספת של רופאים מומחים, שאין לה עמם הסדר ניתוח, במספר שלא יעלה על שני אחוזים מכלל הרופאים שיש לקופת החולים הסדר ניתוח עמם, ואשר גם לגביהם היא תהיה רשאית להציע החזר כספי במסגרת תכנית לשירותי בריאות נוספים; הוראות סעיף 17 לעניין מאפייני הרשימה לא יחולו לגבי רשימת הרופאים לפי סעיף זה</w:t>
      </w:r>
      <w:r w:rsidR="00B10F4D">
        <w:rPr>
          <w:rStyle w:val="default"/>
          <w:rFonts w:cs="FrankRuehl" w:hint="cs"/>
          <w:rtl/>
        </w:rPr>
        <w:t>.</w:t>
      </w:r>
    </w:p>
    <w:p w:rsidR="008D2E6D" w:rsidRDefault="008D2E6D" w:rsidP="009946F1">
      <w:pPr>
        <w:pStyle w:val="P00"/>
        <w:spacing w:before="72"/>
        <w:ind w:left="0" w:right="1134"/>
        <w:rPr>
          <w:rStyle w:val="default"/>
          <w:rFonts w:cs="FrankRuehl" w:hint="cs"/>
          <w:rtl/>
        </w:rPr>
      </w:pPr>
      <w:bookmarkStart w:id="12" w:name="Seif8"/>
      <w:bookmarkEnd w:id="12"/>
      <w:r>
        <w:rPr>
          <w:rFonts w:cs="Miriam"/>
          <w:lang w:val="he-IL"/>
        </w:rPr>
        <w:pict>
          <v:rect id="_x0000_s1715" style="position:absolute;left:0;text-align:left;margin-left:463.5pt;margin-top:8.05pt;width:75.05pt;height:47.25pt;z-index:251659264" filled="f" stroked="f" strokecolor="lime" strokeweight=".25pt">
            <v:textbox style="mso-next-textbox:#_x0000_s1715" inset="1mm,0,1mm,0">
              <w:txbxContent>
                <w:p w:rsidR="00D03489" w:rsidRDefault="00605193" w:rsidP="008D2E6D">
                  <w:pPr>
                    <w:spacing w:line="160" w:lineRule="exact"/>
                    <w:rPr>
                      <w:rFonts w:cs="Miriam" w:hint="cs"/>
                      <w:noProof/>
                      <w:sz w:val="18"/>
                      <w:szCs w:val="18"/>
                      <w:rtl/>
                    </w:rPr>
                  </w:pPr>
                  <w:r>
                    <w:rPr>
                      <w:rFonts w:cs="Miriam" w:hint="cs"/>
                      <w:sz w:val="18"/>
                      <w:szCs w:val="18"/>
                      <w:rtl/>
                    </w:rPr>
                    <w:t>הוראות בעניין חברת ביטוח בעלת נתח שוק קטן</w:t>
                  </w:r>
                </w:p>
                <w:p w:rsidR="00D932A0" w:rsidRDefault="00D932A0" w:rsidP="00D932A0">
                  <w:pPr>
                    <w:spacing w:line="160" w:lineRule="exact"/>
                    <w:rPr>
                      <w:rFonts w:cs="Miriam" w:hint="cs"/>
                      <w:noProof/>
                      <w:sz w:val="18"/>
                      <w:szCs w:val="18"/>
                      <w:rtl/>
                    </w:rPr>
                  </w:pPr>
                  <w:r>
                    <w:rPr>
                      <w:rFonts w:cs="Miriam" w:hint="cs"/>
                      <w:sz w:val="18"/>
                      <w:szCs w:val="18"/>
                      <w:rtl/>
                    </w:rPr>
                    <w:t>(תיקון מס' 2) תשע"ו-2016</w:t>
                  </w:r>
                </w:p>
              </w:txbxContent>
            </v:textbox>
            <w10:anchorlock/>
          </v:rect>
        </w:pict>
      </w:r>
      <w:r w:rsidR="004D1925">
        <w:rPr>
          <w:rStyle w:val="big-number"/>
          <w:rFonts w:cs="Miriam" w:hint="cs"/>
          <w:rtl/>
        </w:rPr>
        <w:t>19</w:t>
      </w:r>
      <w:r>
        <w:rPr>
          <w:rStyle w:val="big-number"/>
          <w:rFonts w:cs="FrankRuehl"/>
          <w:sz w:val="26"/>
          <w:szCs w:val="26"/>
          <w:rtl/>
        </w:rPr>
        <w:t>.</w:t>
      </w:r>
      <w:r>
        <w:rPr>
          <w:rStyle w:val="big-number"/>
          <w:rFonts w:cs="FrankRuehl"/>
          <w:sz w:val="26"/>
          <w:szCs w:val="26"/>
          <w:rtl/>
        </w:rPr>
        <w:tab/>
      </w:r>
      <w:r w:rsidR="00605193">
        <w:rPr>
          <w:rStyle w:val="default"/>
          <w:rFonts w:cs="FrankRuehl" w:hint="cs"/>
          <w:rtl/>
        </w:rPr>
        <w:t>(א)</w:t>
      </w:r>
      <w:r w:rsidR="00605193">
        <w:rPr>
          <w:rStyle w:val="default"/>
          <w:rFonts w:cs="FrankRuehl" w:hint="cs"/>
          <w:rtl/>
        </w:rPr>
        <w:tab/>
        <w:t xml:space="preserve">הוראות סעיפים 14 עד 17 לא יחולו על חברת ביטוח שנתח השוק שלה נמוך משיעור שהורה לגביו </w:t>
      </w:r>
      <w:r w:rsidR="009946F1">
        <w:rPr>
          <w:rStyle w:val="default"/>
          <w:rFonts w:cs="FrankRuehl" w:hint="cs"/>
          <w:rtl/>
        </w:rPr>
        <w:t>הממונה על שוק ההון</w:t>
      </w:r>
      <w:r w:rsidR="00605193">
        <w:rPr>
          <w:rStyle w:val="default"/>
          <w:rFonts w:cs="FrankRuehl" w:hint="cs"/>
          <w:rtl/>
        </w:rPr>
        <w:t xml:space="preserve"> אם ראה כי הדבר נדרש לשם הבטחת התחרות, ושקיבלה אישור </w:t>
      </w:r>
      <w:r w:rsidR="009946F1">
        <w:rPr>
          <w:rStyle w:val="default"/>
          <w:rFonts w:cs="FrankRuehl" w:hint="cs"/>
          <w:rtl/>
        </w:rPr>
        <w:t>מהממונה על שוק ההון</w:t>
      </w:r>
      <w:r w:rsidR="00605193">
        <w:rPr>
          <w:rStyle w:val="default"/>
          <w:rFonts w:cs="FrankRuehl" w:hint="cs"/>
          <w:rtl/>
        </w:rPr>
        <w:t xml:space="preserve"> על כך, ובלבד ששיעור כאמור לא יעלה על עשרה אחוזים; הודעה בדבר השיעור שעליו הורה </w:t>
      </w:r>
      <w:r w:rsidR="009946F1">
        <w:rPr>
          <w:rStyle w:val="default"/>
          <w:rFonts w:cs="FrankRuehl" w:hint="cs"/>
          <w:rtl/>
        </w:rPr>
        <w:t>הממונה על שוק ההון</w:t>
      </w:r>
      <w:r w:rsidR="00605193">
        <w:rPr>
          <w:rStyle w:val="default"/>
          <w:rFonts w:cs="FrankRuehl" w:hint="cs"/>
          <w:rtl/>
        </w:rPr>
        <w:t xml:space="preserve"> תפורסם ברשומות</w:t>
      </w:r>
      <w:r w:rsidR="005E02BB">
        <w:rPr>
          <w:rStyle w:val="a6"/>
          <w:rFonts w:cs="FrankRuehl"/>
          <w:sz w:val="26"/>
          <w:rtl/>
        </w:rPr>
        <w:footnoteReference w:id="2"/>
      </w:r>
      <w:r w:rsidR="00605193">
        <w:rPr>
          <w:rStyle w:val="default"/>
          <w:rFonts w:cs="FrankRuehl" w:hint="cs"/>
          <w:rtl/>
        </w:rPr>
        <w:t>; אישור</w:t>
      </w:r>
      <w:r w:rsidR="009946F1">
        <w:rPr>
          <w:rStyle w:val="default"/>
          <w:rFonts w:cs="FrankRuehl" w:hint="cs"/>
          <w:rtl/>
        </w:rPr>
        <w:t xml:space="preserve"> הממונה על שוק ההון</w:t>
      </w:r>
      <w:r w:rsidR="00605193">
        <w:rPr>
          <w:rStyle w:val="default"/>
          <w:rFonts w:cs="FrankRuehl" w:hint="cs"/>
          <w:rtl/>
        </w:rPr>
        <w:t xml:space="preserve"> יעמוד בתוקפו לתקופה שלא תעלה על שנה</w:t>
      </w:r>
      <w:r w:rsidR="00B10F4D">
        <w:rPr>
          <w:rStyle w:val="default"/>
          <w:rFonts w:cs="FrankRuehl" w:hint="cs"/>
          <w:rtl/>
        </w:rPr>
        <w:t>.</w:t>
      </w:r>
    </w:p>
    <w:p w:rsidR="00605193" w:rsidRDefault="00605193" w:rsidP="009946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עלה נתח השוק של חברת ביטוח על השיעור שקבע </w:t>
      </w:r>
      <w:r w:rsidR="009946F1">
        <w:rPr>
          <w:rStyle w:val="default"/>
          <w:rFonts w:cs="FrankRuehl" w:hint="cs"/>
          <w:rtl/>
        </w:rPr>
        <w:t>הממונה על שוק ההון</w:t>
      </w:r>
      <w:r>
        <w:rPr>
          <w:rStyle w:val="default"/>
          <w:rFonts w:cs="FrankRuehl" w:hint="cs"/>
          <w:rtl/>
        </w:rPr>
        <w:t xml:space="preserve">, ימשיכו לחול עליה הוראות סעיף קטן (א) לעניין פוליסות ביטוח שהוצאו או שחודשו בתקופה שבה היה אישור </w:t>
      </w:r>
      <w:r w:rsidR="009946F1">
        <w:rPr>
          <w:rStyle w:val="default"/>
          <w:rFonts w:cs="FrankRuehl" w:hint="cs"/>
          <w:rtl/>
        </w:rPr>
        <w:t>הממונה על שוק ההון</w:t>
      </w:r>
      <w:r>
        <w:rPr>
          <w:rStyle w:val="default"/>
          <w:rFonts w:cs="FrankRuehl" w:hint="cs"/>
          <w:rtl/>
        </w:rPr>
        <w:t xml:space="preserve"> בתוקף.</w:t>
      </w:r>
    </w:p>
    <w:p w:rsidR="00605193" w:rsidRDefault="00605193" w:rsidP="009946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"נתח שוק" </w:t>
      </w:r>
      <w:r>
        <w:rPr>
          <w:rStyle w:val="default"/>
          <w:rFonts w:cs="FrankRuehl"/>
          <w:rtl/>
        </w:rPr>
        <w:t>–</w:t>
      </w:r>
      <w:r>
        <w:rPr>
          <w:rStyle w:val="default"/>
          <w:rFonts w:cs="FrankRuehl" w:hint="cs"/>
          <w:rtl/>
        </w:rPr>
        <w:t xml:space="preserve"> היחס שבין סך דמי הביטוח שגבתה חברת הביטוח בשנת הכספים הקודמת בעד פוליסות ביטוח ובין סך דמי הביטוח שגבו כלל חברות הביטוח באותה שנה בעד פוליסות ביטוח, והכול לפי הנתונים שבידי </w:t>
      </w:r>
      <w:r w:rsidR="009946F1">
        <w:rPr>
          <w:rStyle w:val="default"/>
          <w:rFonts w:cs="FrankRuehl" w:hint="cs"/>
          <w:rtl/>
        </w:rPr>
        <w:t>הממונה על שוק ההון</w:t>
      </w:r>
      <w:r>
        <w:rPr>
          <w:rStyle w:val="default"/>
          <w:rFonts w:cs="FrankRuehl" w:hint="cs"/>
          <w:rtl/>
        </w:rPr>
        <w:t>.</w:t>
      </w:r>
    </w:p>
    <w:p w:rsidR="00D932A0" w:rsidRPr="009946F1" w:rsidRDefault="00D932A0" w:rsidP="00D932A0">
      <w:pPr>
        <w:pStyle w:val="P00"/>
        <w:spacing w:before="0"/>
        <w:ind w:left="0" w:right="1134"/>
        <w:rPr>
          <w:rStyle w:val="default"/>
          <w:rFonts w:cs="FrankRuehl" w:hint="cs"/>
          <w:vanish/>
          <w:color w:val="FF0000"/>
          <w:sz w:val="20"/>
          <w:szCs w:val="20"/>
          <w:shd w:val="clear" w:color="auto" w:fill="FFFF99"/>
          <w:rtl/>
        </w:rPr>
      </w:pPr>
      <w:bookmarkStart w:id="13" w:name="Rov17"/>
      <w:r w:rsidRPr="009946F1">
        <w:rPr>
          <w:rStyle w:val="default"/>
          <w:rFonts w:cs="FrankRuehl" w:hint="cs"/>
          <w:vanish/>
          <w:color w:val="FF0000"/>
          <w:sz w:val="20"/>
          <w:szCs w:val="20"/>
          <w:shd w:val="clear" w:color="auto" w:fill="FFFF99"/>
          <w:rtl/>
        </w:rPr>
        <w:t>מיום 1.11.2016</w:t>
      </w:r>
    </w:p>
    <w:p w:rsidR="00D932A0" w:rsidRPr="009946F1" w:rsidRDefault="00D932A0" w:rsidP="00D932A0">
      <w:pPr>
        <w:pStyle w:val="P00"/>
        <w:spacing w:before="0"/>
        <w:ind w:left="0" w:right="1134"/>
        <w:rPr>
          <w:rStyle w:val="default"/>
          <w:rFonts w:cs="FrankRuehl" w:hint="cs"/>
          <w:vanish/>
          <w:sz w:val="20"/>
          <w:szCs w:val="20"/>
          <w:shd w:val="clear" w:color="auto" w:fill="FFFF99"/>
          <w:rtl/>
        </w:rPr>
      </w:pPr>
      <w:r w:rsidRPr="009946F1">
        <w:rPr>
          <w:rStyle w:val="default"/>
          <w:rFonts w:cs="FrankRuehl" w:hint="cs"/>
          <w:b/>
          <w:bCs/>
          <w:vanish/>
          <w:sz w:val="20"/>
          <w:szCs w:val="20"/>
          <w:shd w:val="clear" w:color="auto" w:fill="FFFF99"/>
          <w:rtl/>
        </w:rPr>
        <w:t>תיקון מס' 2</w:t>
      </w:r>
    </w:p>
    <w:p w:rsidR="00D932A0" w:rsidRPr="009946F1" w:rsidRDefault="00D932A0" w:rsidP="00D932A0">
      <w:pPr>
        <w:pStyle w:val="P00"/>
        <w:spacing w:before="0"/>
        <w:ind w:left="0" w:right="1134"/>
        <w:rPr>
          <w:rStyle w:val="default"/>
          <w:rFonts w:cs="FrankRuehl" w:hint="cs"/>
          <w:vanish/>
          <w:szCs w:val="20"/>
          <w:shd w:val="clear" w:color="auto" w:fill="FFFF99"/>
          <w:rtl/>
        </w:rPr>
      </w:pPr>
      <w:hyperlink r:id="rId11" w:history="1">
        <w:r w:rsidRPr="009946F1">
          <w:rPr>
            <w:rStyle w:val="Hyperlink"/>
            <w:rFonts w:cs="FrankRuehl" w:hint="cs"/>
            <w:vanish/>
            <w:szCs w:val="20"/>
            <w:shd w:val="clear" w:color="auto" w:fill="FFFF99"/>
            <w:rtl/>
          </w:rPr>
          <w:t>ס"ח תשע"ו מס' 2582</w:t>
        </w:r>
      </w:hyperlink>
      <w:r w:rsidRPr="009946F1">
        <w:rPr>
          <w:rStyle w:val="default"/>
          <w:rFonts w:cs="FrankRuehl" w:hint="cs"/>
          <w:vanish/>
          <w:sz w:val="20"/>
          <w:szCs w:val="20"/>
          <w:shd w:val="clear" w:color="auto" w:fill="FFFF99"/>
          <w:rtl/>
        </w:rPr>
        <w:t xml:space="preserve"> מיום 21.8.2016 עמ' 126</w:t>
      </w:r>
      <w:r w:rsidRPr="009946F1">
        <w:rPr>
          <w:rStyle w:val="default"/>
          <w:rFonts w:cs="FrankRuehl" w:hint="cs"/>
          <w:vanish/>
          <w:szCs w:val="20"/>
          <w:shd w:val="clear" w:color="auto" w:fill="FFFF99"/>
          <w:rtl/>
        </w:rPr>
        <w:t>4</w:t>
      </w:r>
      <w:r w:rsidRPr="009946F1">
        <w:rPr>
          <w:rStyle w:val="default"/>
          <w:rFonts w:cs="FrankRuehl" w:hint="cs"/>
          <w:vanish/>
          <w:sz w:val="20"/>
          <w:szCs w:val="20"/>
          <w:shd w:val="clear" w:color="auto" w:fill="FFFF99"/>
          <w:rtl/>
        </w:rPr>
        <w:t xml:space="preserve"> (</w:t>
      </w:r>
      <w:hyperlink r:id="rId12" w:history="1">
        <w:r w:rsidRPr="009946F1">
          <w:rPr>
            <w:rStyle w:val="Hyperlink"/>
            <w:rFonts w:cs="FrankRuehl" w:hint="cs"/>
            <w:vanish/>
            <w:szCs w:val="20"/>
            <w:shd w:val="clear" w:color="auto" w:fill="FFFF99"/>
            <w:rtl/>
          </w:rPr>
          <w:t>ה"ח 1032</w:t>
        </w:r>
      </w:hyperlink>
      <w:r w:rsidRPr="009946F1">
        <w:rPr>
          <w:rStyle w:val="default"/>
          <w:rFonts w:cs="FrankRuehl" w:hint="cs"/>
          <w:vanish/>
          <w:sz w:val="20"/>
          <w:szCs w:val="20"/>
          <w:shd w:val="clear" w:color="auto" w:fill="FFFF99"/>
          <w:rtl/>
        </w:rPr>
        <w:t>)</w:t>
      </w:r>
    </w:p>
    <w:p w:rsidR="00D932A0" w:rsidRPr="009946F1" w:rsidRDefault="00D932A0" w:rsidP="00D932A0">
      <w:pPr>
        <w:pStyle w:val="P00"/>
        <w:ind w:left="0" w:right="1134"/>
        <w:rPr>
          <w:rStyle w:val="default"/>
          <w:rFonts w:cs="FrankRuehl" w:hint="cs"/>
          <w:vanish/>
          <w:sz w:val="22"/>
          <w:szCs w:val="22"/>
          <w:shd w:val="clear" w:color="auto" w:fill="FFFF99"/>
          <w:rtl/>
        </w:rPr>
      </w:pPr>
      <w:r w:rsidRPr="009946F1">
        <w:rPr>
          <w:rStyle w:val="default"/>
          <w:rFonts w:cs="FrankRuehl" w:hint="cs"/>
          <w:vanish/>
          <w:sz w:val="22"/>
          <w:szCs w:val="22"/>
          <w:shd w:val="clear" w:color="auto" w:fill="FFFF99"/>
          <w:rtl/>
        </w:rPr>
        <w:t>19</w:t>
      </w:r>
      <w:r w:rsidRPr="009946F1">
        <w:rPr>
          <w:rStyle w:val="default"/>
          <w:rFonts w:cs="FrankRuehl"/>
          <w:vanish/>
          <w:sz w:val="22"/>
          <w:szCs w:val="22"/>
          <w:shd w:val="clear" w:color="auto" w:fill="FFFF99"/>
          <w:rtl/>
        </w:rPr>
        <w:t>.</w:t>
      </w:r>
      <w:r w:rsidRPr="009946F1">
        <w:rPr>
          <w:rStyle w:val="default"/>
          <w:rFonts w:cs="FrankRuehl"/>
          <w:vanish/>
          <w:sz w:val="22"/>
          <w:szCs w:val="22"/>
          <w:shd w:val="clear" w:color="auto" w:fill="FFFF99"/>
          <w:rtl/>
        </w:rPr>
        <w:tab/>
      </w:r>
      <w:r w:rsidRPr="009946F1">
        <w:rPr>
          <w:rStyle w:val="default"/>
          <w:rFonts w:cs="FrankRuehl" w:hint="cs"/>
          <w:vanish/>
          <w:sz w:val="22"/>
          <w:szCs w:val="22"/>
          <w:shd w:val="clear" w:color="auto" w:fill="FFFF99"/>
          <w:rtl/>
        </w:rPr>
        <w:t>(א)</w:t>
      </w:r>
      <w:r w:rsidRPr="009946F1">
        <w:rPr>
          <w:rStyle w:val="default"/>
          <w:rFonts w:cs="FrankRuehl" w:hint="cs"/>
          <w:vanish/>
          <w:sz w:val="22"/>
          <w:szCs w:val="22"/>
          <w:shd w:val="clear" w:color="auto" w:fill="FFFF99"/>
          <w:rtl/>
        </w:rPr>
        <w:tab/>
        <w:t xml:space="preserve">הוראות סעיפים 14 עד 17 לא יחולו על חברת ביטוח שנתח השוק שלה נמוך משיעור שהורה לגביו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xml:space="preserve"> אם ראה כי הדבר נדרש לשם הבטחת התחרות, ושקיבלה אישור </w:t>
      </w:r>
      <w:r w:rsidRPr="009946F1">
        <w:rPr>
          <w:rStyle w:val="default"/>
          <w:rFonts w:cs="FrankRuehl" w:hint="cs"/>
          <w:strike/>
          <w:vanish/>
          <w:sz w:val="22"/>
          <w:szCs w:val="22"/>
          <w:shd w:val="clear" w:color="auto" w:fill="FFFF99"/>
          <w:rtl/>
        </w:rPr>
        <w:t>מהמפקח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מהממונה על שוק ההון</w:t>
      </w:r>
      <w:r w:rsidRPr="009946F1">
        <w:rPr>
          <w:rStyle w:val="default"/>
          <w:rFonts w:cs="FrankRuehl" w:hint="cs"/>
          <w:vanish/>
          <w:sz w:val="22"/>
          <w:szCs w:val="22"/>
          <w:shd w:val="clear" w:color="auto" w:fill="FFFF99"/>
          <w:rtl/>
        </w:rPr>
        <w:t xml:space="preserve"> על כך, ובלבד ששיעור כאמור לא יעלה על עשרה אחוזים; הודעה בדבר השיעור שעליו הורה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xml:space="preserve"> תפורסם ברשומות; אישור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xml:space="preserve"> יעמוד בתוקפו לתקופה שלא תעלה על שנה.</w:t>
      </w:r>
    </w:p>
    <w:p w:rsidR="00D932A0" w:rsidRPr="009946F1" w:rsidRDefault="00D932A0" w:rsidP="00D932A0">
      <w:pPr>
        <w:pStyle w:val="P00"/>
        <w:spacing w:before="0"/>
        <w:ind w:left="0" w:right="1134"/>
        <w:rPr>
          <w:rStyle w:val="default"/>
          <w:rFonts w:cs="FrankRuehl" w:hint="cs"/>
          <w:vanish/>
          <w:sz w:val="22"/>
          <w:szCs w:val="22"/>
          <w:shd w:val="clear" w:color="auto" w:fill="FFFF99"/>
          <w:rtl/>
        </w:rPr>
      </w:pPr>
      <w:r w:rsidRPr="009946F1">
        <w:rPr>
          <w:rStyle w:val="default"/>
          <w:rFonts w:cs="FrankRuehl" w:hint="cs"/>
          <w:vanish/>
          <w:sz w:val="22"/>
          <w:szCs w:val="22"/>
          <w:shd w:val="clear" w:color="auto" w:fill="FFFF99"/>
          <w:rtl/>
        </w:rPr>
        <w:tab/>
        <w:t>(ב)</w:t>
      </w:r>
      <w:r w:rsidRPr="009946F1">
        <w:rPr>
          <w:rStyle w:val="default"/>
          <w:rFonts w:cs="FrankRuehl" w:hint="cs"/>
          <w:vanish/>
          <w:sz w:val="22"/>
          <w:szCs w:val="22"/>
          <w:shd w:val="clear" w:color="auto" w:fill="FFFF99"/>
          <w:rtl/>
        </w:rPr>
        <w:tab/>
        <w:t xml:space="preserve">עלה נתח השוק של חברת ביטוח על השיעור שקבע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xml:space="preserve">, ימשיכו לחול עליה הוראות סעיף קטן (א) לעניין פוליסות ביטוח שהוצאו או שחודשו בתקופה שבה היה אישור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 xml:space="preserve"> בתוקף.</w:t>
      </w:r>
    </w:p>
    <w:p w:rsidR="00D932A0" w:rsidRPr="00D932A0" w:rsidRDefault="00D932A0" w:rsidP="00D932A0">
      <w:pPr>
        <w:pStyle w:val="P00"/>
        <w:spacing w:before="0"/>
        <w:ind w:left="0" w:right="1134"/>
        <w:rPr>
          <w:rStyle w:val="default"/>
          <w:rFonts w:cs="FrankRuehl" w:hint="cs"/>
          <w:sz w:val="2"/>
          <w:szCs w:val="2"/>
          <w:shd w:val="clear" w:color="auto" w:fill="FFFF99"/>
          <w:rtl/>
        </w:rPr>
      </w:pPr>
      <w:r w:rsidRPr="009946F1">
        <w:rPr>
          <w:rStyle w:val="default"/>
          <w:rFonts w:cs="FrankRuehl" w:hint="cs"/>
          <w:vanish/>
          <w:sz w:val="22"/>
          <w:szCs w:val="22"/>
          <w:shd w:val="clear" w:color="auto" w:fill="FFFF99"/>
          <w:rtl/>
        </w:rPr>
        <w:tab/>
        <w:t>(ג)</w:t>
      </w:r>
      <w:r w:rsidRPr="009946F1">
        <w:rPr>
          <w:rStyle w:val="default"/>
          <w:rFonts w:cs="FrankRuehl" w:hint="cs"/>
          <w:vanish/>
          <w:sz w:val="22"/>
          <w:szCs w:val="22"/>
          <w:shd w:val="clear" w:color="auto" w:fill="FFFF99"/>
          <w:rtl/>
        </w:rPr>
        <w:tab/>
        <w:t xml:space="preserve">בסעיף זה, "נתח שוק" </w:t>
      </w:r>
      <w:r w:rsidRPr="009946F1">
        <w:rPr>
          <w:rStyle w:val="default"/>
          <w:rFonts w:cs="FrankRuehl"/>
          <w:vanish/>
          <w:sz w:val="22"/>
          <w:szCs w:val="22"/>
          <w:shd w:val="clear" w:color="auto" w:fill="FFFF99"/>
          <w:rtl/>
        </w:rPr>
        <w:t>–</w:t>
      </w:r>
      <w:r w:rsidRPr="009946F1">
        <w:rPr>
          <w:rStyle w:val="default"/>
          <w:rFonts w:cs="FrankRuehl" w:hint="cs"/>
          <w:vanish/>
          <w:sz w:val="22"/>
          <w:szCs w:val="22"/>
          <w:shd w:val="clear" w:color="auto" w:fill="FFFF99"/>
          <w:rtl/>
        </w:rPr>
        <w:t xml:space="preserve"> היחס שבין סך דמי הביטוח שגבתה חברת הביטוח בשנת הכספים הקודמת בעד פוליסות ביטוח ובין סך דמי הביטוח שגבו כלל חברות הביטוח באותה שנה בעד פוליסות ביטוח, והכול לפי הנתונים שבידי </w:t>
      </w:r>
      <w:r w:rsidRPr="009946F1">
        <w:rPr>
          <w:rStyle w:val="default"/>
          <w:rFonts w:cs="FrankRuehl" w:hint="cs"/>
          <w:strike/>
          <w:vanish/>
          <w:sz w:val="22"/>
          <w:szCs w:val="22"/>
          <w:shd w:val="clear" w:color="auto" w:fill="FFFF99"/>
          <w:rtl/>
        </w:rPr>
        <w:t>המפקח על הביטוח</w:t>
      </w:r>
      <w:r w:rsidRPr="009946F1">
        <w:rPr>
          <w:rStyle w:val="default"/>
          <w:rFonts w:cs="FrankRuehl" w:hint="cs"/>
          <w:vanish/>
          <w:sz w:val="22"/>
          <w:szCs w:val="22"/>
          <w:shd w:val="clear" w:color="auto" w:fill="FFFF99"/>
          <w:rtl/>
        </w:rPr>
        <w:t xml:space="preserve"> </w:t>
      </w:r>
      <w:r w:rsidRPr="009946F1">
        <w:rPr>
          <w:rStyle w:val="default"/>
          <w:rFonts w:cs="FrankRuehl" w:hint="cs"/>
          <w:vanish/>
          <w:sz w:val="22"/>
          <w:szCs w:val="22"/>
          <w:u w:val="single"/>
          <w:shd w:val="clear" w:color="auto" w:fill="FFFF99"/>
          <w:rtl/>
        </w:rPr>
        <w:t>הממונה על שוק ההון</w:t>
      </w:r>
      <w:r w:rsidRPr="009946F1">
        <w:rPr>
          <w:rStyle w:val="default"/>
          <w:rFonts w:cs="FrankRuehl" w:hint="cs"/>
          <w:vanish/>
          <w:sz w:val="22"/>
          <w:szCs w:val="22"/>
          <w:shd w:val="clear" w:color="auto" w:fill="FFFF99"/>
          <w:rtl/>
        </w:rPr>
        <w:t>.</w:t>
      </w:r>
      <w:bookmarkEnd w:id="13"/>
    </w:p>
    <w:p w:rsidR="004576C6" w:rsidRDefault="004576C6" w:rsidP="00605193">
      <w:pPr>
        <w:pStyle w:val="P00"/>
        <w:spacing w:before="72"/>
        <w:ind w:left="0" w:right="1134"/>
        <w:rPr>
          <w:rStyle w:val="default"/>
          <w:rFonts w:cs="FrankRuehl" w:hint="cs"/>
          <w:rtl/>
        </w:rPr>
      </w:pPr>
      <w:bookmarkStart w:id="14" w:name="Seif9"/>
      <w:bookmarkEnd w:id="14"/>
      <w:r>
        <w:rPr>
          <w:rFonts w:cs="Miriam"/>
          <w:lang w:val="he-IL"/>
        </w:rPr>
        <w:pict>
          <v:rect id="_x0000_s1716" style="position:absolute;left:0;text-align:left;margin-left:463.5pt;margin-top:8.05pt;width:75.05pt;height:10.25pt;z-index:251660288" filled="f" stroked="f" strokecolor="lime" strokeweight=".25pt">
            <v:textbox style="mso-next-textbox:#_x0000_s1716" inset="1mm,0,1mm,0">
              <w:txbxContent>
                <w:p w:rsidR="00D03489" w:rsidRDefault="00605193" w:rsidP="004576C6">
                  <w:pPr>
                    <w:spacing w:line="160" w:lineRule="exact"/>
                    <w:rPr>
                      <w:rFonts w:cs="Miriam" w:hint="cs"/>
                      <w:noProof/>
                      <w:sz w:val="18"/>
                      <w:szCs w:val="18"/>
                      <w:rtl/>
                    </w:rPr>
                  </w:pPr>
                  <w:r>
                    <w:rPr>
                      <w:rFonts w:cs="Miriam" w:hint="cs"/>
                      <w:sz w:val="18"/>
                      <w:szCs w:val="18"/>
                      <w:rtl/>
                    </w:rPr>
                    <w:t>החלת הוראות</w:t>
                  </w:r>
                </w:p>
              </w:txbxContent>
            </v:textbox>
            <w10:anchorlock/>
          </v:rect>
        </w:pict>
      </w:r>
      <w:r w:rsidR="00605193">
        <w:rPr>
          <w:rStyle w:val="big-number"/>
          <w:rFonts w:cs="Miriam" w:hint="cs"/>
          <w:rtl/>
        </w:rPr>
        <w:t>20</w:t>
      </w:r>
      <w:r>
        <w:rPr>
          <w:rStyle w:val="big-number"/>
          <w:rFonts w:cs="FrankRuehl"/>
          <w:sz w:val="26"/>
          <w:szCs w:val="26"/>
          <w:rtl/>
        </w:rPr>
        <w:t>.</w:t>
      </w:r>
      <w:r>
        <w:rPr>
          <w:rStyle w:val="big-number"/>
          <w:rFonts w:cs="FrankRuehl"/>
          <w:sz w:val="26"/>
          <w:szCs w:val="26"/>
          <w:rtl/>
        </w:rPr>
        <w:tab/>
      </w:r>
      <w:r w:rsidR="00605193">
        <w:rPr>
          <w:rStyle w:val="default"/>
          <w:rFonts w:cs="FrankRuehl" w:hint="cs"/>
          <w:rtl/>
        </w:rPr>
        <w:t>כל הוראה החלה על פי חוק ביטוח בריאות על תכנית לשירותי בריאות נוספים, לרבות הוראה המטילה חובות, המקנה זכויות למבוטח או המעניקה סמכויות לגוף או לאדם כלפי קופות חולים, יראו אותה כחלה גם על שירותי בריאות נוספים שסעיפים 14 עד 18 חלים עליהם.</w:t>
      </w:r>
    </w:p>
    <w:p w:rsidR="004576C6" w:rsidRDefault="004576C6" w:rsidP="00C32E16">
      <w:pPr>
        <w:pStyle w:val="P00"/>
        <w:spacing w:before="72"/>
        <w:ind w:left="0" w:right="1134"/>
        <w:rPr>
          <w:rStyle w:val="default"/>
          <w:rFonts w:cs="FrankRuehl" w:hint="cs"/>
          <w:rtl/>
        </w:rPr>
      </w:pPr>
      <w:bookmarkStart w:id="15" w:name="Seif10"/>
      <w:bookmarkEnd w:id="15"/>
      <w:r>
        <w:rPr>
          <w:rFonts w:cs="Miriam"/>
          <w:lang w:val="he-IL"/>
        </w:rPr>
        <w:pict>
          <v:rect id="_x0000_s1717" style="position:absolute;left:0;text-align:left;margin-left:463.5pt;margin-top:8.05pt;width:75.05pt;height:18.3pt;z-index:251661312" filled="f" stroked="f" strokecolor="lime" strokeweight=".25pt">
            <v:textbox style="mso-next-textbox:#_x0000_s1717" inset="1mm,0,1mm,0">
              <w:txbxContent>
                <w:p w:rsidR="00D03489" w:rsidRDefault="00C32E16" w:rsidP="004576C6">
                  <w:pPr>
                    <w:spacing w:line="160" w:lineRule="exact"/>
                    <w:rPr>
                      <w:rFonts w:cs="Miriam" w:hint="cs"/>
                      <w:noProof/>
                      <w:sz w:val="18"/>
                      <w:szCs w:val="18"/>
                      <w:rtl/>
                    </w:rPr>
                  </w:pPr>
                  <w:r>
                    <w:rPr>
                      <w:rFonts w:cs="Miriam" w:hint="cs"/>
                      <w:sz w:val="18"/>
                      <w:szCs w:val="18"/>
                      <w:rtl/>
                    </w:rPr>
                    <w:t xml:space="preserve">פרק ה' </w:t>
                  </w:r>
                  <w:r>
                    <w:rPr>
                      <w:rFonts w:cs="Miriam"/>
                      <w:sz w:val="18"/>
                      <w:szCs w:val="18"/>
                      <w:rtl/>
                    </w:rPr>
                    <w:t>–</w:t>
                  </w:r>
                  <w:r>
                    <w:rPr>
                      <w:rFonts w:cs="Miriam" w:hint="cs"/>
                      <w:sz w:val="18"/>
                      <w:szCs w:val="18"/>
                      <w:rtl/>
                    </w:rPr>
                    <w:t xml:space="preserve"> תחילה ותחולה</w:t>
                  </w:r>
                </w:p>
              </w:txbxContent>
            </v:textbox>
            <w10:anchorlock/>
          </v:rect>
        </w:pict>
      </w:r>
      <w:r w:rsidR="00605193">
        <w:rPr>
          <w:rStyle w:val="big-number"/>
          <w:rFonts w:cs="Miriam" w:hint="cs"/>
          <w:rtl/>
        </w:rPr>
        <w:t>21</w:t>
      </w:r>
      <w:r>
        <w:rPr>
          <w:rStyle w:val="big-number"/>
          <w:rFonts w:cs="FrankRuehl"/>
          <w:sz w:val="26"/>
          <w:szCs w:val="26"/>
          <w:rtl/>
        </w:rPr>
        <w:t>.</w:t>
      </w:r>
      <w:r>
        <w:rPr>
          <w:rStyle w:val="big-number"/>
          <w:rFonts w:cs="FrankRuehl"/>
          <w:sz w:val="26"/>
          <w:szCs w:val="26"/>
          <w:rtl/>
        </w:rPr>
        <w:tab/>
      </w:r>
      <w:r w:rsidR="00C32E16">
        <w:rPr>
          <w:rStyle w:val="default"/>
          <w:rFonts w:cs="FrankRuehl" w:hint="cs"/>
          <w:rtl/>
        </w:rPr>
        <w:t>(א)</w:t>
      </w:r>
      <w:r w:rsidR="00C32E16">
        <w:rPr>
          <w:rStyle w:val="default"/>
          <w:rFonts w:cs="FrankRuehl" w:hint="cs"/>
          <w:rtl/>
        </w:rPr>
        <w:tab/>
        <w:t>תחילתם של סעיפים 13 עד 20 ביום כ"ה בסיוון התשע"ו (1 ביולי 2016), והם יחולו על שירותי בריאות נוספים שיינתנו מאותו מועד ואילך</w:t>
      </w:r>
      <w:r w:rsidR="00363A9A">
        <w:rPr>
          <w:rStyle w:val="default"/>
          <w:rFonts w:cs="FrankRuehl" w:hint="cs"/>
          <w:rtl/>
        </w:rPr>
        <w:t>.</w:t>
      </w:r>
    </w:p>
    <w:p w:rsidR="00C32E16" w:rsidRDefault="00C32E16" w:rsidP="00C32E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13 עד 19 יחולו על פוליסות ביטוח שהוצאו או שחודשו מהמועד האמור בסעיף קטן (א) ואילך.</w:t>
      </w:r>
    </w:p>
    <w:p w:rsidR="00172B9A" w:rsidRDefault="00172B9A" w:rsidP="00386C3E">
      <w:pPr>
        <w:pStyle w:val="P00"/>
        <w:spacing w:before="72"/>
        <w:ind w:left="0" w:right="1134"/>
        <w:rPr>
          <w:rStyle w:val="default"/>
          <w:rFonts w:cs="FrankRuehl" w:hint="cs"/>
          <w:rtl/>
        </w:rPr>
      </w:pPr>
    </w:p>
    <w:p w:rsidR="002F4D66" w:rsidRDefault="002F4D66" w:rsidP="002F4D66">
      <w:pPr>
        <w:pStyle w:val="P00"/>
        <w:spacing w:before="72"/>
        <w:ind w:left="0" w:right="1134"/>
        <w:rPr>
          <w:rStyle w:val="default"/>
          <w:rFonts w:cs="FrankRuehl" w:hint="cs"/>
          <w:rtl/>
        </w:rPr>
      </w:pPr>
      <w:bookmarkStart w:id="16" w:name="Seif11"/>
      <w:bookmarkEnd w:id="16"/>
      <w:r>
        <w:rPr>
          <w:rFonts w:cs="Miriam"/>
          <w:lang w:val="he-IL"/>
        </w:rPr>
        <w:pict>
          <v:rect id="_x0000_s1833" style="position:absolute;left:0;text-align:left;margin-left:463.5pt;margin-top:8.05pt;width:75.05pt;height:18.3pt;z-index:251662336" filled="f" stroked="f" strokecolor="lime" strokeweight=".25pt">
            <v:textbox style="mso-next-textbox:#_x0000_s1833" inset="1mm,0,1mm,0">
              <w:txbxContent>
                <w:p w:rsidR="002F4D66" w:rsidRDefault="002F4D66" w:rsidP="002F4D66">
                  <w:pPr>
                    <w:spacing w:line="160" w:lineRule="exact"/>
                    <w:rPr>
                      <w:rFonts w:cs="Miriam" w:hint="cs"/>
                      <w:noProof/>
                      <w:sz w:val="18"/>
                      <w:szCs w:val="18"/>
                      <w:rtl/>
                    </w:rPr>
                  </w:pPr>
                  <w:r>
                    <w:rPr>
                      <w:rFonts w:cs="Miriam" w:hint="cs"/>
                      <w:sz w:val="18"/>
                      <w:szCs w:val="18"/>
                      <w:rtl/>
                    </w:rPr>
                    <w:t xml:space="preserve">פרק ח' </w:t>
                  </w:r>
                  <w:r>
                    <w:rPr>
                      <w:rFonts w:cs="Miriam"/>
                      <w:sz w:val="18"/>
                      <w:szCs w:val="18"/>
                      <w:rtl/>
                    </w:rPr>
                    <w:t>–</w:t>
                  </w:r>
                  <w:r>
                    <w:rPr>
                      <w:rFonts w:cs="Miriam" w:hint="cs"/>
                      <w:sz w:val="18"/>
                      <w:szCs w:val="18"/>
                      <w:rtl/>
                    </w:rPr>
                    <w:t xml:space="preserve"> הוראות מעבר</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החלטות של הרשות לשירותים ציבוריים </w:t>
      </w:r>
      <w:r>
        <w:rPr>
          <w:rStyle w:val="default"/>
          <w:rFonts w:cs="FrankRuehl"/>
          <w:rtl/>
        </w:rPr>
        <w:t>–</w:t>
      </w:r>
      <w:r>
        <w:rPr>
          <w:rStyle w:val="default"/>
          <w:rFonts w:cs="FrankRuehl" w:hint="cs"/>
          <w:rtl/>
        </w:rPr>
        <w:t xml:space="preserve"> חשמל כמשמעותה לפי חוק משק החשמל כנוסחו ערב יום התחילה (בסעיף זה </w:t>
      </w:r>
      <w:r>
        <w:rPr>
          <w:rStyle w:val="default"/>
          <w:rFonts w:cs="FrankRuehl"/>
          <w:rtl/>
        </w:rPr>
        <w:t>–</w:t>
      </w:r>
      <w:r>
        <w:rPr>
          <w:rStyle w:val="default"/>
          <w:rFonts w:cs="FrankRuehl" w:hint="cs"/>
          <w:rtl/>
        </w:rPr>
        <w:t xml:space="preserve"> הרשות לשירותים ציבוריים </w:t>
      </w:r>
      <w:r>
        <w:rPr>
          <w:rStyle w:val="default"/>
          <w:rFonts w:cs="FrankRuehl"/>
          <w:rtl/>
        </w:rPr>
        <w:t>–</w:t>
      </w:r>
      <w:r>
        <w:rPr>
          <w:rStyle w:val="default"/>
          <w:rFonts w:cs="FrankRuehl" w:hint="cs"/>
          <w:rtl/>
        </w:rPr>
        <w:t xml:space="preserve"> חשמל), שקיבלה מכוח סמכויותיה לפי חוק משק החשמל, אשר היו בתוקף ערב יום התחילה, ובכלל זה החלטות וקביעות בדבר רישיונות, אמות מידה ותעריפים, ימשיכו לעמוד בתוקפן כל עוד לא שונו או בוטלו לפי הוראות חוק משק החשמל כנוסחו בסעיף 36 לחוק זה, ויראו אותן כאילו התקבלו על ידי הרשות כמשמעותה בסעיף 21 לחוק משק החשמל, כנוסחו בסעיף 36(14) לחוק זה.</w:t>
      </w:r>
    </w:p>
    <w:p w:rsidR="002F4D66" w:rsidRDefault="002F4D66" w:rsidP="002F4D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בקשות לקבלת אישור שר התשתיות הלאומיות האנרגיה והמים (בסעיף זה </w:t>
      </w:r>
      <w:r>
        <w:rPr>
          <w:rStyle w:val="default"/>
          <w:rFonts w:cs="FrankRuehl"/>
          <w:rtl/>
        </w:rPr>
        <w:t>–</w:t>
      </w:r>
      <w:r>
        <w:rPr>
          <w:rStyle w:val="default"/>
          <w:rFonts w:cs="FrankRuehl" w:hint="cs"/>
          <w:rtl/>
        </w:rPr>
        <w:t xml:space="preserve"> השר) לפי סעיפים 11 עד 13 לחוק משק החשמל כנוסחם ערב יום התחילה, שהוגשו לפני יום התחילה, ימשיכו ויטופלו על ידי השר אף לאחר יום התחילה, בהתאם לסמכותו לפי הסעיפים האמורים כנוסחם ערב יום התחילה.</w:t>
      </w:r>
    </w:p>
    <w:p w:rsidR="002F4D66" w:rsidRDefault="002F4D66" w:rsidP="002F4D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יושב ראש רשות החשמל הראשון שימונה לאחר יום פרסומו של חוק זה </w:t>
      </w:r>
      <w:r>
        <w:rPr>
          <w:rStyle w:val="default"/>
          <w:rFonts w:cs="FrankRuehl"/>
          <w:rtl/>
        </w:rPr>
        <w:t>–</w:t>
      </w:r>
    </w:p>
    <w:p w:rsidR="002F4D66" w:rsidRDefault="002F4D66" w:rsidP="002F4D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אף האמור בחוק שירות המדינה (מינויים), התשי"ט-1959, מינויו יהיה בפטור מלא ממכרז;</w:t>
      </w:r>
    </w:p>
    <w:p w:rsidR="002F4D66" w:rsidRDefault="002F4D66" w:rsidP="002F4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בסעיף 38(ב) לחוק משק החשמל, כנוסחו בסעיף 36(23)(ב) לחוק זה, תקופת כהונתו תהיה חמש שנים, ולא יהיה ניתן לחזור ולמנותו לתקופת כהונה נוספת.</w:t>
      </w:r>
    </w:p>
    <w:p w:rsidR="002F4D66" w:rsidRDefault="002F4D66" w:rsidP="002F4D66">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 xml:space="preserve">חברי הרשות לשירותים ציבוריים </w:t>
      </w:r>
      <w:r>
        <w:rPr>
          <w:rStyle w:val="default"/>
          <w:rFonts w:cs="FrankRuehl"/>
          <w:rtl/>
        </w:rPr>
        <w:t>–</w:t>
      </w:r>
      <w:r>
        <w:rPr>
          <w:rStyle w:val="default"/>
          <w:rFonts w:cs="FrankRuehl" w:hint="cs"/>
          <w:rtl/>
        </w:rPr>
        <w:t xml:space="preserve"> חשמל יסיימו את כהונתם ביום י"ט בטבת התשע"ו (31 בדצמבר 2015), וכהונותיהם של חברי הרשות הראשונה לפי סעיף 21 לחוק משק החשמל, כנוסחו בסעיף 36(14) לחוק זה (בסעיף זה </w:t>
      </w:r>
      <w:r>
        <w:rPr>
          <w:rStyle w:val="default"/>
          <w:rFonts w:cs="FrankRuehl"/>
          <w:rtl/>
        </w:rPr>
        <w:t>–</w:t>
      </w:r>
      <w:r>
        <w:rPr>
          <w:rStyle w:val="default"/>
          <w:rFonts w:cs="FrankRuehl" w:hint="cs"/>
          <w:rtl/>
        </w:rPr>
        <w:t xml:space="preserve"> הרשות), יחלו, לכל המוקדם, ביום התחילה או ביום מינוי יושב ראש רשות החשמל הראשון כאמור בסעיף קטן (ג), לפי המאוחר;</w:t>
      </w:r>
    </w:p>
    <w:p w:rsidR="002F4D66" w:rsidRDefault="002F4D66" w:rsidP="002F4D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מונה יושב ראש רשות החשמל הראשון כאמור בפסקה (1), לא ימונה יושב ראש זמני לרשות, והמנהל הכללי של משרד התשתיות הלאומיות האנרגיה והמים, או נציג השר מקרב עובדי משרדו, והממונה על התקציבים במשרד האוצר, או נציג שר האוצר מקרב עובדי משרד האוצר, יהיו רשאים למלא יחד את תפקידי הרשות ויוקנו להם במשותף סמכויות הרשות וסמכויות יושב ראש הרשות, והכול למעט לעניין תעקיפים.</w:t>
      </w:r>
    </w:p>
    <w:p w:rsidR="002F4D66" w:rsidRDefault="002F4D66" w:rsidP="002F4D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824F9">
        <w:rPr>
          <w:rStyle w:val="default"/>
          <w:rFonts w:cs="FrankRuehl" w:hint="cs"/>
          <w:rtl/>
        </w:rPr>
        <w:t xml:space="preserve">עובדי המדינה שעבדו ברשות לשירותים ציבוריים </w:t>
      </w:r>
      <w:r w:rsidR="002824F9">
        <w:rPr>
          <w:rStyle w:val="default"/>
          <w:rFonts w:cs="FrankRuehl"/>
          <w:rtl/>
        </w:rPr>
        <w:t>–</w:t>
      </w:r>
      <w:r w:rsidR="002824F9">
        <w:rPr>
          <w:rStyle w:val="default"/>
          <w:rFonts w:cs="FrankRuehl" w:hint="cs"/>
          <w:rtl/>
        </w:rPr>
        <w:t xml:space="preserve"> חשמל בהתאם להוראות סעיף 43 לחוק משק החשמל, ועובדי המדינה שעבדו ביחידת מינהל החשמל במשרד התשתיות הלאומיות, האנרגיה והמים ערב יום התחילה, יהיו ביום התחילה לעובדים ברשות וימשיכו להיות עובדי המדינה, והכול בהתאם להוראות סעיף 43 לחוק משק החשמל.</w:t>
      </w:r>
    </w:p>
    <w:p w:rsidR="002824F9" w:rsidRDefault="002824F9" w:rsidP="002F4D6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בסעיף 60(ד12) לחוק משק החשמל, ניתן לתת רישיון הספקה לחברה כאמור באותו סעיף שהיא בעלת רישיון חלוקה, עד י"ז בטבת התשפ"א (1 בינואר 2021), ובלבד שניתן לה רישיון הספקה לפי הסעיף האמור, לאחר תחילתו של הסעיף האמור.</w:t>
      </w:r>
    </w:p>
    <w:p w:rsidR="002F4D66" w:rsidRDefault="002F4D66"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AC69D7" w:rsidP="00C32E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71088C">
        <w:rPr>
          <w:rFonts w:cs="FrankRuehl" w:hint="cs"/>
          <w:sz w:val="26"/>
          <w:rtl/>
        </w:rPr>
        <w:tab/>
      </w:r>
      <w:r w:rsidR="00C32E16">
        <w:rPr>
          <w:rFonts w:cs="FrankRuehl" w:hint="cs"/>
          <w:sz w:val="26"/>
          <w:rtl/>
        </w:rPr>
        <w:t>בנימין נתניהו</w:t>
      </w:r>
      <w:r>
        <w:rPr>
          <w:rFonts w:cs="FrankRuehl" w:hint="cs"/>
          <w:sz w:val="26"/>
          <w:rtl/>
        </w:rPr>
        <w:tab/>
      </w:r>
      <w:r>
        <w:rPr>
          <w:rFonts w:cs="FrankRuehl" w:hint="cs"/>
          <w:sz w:val="26"/>
          <w:rtl/>
        </w:rPr>
        <w:tab/>
      </w:r>
      <w:r w:rsidR="00C32E16">
        <w:rPr>
          <w:rFonts w:cs="FrankRuehl" w:hint="cs"/>
          <w:sz w:val="26"/>
          <w:rtl/>
        </w:rPr>
        <w:t>משה כחלון</w:t>
      </w:r>
    </w:p>
    <w:p w:rsidR="00577A69"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rsidR="00AC69D7" w:rsidRDefault="00AC69D7" w:rsidP="00C32E16">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C32E16">
        <w:rPr>
          <w:rFonts w:cs="FrankRuehl" w:hint="cs"/>
          <w:sz w:val="26"/>
          <w:rtl/>
        </w:rPr>
        <w:t>ראובן ריבלין</w:t>
      </w:r>
      <w:r>
        <w:rPr>
          <w:rFonts w:cs="FrankRuehl" w:hint="cs"/>
          <w:sz w:val="26"/>
          <w:rtl/>
        </w:rPr>
        <w:tab/>
      </w:r>
      <w:r>
        <w:rPr>
          <w:rFonts w:cs="FrankRuehl" w:hint="cs"/>
          <w:sz w:val="26"/>
          <w:rtl/>
        </w:rPr>
        <w:tab/>
      </w:r>
      <w:r w:rsidR="00C32E16">
        <w:rPr>
          <w:rFonts w:cs="FrankRuehl" w:hint="cs"/>
          <w:sz w:val="26"/>
          <w:rtl/>
        </w:rPr>
        <w:t>יולי יואל אדלשטיין</w:t>
      </w:r>
    </w:p>
    <w:p w:rsidR="00AC69D7"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E54A80" w:rsidRDefault="00E54A80">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884CA2" w:rsidRDefault="00884CA2">
      <w:pPr>
        <w:pStyle w:val="P00"/>
        <w:spacing w:before="72"/>
        <w:ind w:left="0" w:right="1134"/>
        <w:rPr>
          <w:rStyle w:val="default"/>
          <w:rFonts w:cs="FrankRuehl"/>
          <w:rtl/>
        </w:rPr>
      </w:pPr>
    </w:p>
    <w:p w:rsidR="00884CA2" w:rsidRDefault="00884CA2">
      <w:pPr>
        <w:pStyle w:val="P00"/>
        <w:spacing w:before="72"/>
        <w:ind w:left="0" w:right="1134"/>
        <w:rPr>
          <w:rStyle w:val="default"/>
          <w:rFonts w:cs="FrankRuehl"/>
          <w:rtl/>
        </w:rPr>
      </w:pPr>
    </w:p>
    <w:p w:rsidR="00884CA2" w:rsidRDefault="00884CA2" w:rsidP="00884CA2">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043599" w:rsidRDefault="00043599" w:rsidP="00884CA2">
      <w:pPr>
        <w:pStyle w:val="P00"/>
        <w:spacing w:before="72"/>
        <w:ind w:left="0" w:right="1134"/>
        <w:jc w:val="center"/>
        <w:rPr>
          <w:rStyle w:val="default"/>
          <w:rFonts w:cs="David"/>
          <w:color w:val="0000FF"/>
          <w:szCs w:val="24"/>
          <w:u w:val="single"/>
          <w:rtl/>
        </w:rPr>
      </w:pPr>
    </w:p>
    <w:p w:rsidR="00043599" w:rsidRDefault="00043599" w:rsidP="00884CA2">
      <w:pPr>
        <w:pStyle w:val="P00"/>
        <w:spacing w:before="72"/>
        <w:ind w:left="0" w:right="1134"/>
        <w:jc w:val="center"/>
        <w:rPr>
          <w:rStyle w:val="default"/>
          <w:rFonts w:cs="David"/>
          <w:color w:val="0000FF"/>
          <w:szCs w:val="24"/>
          <w:u w:val="single"/>
          <w:rtl/>
        </w:rPr>
      </w:pPr>
    </w:p>
    <w:p w:rsidR="00043599" w:rsidRDefault="00043599" w:rsidP="00043599">
      <w:pPr>
        <w:pStyle w:val="P00"/>
        <w:spacing w:before="72"/>
        <w:ind w:left="0" w:right="1134"/>
        <w:jc w:val="center"/>
        <w:rPr>
          <w:rStyle w:val="default"/>
          <w:rFonts w:cs="David"/>
          <w:color w:val="0000FF"/>
          <w:szCs w:val="24"/>
          <w:u w:val="single"/>
          <w:rtl/>
        </w:rPr>
      </w:pPr>
      <w:hyperlink r:id="rId14" w:history="1">
        <w:r>
          <w:rPr>
            <w:rStyle w:val="Hyperlink"/>
            <w:noProof w:val="0"/>
            <w:sz w:val="24"/>
            <w:szCs w:val="24"/>
            <w:rtl/>
          </w:rPr>
          <w:t>הודעה למנויים על עריכה ושינויים במסמכי פסיקה, חקיקה ועוד באתר נבו - הקש כאן</w:t>
        </w:r>
      </w:hyperlink>
    </w:p>
    <w:p w:rsidR="00B66F3C" w:rsidRPr="00043599" w:rsidRDefault="00B66F3C" w:rsidP="00043599">
      <w:pPr>
        <w:pStyle w:val="P00"/>
        <w:spacing w:before="72"/>
        <w:ind w:left="0" w:right="1134"/>
        <w:jc w:val="center"/>
        <w:rPr>
          <w:rStyle w:val="default"/>
          <w:rFonts w:cs="David"/>
          <w:color w:val="0000FF"/>
          <w:szCs w:val="24"/>
          <w:u w:val="single"/>
          <w:rtl/>
        </w:rPr>
      </w:pPr>
    </w:p>
    <w:sectPr w:rsidR="00B66F3C" w:rsidRPr="00043599">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69DC" w:rsidRDefault="002469DC">
      <w:r>
        <w:separator/>
      </w:r>
    </w:p>
  </w:endnote>
  <w:endnote w:type="continuationSeparator" w:id="0">
    <w:p w:rsidR="002469DC" w:rsidRDefault="0024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03489" w:rsidRDefault="00D034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3489" w:rsidRDefault="00D034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4CA2">
      <w:rPr>
        <w:rFonts w:cs="TopType Jerushalmi"/>
        <w:noProof/>
        <w:color w:val="000000"/>
        <w:sz w:val="14"/>
        <w:szCs w:val="14"/>
      </w:rPr>
      <w:t>Z:\000-law\yael\2015\2015-12-03\tav\501_295.doc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CDC">
      <w:rPr>
        <w:rFonts w:hAnsi="FrankRuehl" w:cs="FrankRuehl"/>
        <w:noProof/>
        <w:sz w:val="24"/>
        <w:szCs w:val="24"/>
        <w:rtl/>
      </w:rPr>
      <w:t>5</w:t>
    </w:r>
    <w:r>
      <w:rPr>
        <w:rFonts w:hAnsi="FrankRuehl" w:cs="FrankRuehl"/>
        <w:sz w:val="24"/>
        <w:szCs w:val="24"/>
        <w:rtl/>
      </w:rPr>
      <w:fldChar w:fldCharType="end"/>
    </w:r>
  </w:p>
  <w:p w:rsidR="00D03489" w:rsidRDefault="00D034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03489" w:rsidRDefault="00D034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4CA2">
      <w:rPr>
        <w:rFonts w:cs="TopType Jerushalmi"/>
        <w:noProof/>
        <w:color w:val="000000"/>
        <w:sz w:val="14"/>
        <w:szCs w:val="14"/>
      </w:rPr>
      <w:t>Z:\000-law\yael\2015\2015-12-03\tav\501_295.doc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69DC" w:rsidRDefault="002469DC">
      <w:pPr>
        <w:spacing w:before="60"/>
        <w:ind w:right="1134"/>
      </w:pPr>
      <w:r>
        <w:separator/>
      </w:r>
    </w:p>
  </w:footnote>
  <w:footnote w:type="continuationSeparator" w:id="0">
    <w:p w:rsidR="002469DC" w:rsidRDefault="002469DC">
      <w:r>
        <w:continuationSeparator/>
      </w:r>
    </w:p>
  </w:footnote>
  <w:footnote w:id="1">
    <w:p w:rsidR="00181DF7" w:rsidRDefault="00D03489" w:rsidP="00181D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181DF7">
          <w:rPr>
            <w:rStyle w:val="Hyperlink"/>
            <w:rFonts w:cs="FrankRuehl" w:hint="cs"/>
            <w:rtl/>
          </w:rPr>
          <w:t xml:space="preserve">ס"ח </w:t>
        </w:r>
        <w:r w:rsidR="002C7095" w:rsidRPr="00181DF7">
          <w:rPr>
            <w:rStyle w:val="Hyperlink"/>
            <w:rFonts w:cs="FrankRuehl" w:hint="cs"/>
            <w:rtl/>
          </w:rPr>
          <w:t>תשע"ו</w:t>
        </w:r>
        <w:r w:rsidRPr="00181DF7">
          <w:rPr>
            <w:rStyle w:val="Hyperlink"/>
            <w:rFonts w:cs="FrankRuehl" w:hint="cs"/>
            <w:rtl/>
          </w:rPr>
          <w:t xml:space="preserve"> מס' </w:t>
        </w:r>
        <w:r w:rsidR="002C7095" w:rsidRPr="00181DF7">
          <w:rPr>
            <w:rStyle w:val="Hyperlink"/>
            <w:rFonts w:cs="FrankRuehl" w:hint="cs"/>
            <w:rtl/>
          </w:rPr>
          <w:t>2510</w:t>
        </w:r>
      </w:hyperlink>
      <w:r>
        <w:rPr>
          <w:rFonts w:cs="FrankRuehl" w:hint="cs"/>
          <w:rtl/>
        </w:rPr>
        <w:t xml:space="preserve"> מיום </w:t>
      </w:r>
      <w:r w:rsidR="002C7095">
        <w:rPr>
          <w:rFonts w:cs="FrankRuehl" w:hint="cs"/>
          <w:rtl/>
        </w:rPr>
        <w:t>30.11.2015</w:t>
      </w:r>
      <w:r>
        <w:rPr>
          <w:rFonts w:cs="FrankRuehl" w:hint="cs"/>
          <w:rtl/>
        </w:rPr>
        <w:t xml:space="preserve"> עמ' </w:t>
      </w:r>
      <w:r w:rsidR="002C7095">
        <w:rPr>
          <w:rFonts w:cs="FrankRuehl" w:hint="cs"/>
          <w:rtl/>
        </w:rPr>
        <w:t>39</w:t>
      </w:r>
      <w:r>
        <w:rPr>
          <w:rFonts w:cs="FrankRuehl" w:hint="cs"/>
          <w:rtl/>
        </w:rPr>
        <w:t xml:space="preserve"> (</w:t>
      </w:r>
      <w:hyperlink r:id="rId2" w:history="1">
        <w:r w:rsidRPr="00852F43">
          <w:rPr>
            <w:rStyle w:val="Hyperlink"/>
            <w:rFonts w:cs="FrankRuehl" w:hint="cs"/>
            <w:rtl/>
          </w:rPr>
          <w:t>ה"ח הממשלה תש</w:t>
        </w:r>
        <w:r w:rsidR="002C7095">
          <w:rPr>
            <w:rStyle w:val="Hyperlink"/>
            <w:rFonts w:cs="FrankRuehl" w:hint="cs"/>
            <w:rtl/>
          </w:rPr>
          <w:t>ע"ה</w:t>
        </w:r>
        <w:r w:rsidRPr="00852F43">
          <w:rPr>
            <w:rStyle w:val="Hyperlink"/>
            <w:rFonts w:cs="FrankRuehl" w:hint="cs"/>
            <w:rtl/>
          </w:rPr>
          <w:t xml:space="preserve"> מס' </w:t>
        </w:r>
        <w:r w:rsidR="002C7095">
          <w:rPr>
            <w:rStyle w:val="Hyperlink"/>
            <w:rFonts w:cs="FrankRuehl" w:hint="cs"/>
            <w:rtl/>
          </w:rPr>
          <w:t>951</w:t>
        </w:r>
      </w:hyperlink>
      <w:r>
        <w:rPr>
          <w:rFonts w:cs="FrankRuehl" w:hint="cs"/>
          <w:rtl/>
        </w:rPr>
        <w:t xml:space="preserve"> עמ' </w:t>
      </w:r>
      <w:r w:rsidR="002C7095">
        <w:rPr>
          <w:rFonts w:cs="FrankRuehl" w:hint="cs"/>
          <w:rtl/>
        </w:rPr>
        <w:t>1352</w:t>
      </w:r>
      <w:r>
        <w:rPr>
          <w:rFonts w:cs="FrankRuehl" w:hint="cs"/>
          <w:rtl/>
        </w:rPr>
        <w:t>).</w:t>
      </w:r>
    </w:p>
    <w:p w:rsidR="00831068" w:rsidRDefault="00B93F2E" w:rsidP="00831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93F2E">
        <w:rPr>
          <w:rFonts w:cs="FrankRuehl" w:hint="cs"/>
          <w:rtl/>
        </w:rPr>
        <w:t xml:space="preserve">תוקן </w:t>
      </w:r>
      <w:hyperlink r:id="rId3" w:history="1">
        <w:r w:rsidRPr="00831068">
          <w:rPr>
            <w:rStyle w:val="Hyperlink"/>
            <w:rFonts w:cs="FrankRuehl" w:hint="cs"/>
            <w:rtl/>
          </w:rPr>
          <w:t>ס"ח תשע"ו מס' 2576</w:t>
        </w:r>
      </w:hyperlink>
      <w:r w:rsidRPr="00B93F2E">
        <w:rPr>
          <w:rFonts w:cs="FrankRuehl" w:hint="cs"/>
          <w:rtl/>
        </w:rPr>
        <w:t xml:space="preserve"> מיום 11.8.2016 עמ' 118</w:t>
      </w:r>
      <w:r>
        <w:rPr>
          <w:rFonts w:cs="FrankRuehl" w:hint="cs"/>
          <w:rtl/>
        </w:rPr>
        <w:t>7</w:t>
      </w:r>
      <w:r w:rsidRPr="00B93F2E">
        <w:rPr>
          <w:rFonts w:cs="FrankRuehl" w:hint="cs"/>
          <w:rtl/>
        </w:rPr>
        <w:t xml:space="preserve"> (</w:t>
      </w:r>
      <w:hyperlink r:id="rId4" w:history="1">
        <w:r w:rsidRPr="00B93F2E">
          <w:rPr>
            <w:rStyle w:val="Hyperlink"/>
            <w:rFonts w:cs="FrankRuehl" w:hint="cs"/>
            <w:rtl/>
          </w:rPr>
          <w:t>ה"ח הממשלה תשע"ו מס' 1064</w:t>
        </w:r>
      </w:hyperlink>
      <w:r w:rsidRPr="00B93F2E">
        <w:rPr>
          <w:rFonts w:cs="FrankRuehl" w:hint="cs"/>
          <w:rtl/>
        </w:rPr>
        <w:t xml:space="preserve"> עמ' 1220)</w:t>
      </w:r>
      <w:r>
        <w:rPr>
          <w:rFonts w:cs="FrankRuehl" w:hint="cs"/>
          <w:rtl/>
        </w:rPr>
        <w:t xml:space="preserve"> </w:t>
      </w:r>
      <w:r>
        <w:rPr>
          <w:rFonts w:cs="FrankRuehl"/>
          <w:rtl/>
        </w:rPr>
        <w:t>–</w:t>
      </w:r>
      <w:r>
        <w:rPr>
          <w:rFonts w:cs="FrankRuehl" w:hint="cs"/>
          <w:rtl/>
        </w:rPr>
        <w:t xml:space="preserve"> תיקון מס' 1 בסעיף 8 לחוק תקציב המדינה לשנים 2017 ו-2018 (הוראות מיוחדות) (הוראת שעה), תשע"ו-2016.</w:t>
      </w:r>
    </w:p>
    <w:p w:rsidR="00E23F4B" w:rsidRPr="00762570" w:rsidRDefault="00E23F4B" w:rsidP="00E23F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 w:history="1">
        <w:r w:rsidR="00762570" w:rsidRPr="00E23F4B">
          <w:rPr>
            <w:rStyle w:val="Hyperlink"/>
            <w:rFonts w:cs="FrankRuehl" w:hint="cs"/>
            <w:rtl/>
            <w:lang w:eastAsia="en-US"/>
          </w:rPr>
          <w:t xml:space="preserve">ס"ח תשע"ו </w:t>
        </w:r>
        <w:r w:rsidR="00762570" w:rsidRPr="00E23F4B">
          <w:rPr>
            <w:rStyle w:val="Hyperlink"/>
            <w:rFonts w:cs="FrankRuehl" w:hint="cs"/>
            <w:rtl/>
          </w:rPr>
          <w:t>מס'</w:t>
        </w:r>
        <w:r w:rsidR="00762570" w:rsidRPr="00E23F4B">
          <w:rPr>
            <w:rStyle w:val="Hyperlink"/>
            <w:rFonts w:cs="FrankRuehl" w:hint="cs"/>
            <w:rtl/>
            <w:lang w:eastAsia="en-US"/>
          </w:rPr>
          <w:t xml:space="preserve"> 2582</w:t>
        </w:r>
      </w:hyperlink>
      <w:r w:rsidR="00762570" w:rsidRPr="00762570">
        <w:rPr>
          <w:rFonts w:cs="FrankRuehl" w:hint="cs"/>
          <w:rtl/>
          <w:lang w:eastAsia="en-US"/>
        </w:rPr>
        <w:t xml:space="preserve"> מיום 21.8.2016 עמ' 1264 (</w:t>
      </w:r>
      <w:hyperlink r:id="rId6" w:history="1">
        <w:r w:rsidR="00762570" w:rsidRPr="00762570">
          <w:rPr>
            <w:rStyle w:val="Hyperlink"/>
            <w:rFonts w:cs="FrankRuehl" w:hint="cs"/>
            <w:rtl/>
            <w:lang w:eastAsia="en-US"/>
          </w:rPr>
          <w:t>ה"ח הממשלה תשע"ו מס' 1032</w:t>
        </w:r>
      </w:hyperlink>
      <w:r w:rsidR="00762570" w:rsidRPr="00762570">
        <w:rPr>
          <w:rFonts w:cs="FrankRuehl" w:hint="cs"/>
          <w:rtl/>
          <w:lang w:eastAsia="en-US"/>
        </w:rPr>
        <w:t xml:space="preserve"> עמ' 890) </w:t>
      </w:r>
      <w:r w:rsidR="00762570" w:rsidRPr="00762570">
        <w:rPr>
          <w:rFonts w:cs="FrankRuehl"/>
          <w:rtl/>
          <w:lang w:eastAsia="en-US"/>
        </w:rPr>
        <w:t>–</w:t>
      </w:r>
      <w:r w:rsidR="00762570" w:rsidRPr="00762570">
        <w:rPr>
          <w:rFonts w:cs="FrankRuehl" w:hint="cs"/>
          <w:rtl/>
          <w:lang w:eastAsia="en-US"/>
        </w:rPr>
        <w:t xml:space="preserve"> תיקון מס' </w:t>
      </w:r>
      <w:r w:rsidR="00762570">
        <w:rPr>
          <w:rFonts w:cs="FrankRuehl" w:hint="cs"/>
          <w:rtl/>
          <w:lang w:eastAsia="en-US"/>
        </w:rPr>
        <w:t>2</w:t>
      </w:r>
      <w:r w:rsidR="00762570" w:rsidRPr="00762570">
        <w:rPr>
          <w:rFonts w:cs="FrankRuehl" w:hint="cs"/>
          <w:rtl/>
          <w:lang w:eastAsia="en-US"/>
        </w:rPr>
        <w:t xml:space="preserve"> בסעיף 2</w:t>
      </w:r>
      <w:r w:rsidR="00762570">
        <w:rPr>
          <w:rFonts w:cs="FrankRuehl" w:hint="cs"/>
          <w:rtl/>
          <w:lang w:eastAsia="en-US"/>
        </w:rPr>
        <w:t>3</w:t>
      </w:r>
      <w:r w:rsidR="00762570" w:rsidRPr="00762570">
        <w:rPr>
          <w:rFonts w:cs="FrankRuehl" w:hint="cs"/>
          <w:rtl/>
          <w:lang w:eastAsia="en-US"/>
        </w:rPr>
        <w:t xml:space="preserve"> לחוק הפיקוח על שירותים פיננסיים (תיקוני חקיקה), תשע"ו-2016; ר' סעיף 24 לענין תחילה.</w:t>
      </w:r>
    </w:p>
    <w:p w:rsidR="00762570" w:rsidRDefault="00762570" w:rsidP="00762570">
      <w:pPr>
        <w:pStyle w:val="P00"/>
        <w:spacing w:before="40"/>
        <w:ind w:left="170" w:right="1134"/>
        <w:rPr>
          <w:rFonts w:cs="FrankRuehl"/>
          <w:rtl/>
        </w:rPr>
      </w:pPr>
      <w:r w:rsidRPr="00762570">
        <w:rPr>
          <w:rStyle w:val="default"/>
          <w:rFonts w:cs="FrankRuehl" w:hint="cs"/>
          <w:sz w:val="22"/>
          <w:szCs w:val="22"/>
          <w:rtl/>
          <w:lang w:eastAsia="en-US"/>
        </w:rPr>
        <w:t xml:space="preserve">24. תחילתו של חוק זה ביום ל' בתשרי התשע"ז (1 בנובמבר 2016) (להלן </w:t>
      </w:r>
      <w:r w:rsidRPr="00762570">
        <w:rPr>
          <w:rStyle w:val="default"/>
          <w:rFonts w:cs="FrankRuehl"/>
          <w:sz w:val="22"/>
          <w:szCs w:val="22"/>
          <w:rtl/>
          <w:lang w:eastAsia="en-US"/>
        </w:rPr>
        <w:t>–</w:t>
      </w:r>
      <w:r w:rsidRPr="00762570">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575D65" w:rsidRDefault="002A7043" w:rsidP="00575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cs="FrankRuehl" w:hint="cs"/>
          <w:rtl/>
          <w:lang w:eastAsia="en-US"/>
        </w:rPr>
        <w:t xml:space="preserve">ת"ט </w:t>
      </w:r>
      <w:hyperlink r:id="rId7" w:history="1">
        <w:r w:rsidRPr="00575D65">
          <w:rPr>
            <w:rStyle w:val="Hyperlink"/>
            <w:rFonts w:cs="FrankRuehl" w:hint="cs"/>
            <w:rtl/>
            <w:lang w:eastAsia="en-US"/>
          </w:rPr>
          <w:t>ס"ח תשע"ח מס' 2664</w:t>
        </w:r>
      </w:hyperlink>
      <w:r>
        <w:rPr>
          <w:rFonts w:cs="FrankRuehl" w:hint="cs"/>
          <w:rtl/>
          <w:lang w:eastAsia="en-US"/>
        </w:rPr>
        <w:t xml:space="preserve"> מיום 26.10.2017 עמ' 4.</w:t>
      </w:r>
    </w:p>
    <w:p w:rsidR="00E60CDC" w:rsidRPr="00762570" w:rsidRDefault="00E60CDC" w:rsidP="00E60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8" w:history="1">
        <w:r w:rsidR="000958F2" w:rsidRPr="00E60CDC">
          <w:rPr>
            <w:rStyle w:val="Hyperlink"/>
            <w:rFonts w:cs="FrankRuehl" w:hint="cs"/>
            <w:rtl/>
            <w:lang w:eastAsia="en-US"/>
          </w:rPr>
          <w:t>ס"ח תשע"ח מס' 2732</w:t>
        </w:r>
      </w:hyperlink>
      <w:r w:rsidR="000958F2">
        <w:rPr>
          <w:rFonts w:cs="FrankRuehl" w:hint="cs"/>
          <w:rtl/>
          <w:lang w:eastAsia="en-US"/>
        </w:rPr>
        <w:t xml:space="preserve"> מיום 16.7.2018 עמ' 749 (</w:t>
      </w:r>
      <w:hyperlink r:id="rId9" w:history="1">
        <w:r w:rsidR="000958F2" w:rsidRPr="000958F2">
          <w:rPr>
            <w:rStyle w:val="Hyperlink"/>
            <w:rFonts w:cs="FrankRuehl" w:hint="cs"/>
            <w:rtl/>
            <w:lang w:eastAsia="en-US"/>
          </w:rPr>
          <w:t>ה"ח הכנסת תשע"ח מס' 792</w:t>
        </w:r>
      </w:hyperlink>
      <w:r w:rsidR="000958F2">
        <w:rPr>
          <w:rFonts w:cs="FrankRuehl" w:hint="cs"/>
          <w:rtl/>
          <w:lang w:eastAsia="en-US"/>
        </w:rPr>
        <w:t xml:space="preserve"> עמ' 214) </w:t>
      </w:r>
      <w:r w:rsidR="000958F2">
        <w:rPr>
          <w:rFonts w:cs="FrankRuehl"/>
          <w:rtl/>
          <w:lang w:eastAsia="en-US"/>
        </w:rPr>
        <w:t>–</w:t>
      </w:r>
      <w:r w:rsidR="000958F2">
        <w:rPr>
          <w:rFonts w:cs="FrankRuehl" w:hint="cs"/>
          <w:rtl/>
          <w:lang w:eastAsia="en-US"/>
        </w:rPr>
        <w:t xml:space="preserve"> תיקון מס' 3 בסעיף 3 לחוק התכנון והבנייה (תיקון מס' 125), תשע"ח-2018.</w:t>
      </w:r>
    </w:p>
    <w:p w:rsidR="00335979" w:rsidRPr="00730EA7" w:rsidRDefault="00F0718A" w:rsidP="002C70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0718A">
        <w:rPr>
          <w:rFonts w:cs="FrankRuehl" w:hint="cs"/>
          <w:color w:val="FF0000"/>
          <w:rtl/>
        </w:rPr>
        <w:t>יש לשים לב כי התיקונים העקיפים (לרבות הוראות תחילה, תחולה והוראות מעבר) אינם מופיעים בנוסח זה. ניתן לראות את נוסח ההוראות בחוברות הרשומות הרלוונטיות.</w:t>
      </w:r>
    </w:p>
  </w:footnote>
  <w:footnote w:id="2">
    <w:p w:rsidR="005E02BB" w:rsidRDefault="005E02BB" w:rsidP="005E02BB">
      <w:pPr>
        <w:pStyle w:val="a5"/>
        <w:rPr>
          <w:rFonts w:hint="cs"/>
        </w:rPr>
      </w:pPr>
      <w:r>
        <w:rPr>
          <w:rStyle w:val="a6"/>
        </w:rPr>
        <w:footnoteRef/>
      </w:r>
      <w:r w:rsidRPr="005E02BB">
        <w:rPr>
          <w:rFonts w:cs="FrankRuehl"/>
          <w:sz w:val="22"/>
          <w:szCs w:val="22"/>
          <w:rtl/>
        </w:rPr>
        <w:t xml:space="preserve"> </w:t>
      </w:r>
      <w:r w:rsidRPr="005E02BB">
        <w:rPr>
          <w:rFonts w:cs="FrankRuehl" w:hint="cs"/>
          <w:sz w:val="22"/>
          <w:szCs w:val="22"/>
          <w:rtl/>
        </w:rPr>
        <w:t xml:space="preserve">ר' </w:t>
      </w:r>
      <w:hyperlink r:id="rId10" w:history="1">
        <w:r w:rsidRPr="005E02BB">
          <w:rPr>
            <w:rStyle w:val="Hyperlink"/>
            <w:rFonts w:cs="FrankRuehl" w:hint="cs"/>
            <w:sz w:val="22"/>
            <w:szCs w:val="22"/>
            <w:rtl/>
          </w:rPr>
          <w:t>י"פ תשע"ז מס' 7495</w:t>
        </w:r>
      </w:hyperlink>
      <w:r w:rsidRPr="005E02BB">
        <w:rPr>
          <w:rFonts w:cs="FrankRuehl" w:hint="cs"/>
          <w:sz w:val="22"/>
          <w:szCs w:val="22"/>
          <w:rtl/>
        </w:rPr>
        <w:t xml:space="preserve"> מיום 4.5.2017 עמ' 5554; תוקף ההוראה לשנה.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489" w:rsidRDefault="00D03489" w:rsidP="002C709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2C7095">
      <w:rPr>
        <w:rFonts w:hAnsi="FrankRuehl" w:cs="FrankRuehl" w:hint="cs"/>
        <w:color w:val="000000"/>
        <w:sz w:val="28"/>
        <w:szCs w:val="28"/>
        <w:rtl/>
      </w:rPr>
      <w:t>התכנית</w:t>
    </w:r>
    <w:r>
      <w:rPr>
        <w:rFonts w:hAnsi="FrankRuehl" w:cs="FrankRuehl" w:hint="cs"/>
        <w:color w:val="000000"/>
        <w:sz w:val="28"/>
        <w:szCs w:val="28"/>
        <w:rtl/>
      </w:rPr>
      <w:t xml:space="preserve"> הכלכלית (תיקוני חקיקה ליישום </w:t>
    </w:r>
    <w:r w:rsidR="002C7095">
      <w:rPr>
        <w:rFonts w:hAnsi="FrankRuehl" w:cs="FrankRuehl" w:hint="cs"/>
        <w:color w:val="000000"/>
        <w:sz w:val="28"/>
        <w:szCs w:val="28"/>
        <w:rtl/>
      </w:rPr>
      <w:t xml:space="preserve">המדיניות הכלכלית לשנות התקציב 2015 </w:t>
    </w:r>
    <w:r w:rsidR="002C7095">
      <w:rPr>
        <w:rFonts w:hAnsi="FrankRuehl" w:cs="FrankRuehl"/>
        <w:color w:val="000000"/>
        <w:sz w:val="28"/>
        <w:szCs w:val="28"/>
        <w:rtl/>
      </w:rPr>
      <w:br/>
    </w:r>
    <w:r w:rsidR="002C7095">
      <w:rPr>
        <w:rFonts w:hAnsi="FrankRuehl" w:cs="FrankRuehl" w:hint="cs"/>
        <w:color w:val="000000"/>
        <w:sz w:val="28"/>
        <w:szCs w:val="28"/>
        <w:rtl/>
      </w:rPr>
      <w:t>ו-2016), תשע"ו-2015</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03489" w:rsidRDefault="00D034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9945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4435"/>
    <w:rsid w:val="00024239"/>
    <w:rsid w:val="00024FDC"/>
    <w:rsid w:val="00031076"/>
    <w:rsid w:val="00031B81"/>
    <w:rsid w:val="00032136"/>
    <w:rsid w:val="00033558"/>
    <w:rsid w:val="00034733"/>
    <w:rsid w:val="0003781E"/>
    <w:rsid w:val="00042AB1"/>
    <w:rsid w:val="00043599"/>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820F0"/>
    <w:rsid w:val="00082632"/>
    <w:rsid w:val="00090F26"/>
    <w:rsid w:val="00092533"/>
    <w:rsid w:val="0009382D"/>
    <w:rsid w:val="000958F2"/>
    <w:rsid w:val="00096B0E"/>
    <w:rsid w:val="00097C86"/>
    <w:rsid w:val="000A2DD5"/>
    <w:rsid w:val="000A53DB"/>
    <w:rsid w:val="000A67B1"/>
    <w:rsid w:val="000B020E"/>
    <w:rsid w:val="000B6E25"/>
    <w:rsid w:val="000B700B"/>
    <w:rsid w:val="000C220C"/>
    <w:rsid w:val="000C389E"/>
    <w:rsid w:val="000C6CA6"/>
    <w:rsid w:val="000D2C76"/>
    <w:rsid w:val="000D4D83"/>
    <w:rsid w:val="000D65C3"/>
    <w:rsid w:val="000D6A8A"/>
    <w:rsid w:val="000E32ED"/>
    <w:rsid w:val="000E6BA5"/>
    <w:rsid w:val="000F0642"/>
    <w:rsid w:val="000F08C9"/>
    <w:rsid w:val="000F0FD1"/>
    <w:rsid w:val="000F1375"/>
    <w:rsid w:val="000F2128"/>
    <w:rsid w:val="000F66EB"/>
    <w:rsid w:val="000F6789"/>
    <w:rsid w:val="000F6917"/>
    <w:rsid w:val="00101811"/>
    <w:rsid w:val="00102D7B"/>
    <w:rsid w:val="00107E62"/>
    <w:rsid w:val="0011735E"/>
    <w:rsid w:val="00117775"/>
    <w:rsid w:val="00117E6C"/>
    <w:rsid w:val="001215C2"/>
    <w:rsid w:val="00124B0E"/>
    <w:rsid w:val="00125909"/>
    <w:rsid w:val="00125926"/>
    <w:rsid w:val="00127328"/>
    <w:rsid w:val="00132786"/>
    <w:rsid w:val="00135ABC"/>
    <w:rsid w:val="0014552A"/>
    <w:rsid w:val="0014672C"/>
    <w:rsid w:val="00153E09"/>
    <w:rsid w:val="001612F5"/>
    <w:rsid w:val="00163D97"/>
    <w:rsid w:val="0016569A"/>
    <w:rsid w:val="00167D7D"/>
    <w:rsid w:val="00171228"/>
    <w:rsid w:val="00172B9A"/>
    <w:rsid w:val="0017423B"/>
    <w:rsid w:val="00175BD4"/>
    <w:rsid w:val="00175E8A"/>
    <w:rsid w:val="00181DF7"/>
    <w:rsid w:val="00181E88"/>
    <w:rsid w:val="001832FD"/>
    <w:rsid w:val="00185C68"/>
    <w:rsid w:val="00194CB6"/>
    <w:rsid w:val="00196FB5"/>
    <w:rsid w:val="001A4822"/>
    <w:rsid w:val="001A4BA5"/>
    <w:rsid w:val="001A6427"/>
    <w:rsid w:val="001B13ED"/>
    <w:rsid w:val="001B3E15"/>
    <w:rsid w:val="001B6F56"/>
    <w:rsid w:val="001C04E7"/>
    <w:rsid w:val="001C0AA3"/>
    <w:rsid w:val="001C1203"/>
    <w:rsid w:val="001C1DC4"/>
    <w:rsid w:val="001C5DC0"/>
    <w:rsid w:val="001C7288"/>
    <w:rsid w:val="001C78D4"/>
    <w:rsid w:val="001D083B"/>
    <w:rsid w:val="001D0C46"/>
    <w:rsid w:val="001D49FF"/>
    <w:rsid w:val="001D4F8B"/>
    <w:rsid w:val="001E12AA"/>
    <w:rsid w:val="001E15AC"/>
    <w:rsid w:val="001E3C39"/>
    <w:rsid w:val="001F68E1"/>
    <w:rsid w:val="001F72CA"/>
    <w:rsid w:val="002030DA"/>
    <w:rsid w:val="00203E73"/>
    <w:rsid w:val="00204FC9"/>
    <w:rsid w:val="00216CF2"/>
    <w:rsid w:val="00225DCB"/>
    <w:rsid w:val="00231BC3"/>
    <w:rsid w:val="00235E77"/>
    <w:rsid w:val="002364BF"/>
    <w:rsid w:val="00236C63"/>
    <w:rsid w:val="0023720A"/>
    <w:rsid w:val="0024660D"/>
    <w:rsid w:val="00246766"/>
    <w:rsid w:val="002469DC"/>
    <w:rsid w:val="00246BF2"/>
    <w:rsid w:val="002473B3"/>
    <w:rsid w:val="00247417"/>
    <w:rsid w:val="002527B2"/>
    <w:rsid w:val="00260315"/>
    <w:rsid w:val="00266A4A"/>
    <w:rsid w:val="002743ED"/>
    <w:rsid w:val="00274CD2"/>
    <w:rsid w:val="00275516"/>
    <w:rsid w:val="00280926"/>
    <w:rsid w:val="0028117D"/>
    <w:rsid w:val="002824F9"/>
    <w:rsid w:val="00283BD9"/>
    <w:rsid w:val="00290BE9"/>
    <w:rsid w:val="00291FC3"/>
    <w:rsid w:val="00293112"/>
    <w:rsid w:val="00294A27"/>
    <w:rsid w:val="0029679E"/>
    <w:rsid w:val="00296A59"/>
    <w:rsid w:val="002A24E2"/>
    <w:rsid w:val="002A324E"/>
    <w:rsid w:val="002A4351"/>
    <w:rsid w:val="002A4ECE"/>
    <w:rsid w:val="002A660A"/>
    <w:rsid w:val="002A7043"/>
    <w:rsid w:val="002B4310"/>
    <w:rsid w:val="002C1F1C"/>
    <w:rsid w:val="002C2255"/>
    <w:rsid w:val="002C6AA5"/>
    <w:rsid w:val="002C7095"/>
    <w:rsid w:val="002C7D10"/>
    <w:rsid w:val="002D35D3"/>
    <w:rsid w:val="002D7CDB"/>
    <w:rsid w:val="002E024B"/>
    <w:rsid w:val="002E1294"/>
    <w:rsid w:val="002E1AA2"/>
    <w:rsid w:val="002E5A89"/>
    <w:rsid w:val="002E5C09"/>
    <w:rsid w:val="002F2014"/>
    <w:rsid w:val="002F3E3B"/>
    <w:rsid w:val="002F4722"/>
    <w:rsid w:val="002F4D66"/>
    <w:rsid w:val="002F6F4A"/>
    <w:rsid w:val="0030096B"/>
    <w:rsid w:val="00301441"/>
    <w:rsid w:val="0030154B"/>
    <w:rsid w:val="00301E9A"/>
    <w:rsid w:val="003041B8"/>
    <w:rsid w:val="00306809"/>
    <w:rsid w:val="00306813"/>
    <w:rsid w:val="00311C2C"/>
    <w:rsid w:val="00313F87"/>
    <w:rsid w:val="0031551C"/>
    <w:rsid w:val="0031570F"/>
    <w:rsid w:val="00315C59"/>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395F"/>
    <w:rsid w:val="0035408C"/>
    <w:rsid w:val="00355ED0"/>
    <w:rsid w:val="00360E68"/>
    <w:rsid w:val="00363A9A"/>
    <w:rsid w:val="003655E4"/>
    <w:rsid w:val="003659A5"/>
    <w:rsid w:val="00367143"/>
    <w:rsid w:val="00372EA7"/>
    <w:rsid w:val="00374F2D"/>
    <w:rsid w:val="00375A9C"/>
    <w:rsid w:val="0037728C"/>
    <w:rsid w:val="00381EFD"/>
    <w:rsid w:val="003831FA"/>
    <w:rsid w:val="00385BFA"/>
    <w:rsid w:val="00386C3E"/>
    <w:rsid w:val="00386FAE"/>
    <w:rsid w:val="003872CA"/>
    <w:rsid w:val="00387A80"/>
    <w:rsid w:val="00390335"/>
    <w:rsid w:val="00390DB4"/>
    <w:rsid w:val="0039269B"/>
    <w:rsid w:val="00392C6D"/>
    <w:rsid w:val="00393C15"/>
    <w:rsid w:val="00393D36"/>
    <w:rsid w:val="00396771"/>
    <w:rsid w:val="003A1BCD"/>
    <w:rsid w:val="003A2EEE"/>
    <w:rsid w:val="003A3BE2"/>
    <w:rsid w:val="003A56E6"/>
    <w:rsid w:val="003A74A2"/>
    <w:rsid w:val="003A7C5F"/>
    <w:rsid w:val="003B008D"/>
    <w:rsid w:val="003B1BEB"/>
    <w:rsid w:val="003B6338"/>
    <w:rsid w:val="003B6772"/>
    <w:rsid w:val="003B775D"/>
    <w:rsid w:val="003C11E6"/>
    <w:rsid w:val="003C2226"/>
    <w:rsid w:val="003C4D48"/>
    <w:rsid w:val="003C56A4"/>
    <w:rsid w:val="003D00CA"/>
    <w:rsid w:val="003D14F8"/>
    <w:rsid w:val="003D2D48"/>
    <w:rsid w:val="003D6ED9"/>
    <w:rsid w:val="003E6F5E"/>
    <w:rsid w:val="003F05BB"/>
    <w:rsid w:val="003F5BF4"/>
    <w:rsid w:val="003F6966"/>
    <w:rsid w:val="003F71D3"/>
    <w:rsid w:val="003F739B"/>
    <w:rsid w:val="003F7403"/>
    <w:rsid w:val="003F7DF2"/>
    <w:rsid w:val="00412737"/>
    <w:rsid w:val="0041370A"/>
    <w:rsid w:val="00430CE3"/>
    <w:rsid w:val="00431295"/>
    <w:rsid w:val="004363C6"/>
    <w:rsid w:val="0044307E"/>
    <w:rsid w:val="00445177"/>
    <w:rsid w:val="00446DCE"/>
    <w:rsid w:val="004576C6"/>
    <w:rsid w:val="00462F24"/>
    <w:rsid w:val="004631BA"/>
    <w:rsid w:val="004672EC"/>
    <w:rsid w:val="00471625"/>
    <w:rsid w:val="0047257D"/>
    <w:rsid w:val="004728C6"/>
    <w:rsid w:val="00473500"/>
    <w:rsid w:val="00475AAF"/>
    <w:rsid w:val="004803D1"/>
    <w:rsid w:val="00480EEF"/>
    <w:rsid w:val="00494D9C"/>
    <w:rsid w:val="00495303"/>
    <w:rsid w:val="00495BA4"/>
    <w:rsid w:val="00495C01"/>
    <w:rsid w:val="004A0287"/>
    <w:rsid w:val="004A1E7C"/>
    <w:rsid w:val="004A1FAB"/>
    <w:rsid w:val="004A2ABE"/>
    <w:rsid w:val="004A36C5"/>
    <w:rsid w:val="004A79BF"/>
    <w:rsid w:val="004B314F"/>
    <w:rsid w:val="004B396C"/>
    <w:rsid w:val="004B40F7"/>
    <w:rsid w:val="004C1425"/>
    <w:rsid w:val="004C2B6D"/>
    <w:rsid w:val="004D1925"/>
    <w:rsid w:val="004D30EF"/>
    <w:rsid w:val="004D57F2"/>
    <w:rsid w:val="004D679A"/>
    <w:rsid w:val="004E25D7"/>
    <w:rsid w:val="004E4667"/>
    <w:rsid w:val="004E4A6E"/>
    <w:rsid w:val="004F093E"/>
    <w:rsid w:val="004F1DE8"/>
    <w:rsid w:val="004F2EAD"/>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DBF"/>
    <w:rsid w:val="005403F4"/>
    <w:rsid w:val="00541B66"/>
    <w:rsid w:val="005421CC"/>
    <w:rsid w:val="00542AE9"/>
    <w:rsid w:val="00545316"/>
    <w:rsid w:val="00545747"/>
    <w:rsid w:val="005459F6"/>
    <w:rsid w:val="0054653C"/>
    <w:rsid w:val="00547015"/>
    <w:rsid w:val="00551063"/>
    <w:rsid w:val="0055108C"/>
    <w:rsid w:val="0055359D"/>
    <w:rsid w:val="00554D12"/>
    <w:rsid w:val="005563B9"/>
    <w:rsid w:val="00561784"/>
    <w:rsid w:val="005677F3"/>
    <w:rsid w:val="00571C5E"/>
    <w:rsid w:val="00573499"/>
    <w:rsid w:val="00573BEA"/>
    <w:rsid w:val="005741D0"/>
    <w:rsid w:val="00575D65"/>
    <w:rsid w:val="00576A22"/>
    <w:rsid w:val="00577A69"/>
    <w:rsid w:val="005861C3"/>
    <w:rsid w:val="00597B00"/>
    <w:rsid w:val="005A0053"/>
    <w:rsid w:val="005A1B5C"/>
    <w:rsid w:val="005A2B96"/>
    <w:rsid w:val="005A3556"/>
    <w:rsid w:val="005A6318"/>
    <w:rsid w:val="005B0420"/>
    <w:rsid w:val="005B11AD"/>
    <w:rsid w:val="005B1E7E"/>
    <w:rsid w:val="005B3863"/>
    <w:rsid w:val="005B3C33"/>
    <w:rsid w:val="005B635C"/>
    <w:rsid w:val="005B6CD8"/>
    <w:rsid w:val="005C117F"/>
    <w:rsid w:val="005C1FFC"/>
    <w:rsid w:val="005C4382"/>
    <w:rsid w:val="005C6F9B"/>
    <w:rsid w:val="005C7042"/>
    <w:rsid w:val="005C769A"/>
    <w:rsid w:val="005D24F8"/>
    <w:rsid w:val="005D5C59"/>
    <w:rsid w:val="005D5F22"/>
    <w:rsid w:val="005D6FFD"/>
    <w:rsid w:val="005D757E"/>
    <w:rsid w:val="005D7D2C"/>
    <w:rsid w:val="005E02BB"/>
    <w:rsid w:val="005E2175"/>
    <w:rsid w:val="005E2F9E"/>
    <w:rsid w:val="005E3EE2"/>
    <w:rsid w:val="005F1FF1"/>
    <w:rsid w:val="005F5D28"/>
    <w:rsid w:val="0060416C"/>
    <w:rsid w:val="00605193"/>
    <w:rsid w:val="0060704F"/>
    <w:rsid w:val="0060741E"/>
    <w:rsid w:val="0061056E"/>
    <w:rsid w:val="006119FA"/>
    <w:rsid w:val="0061214E"/>
    <w:rsid w:val="006123F2"/>
    <w:rsid w:val="0061289B"/>
    <w:rsid w:val="00613CF6"/>
    <w:rsid w:val="006212F5"/>
    <w:rsid w:val="006243F8"/>
    <w:rsid w:val="00625CA9"/>
    <w:rsid w:val="00625D6C"/>
    <w:rsid w:val="006319BD"/>
    <w:rsid w:val="00631C45"/>
    <w:rsid w:val="00631D33"/>
    <w:rsid w:val="00635F52"/>
    <w:rsid w:val="00644CC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83744"/>
    <w:rsid w:val="00686267"/>
    <w:rsid w:val="0069018C"/>
    <w:rsid w:val="00690AD3"/>
    <w:rsid w:val="00696014"/>
    <w:rsid w:val="006A02A8"/>
    <w:rsid w:val="006A0838"/>
    <w:rsid w:val="006A0B7F"/>
    <w:rsid w:val="006B4B00"/>
    <w:rsid w:val="006B63AC"/>
    <w:rsid w:val="006C1008"/>
    <w:rsid w:val="006C23ED"/>
    <w:rsid w:val="006D34A1"/>
    <w:rsid w:val="006D50DB"/>
    <w:rsid w:val="006D71A5"/>
    <w:rsid w:val="006F3807"/>
    <w:rsid w:val="006F574C"/>
    <w:rsid w:val="006F5FB1"/>
    <w:rsid w:val="00700974"/>
    <w:rsid w:val="00703C79"/>
    <w:rsid w:val="0070464D"/>
    <w:rsid w:val="00704C70"/>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5882"/>
    <w:rsid w:val="007517C1"/>
    <w:rsid w:val="00751FA6"/>
    <w:rsid w:val="0075395A"/>
    <w:rsid w:val="00754935"/>
    <w:rsid w:val="00755090"/>
    <w:rsid w:val="007556F4"/>
    <w:rsid w:val="00755A87"/>
    <w:rsid w:val="007607F7"/>
    <w:rsid w:val="00762570"/>
    <w:rsid w:val="0076285C"/>
    <w:rsid w:val="007636B5"/>
    <w:rsid w:val="00763C55"/>
    <w:rsid w:val="00763C9A"/>
    <w:rsid w:val="00764085"/>
    <w:rsid w:val="007646A6"/>
    <w:rsid w:val="00765FEE"/>
    <w:rsid w:val="00772BC1"/>
    <w:rsid w:val="007741C4"/>
    <w:rsid w:val="00775A2A"/>
    <w:rsid w:val="00781DA6"/>
    <w:rsid w:val="007828A6"/>
    <w:rsid w:val="007864CE"/>
    <w:rsid w:val="00787C76"/>
    <w:rsid w:val="00791D01"/>
    <w:rsid w:val="00796D78"/>
    <w:rsid w:val="00797944"/>
    <w:rsid w:val="007A05A0"/>
    <w:rsid w:val="007A46E3"/>
    <w:rsid w:val="007A74AC"/>
    <w:rsid w:val="007A779A"/>
    <w:rsid w:val="007B27DA"/>
    <w:rsid w:val="007B56E6"/>
    <w:rsid w:val="007C29DF"/>
    <w:rsid w:val="007C38A0"/>
    <w:rsid w:val="007C4A42"/>
    <w:rsid w:val="007C706E"/>
    <w:rsid w:val="007E10B4"/>
    <w:rsid w:val="007E3338"/>
    <w:rsid w:val="007E37CF"/>
    <w:rsid w:val="007E3A78"/>
    <w:rsid w:val="007E3EA7"/>
    <w:rsid w:val="007E481C"/>
    <w:rsid w:val="007E54DD"/>
    <w:rsid w:val="007F0547"/>
    <w:rsid w:val="007F05EF"/>
    <w:rsid w:val="00803AEF"/>
    <w:rsid w:val="008056E8"/>
    <w:rsid w:val="00805BF7"/>
    <w:rsid w:val="00807E3F"/>
    <w:rsid w:val="008108B9"/>
    <w:rsid w:val="00812460"/>
    <w:rsid w:val="00812E01"/>
    <w:rsid w:val="00816C21"/>
    <w:rsid w:val="00817139"/>
    <w:rsid w:val="0082360D"/>
    <w:rsid w:val="00824074"/>
    <w:rsid w:val="00827D0D"/>
    <w:rsid w:val="00831068"/>
    <w:rsid w:val="0083137E"/>
    <w:rsid w:val="00836B35"/>
    <w:rsid w:val="00846224"/>
    <w:rsid w:val="00846430"/>
    <w:rsid w:val="00847250"/>
    <w:rsid w:val="00847E6F"/>
    <w:rsid w:val="00852022"/>
    <w:rsid w:val="00852A6A"/>
    <w:rsid w:val="00852F43"/>
    <w:rsid w:val="00853B6E"/>
    <w:rsid w:val="00855B38"/>
    <w:rsid w:val="008562EC"/>
    <w:rsid w:val="00861960"/>
    <w:rsid w:val="00865054"/>
    <w:rsid w:val="00866DE6"/>
    <w:rsid w:val="008713AF"/>
    <w:rsid w:val="008732BD"/>
    <w:rsid w:val="0087434F"/>
    <w:rsid w:val="0087457C"/>
    <w:rsid w:val="00876AB2"/>
    <w:rsid w:val="0088411C"/>
    <w:rsid w:val="00884CA2"/>
    <w:rsid w:val="00890B8E"/>
    <w:rsid w:val="008925C2"/>
    <w:rsid w:val="008932BA"/>
    <w:rsid w:val="0089395C"/>
    <w:rsid w:val="00897123"/>
    <w:rsid w:val="008972BA"/>
    <w:rsid w:val="008A3BF2"/>
    <w:rsid w:val="008A3D64"/>
    <w:rsid w:val="008A4017"/>
    <w:rsid w:val="008A49FD"/>
    <w:rsid w:val="008A4F13"/>
    <w:rsid w:val="008A5EAA"/>
    <w:rsid w:val="008A7063"/>
    <w:rsid w:val="008B0B39"/>
    <w:rsid w:val="008B55F6"/>
    <w:rsid w:val="008C0AEB"/>
    <w:rsid w:val="008C2847"/>
    <w:rsid w:val="008C70D8"/>
    <w:rsid w:val="008D2231"/>
    <w:rsid w:val="008D2E61"/>
    <w:rsid w:val="008D2E6D"/>
    <w:rsid w:val="008D3D90"/>
    <w:rsid w:val="008D4835"/>
    <w:rsid w:val="008D6717"/>
    <w:rsid w:val="008E06F2"/>
    <w:rsid w:val="008E08CC"/>
    <w:rsid w:val="008E2421"/>
    <w:rsid w:val="008E2528"/>
    <w:rsid w:val="008E29E3"/>
    <w:rsid w:val="008E6F64"/>
    <w:rsid w:val="008E7BC6"/>
    <w:rsid w:val="008F235D"/>
    <w:rsid w:val="008F2E1F"/>
    <w:rsid w:val="008F507D"/>
    <w:rsid w:val="008F6265"/>
    <w:rsid w:val="00900796"/>
    <w:rsid w:val="00900CB0"/>
    <w:rsid w:val="00901415"/>
    <w:rsid w:val="00902348"/>
    <w:rsid w:val="00905DD6"/>
    <w:rsid w:val="009079B2"/>
    <w:rsid w:val="009101B9"/>
    <w:rsid w:val="00913C1D"/>
    <w:rsid w:val="00913D60"/>
    <w:rsid w:val="0091680D"/>
    <w:rsid w:val="009176DD"/>
    <w:rsid w:val="00917F92"/>
    <w:rsid w:val="00921B64"/>
    <w:rsid w:val="009221FF"/>
    <w:rsid w:val="0092229F"/>
    <w:rsid w:val="00922800"/>
    <w:rsid w:val="0093033C"/>
    <w:rsid w:val="00931E1B"/>
    <w:rsid w:val="00931EBF"/>
    <w:rsid w:val="0093303D"/>
    <w:rsid w:val="00933308"/>
    <w:rsid w:val="0093515A"/>
    <w:rsid w:val="009370B0"/>
    <w:rsid w:val="00940AAD"/>
    <w:rsid w:val="00950144"/>
    <w:rsid w:val="009506BC"/>
    <w:rsid w:val="00952427"/>
    <w:rsid w:val="00955714"/>
    <w:rsid w:val="00961999"/>
    <w:rsid w:val="00961F9E"/>
    <w:rsid w:val="00963C1A"/>
    <w:rsid w:val="00964C4D"/>
    <w:rsid w:val="00965B15"/>
    <w:rsid w:val="00966902"/>
    <w:rsid w:val="00966CF4"/>
    <w:rsid w:val="00971D6A"/>
    <w:rsid w:val="009728DA"/>
    <w:rsid w:val="009748B6"/>
    <w:rsid w:val="00974CD5"/>
    <w:rsid w:val="00975C77"/>
    <w:rsid w:val="00977509"/>
    <w:rsid w:val="00977F9D"/>
    <w:rsid w:val="009838AD"/>
    <w:rsid w:val="00987356"/>
    <w:rsid w:val="00991882"/>
    <w:rsid w:val="00992000"/>
    <w:rsid w:val="009925CC"/>
    <w:rsid w:val="00992AD9"/>
    <w:rsid w:val="009939F8"/>
    <w:rsid w:val="009946F1"/>
    <w:rsid w:val="00994D1E"/>
    <w:rsid w:val="00995144"/>
    <w:rsid w:val="009955BF"/>
    <w:rsid w:val="009A1F8F"/>
    <w:rsid w:val="009A2010"/>
    <w:rsid w:val="009A3CFF"/>
    <w:rsid w:val="009A4F05"/>
    <w:rsid w:val="009A644F"/>
    <w:rsid w:val="009A6897"/>
    <w:rsid w:val="009A7A9D"/>
    <w:rsid w:val="009B0001"/>
    <w:rsid w:val="009B2B3F"/>
    <w:rsid w:val="009B4DC0"/>
    <w:rsid w:val="009B751F"/>
    <w:rsid w:val="009C200F"/>
    <w:rsid w:val="009C62EB"/>
    <w:rsid w:val="009C6DB6"/>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343"/>
    <w:rsid w:val="00A31B26"/>
    <w:rsid w:val="00A33DF1"/>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76B"/>
    <w:rsid w:val="00A62D61"/>
    <w:rsid w:val="00A652F6"/>
    <w:rsid w:val="00A67279"/>
    <w:rsid w:val="00A672D0"/>
    <w:rsid w:val="00A678C8"/>
    <w:rsid w:val="00A732C4"/>
    <w:rsid w:val="00A740EB"/>
    <w:rsid w:val="00A741EC"/>
    <w:rsid w:val="00A77CD2"/>
    <w:rsid w:val="00A805B8"/>
    <w:rsid w:val="00A87B96"/>
    <w:rsid w:val="00A94D96"/>
    <w:rsid w:val="00A957C8"/>
    <w:rsid w:val="00A95E77"/>
    <w:rsid w:val="00A95E79"/>
    <w:rsid w:val="00AA0235"/>
    <w:rsid w:val="00AA1CFE"/>
    <w:rsid w:val="00AA3300"/>
    <w:rsid w:val="00AA4545"/>
    <w:rsid w:val="00AA6485"/>
    <w:rsid w:val="00AA6D70"/>
    <w:rsid w:val="00AB43F6"/>
    <w:rsid w:val="00AB4D2B"/>
    <w:rsid w:val="00AC1095"/>
    <w:rsid w:val="00AC3DA6"/>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2857"/>
    <w:rsid w:val="00B32A1F"/>
    <w:rsid w:val="00B40FB9"/>
    <w:rsid w:val="00B4243F"/>
    <w:rsid w:val="00B4351C"/>
    <w:rsid w:val="00B447BE"/>
    <w:rsid w:val="00B44AD0"/>
    <w:rsid w:val="00B45044"/>
    <w:rsid w:val="00B4671C"/>
    <w:rsid w:val="00B529BA"/>
    <w:rsid w:val="00B54B82"/>
    <w:rsid w:val="00B5517C"/>
    <w:rsid w:val="00B57005"/>
    <w:rsid w:val="00B625DE"/>
    <w:rsid w:val="00B6303A"/>
    <w:rsid w:val="00B65EE2"/>
    <w:rsid w:val="00B66D82"/>
    <w:rsid w:val="00B66F3C"/>
    <w:rsid w:val="00B67AD1"/>
    <w:rsid w:val="00B7152A"/>
    <w:rsid w:val="00B73170"/>
    <w:rsid w:val="00B73DFB"/>
    <w:rsid w:val="00B75B81"/>
    <w:rsid w:val="00B7628C"/>
    <w:rsid w:val="00B76FAF"/>
    <w:rsid w:val="00B808FF"/>
    <w:rsid w:val="00B81B23"/>
    <w:rsid w:val="00B821DC"/>
    <w:rsid w:val="00B83087"/>
    <w:rsid w:val="00B850C0"/>
    <w:rsid w:val="00B854CF"/>
    <w:rsid w:val="00B875EF"/>
    <w:rsid w:val="00B87F6C"/>
    <w:rsid w:val="00B90B60"/>
    <w:rsid w:val="00B92330"/>
    <w:rsid w:val="00B93850"/>
    <w:rsid w:val="00B93F2E"/>
    <w:rsid w:val="00B93F71"/>
    <w:rsid w:val="00B96D4B"/>
    <w:rsid w:val="00BA0389"/>
    <w:rsid w:val="00BA0C87"/>
    <w:rsid w:val="00BA4B73"/>
    <w:rsid w:val="00BA5AD6"/>
    <w:rsid w:val="00BB15E1"/>
    <w:rsid w:val="00BB7F4F"/>
    <w:rsid w:val="00BC46B4"/>
    <w:rsid w:val="00BD0EFE"/>
    <w:rsid w:val="00BD4EC0"/>
    <w:rsid w:val="00BD6587"/>
    <w:rsid w:val="00BD79D6"/>
    <w:rsid w:val="00BE2B90"/>
    <w:rsid w:val="00BE3091"/>
    <w:rsid w:val="00BE6DA2"/>
    <w:rsid w:val="00BF6AEE"/>
    <w:rsid w:val="00C02396"/>
    <w:rsid w:val="00C043ED"/>
    <w:rsid w:val="00C057DB"/>
    <w:rsid w:val="00C077AD"/>
    <w:rsid w:val="00C13EAB"/>
    <w:rsid w:val="00C14019"/>
    <w:rsid w:val="00C148F8"/>
    <w:rsid w:val="00C17862"/>
    <w:rsid w:val="00C216F2"/>
    <w:rsid w:val="00C274C4"/>
    <w:rsid w:val="00C32E16"/>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96E"/>
    <w:rsid w:val="00CA501B"/>
    <w:rsid w:val="00CA6DA2"/>
    <w:rsid w:val="00CB0C49"/>
    <w:rsid w:val="00CB5DAE"/>
    <w:rsid w:val="00CC29E6"/>
    <w:rsid w:val="00CC3408"/>
    <w:rsid w:val="00CC403D"/>
    <w:rsid w:val="00CC46E4"/>
    <w:rsid w:val="00CD157D"/>
    <w:rsid w:val="00CD269F"/>
    <w:rsid w:val="00CD41ED"/>
    <w:rsid w:val="00CD43D9"/>
    <w:rsid w:val="00CD502B"/>
    <w:rsid w:val="00CD5365"/>
    <w:rsid w:val="00CD55FE"/>
    <w:rsid w:val="00CE1140"/>
    <w:rsid w:val="00CE2E39"/>
    <w:rsid w:val="00CE4B6B"/>
    <w:rsid w:val="00CF0264"/>
    <w:rsid w:val="00CF0CFA"/>
    <w:rsid w:val="00D03489"/>
    <w:rsid w:val="00D04CAE"/>
    <w:rsid w:val="00D06804"/>
    <w:rsid w:val="00D07B64"/>
    <w:rsid w:val="00D10EA8"/>
    <w:rsid w:val="00D132C3"/>
    <w:rsid w:val="00D13989"/>
    <w:rsid w:val="00D14CD5"/>
    <w:rsid w:val="00D16544"/>
    <w:rsid w:val="00D228E0"/>
    <w:rsid w:val="00D22ED6"/>
    <w:rsid w:val="00D27F43"/>
    <w:rsid w:val="00D308E1"/>
    <w:rsid w:val="00D324E2"/>
    <w:rsid w:val="00D33934"/>
    <w:rsid w:val="00D362C5"/>
    <w:rsid w:val="00D47C72"/>
    <w:rsid w:val="00D52406"/>
    <w:rsid w:val="00D54186"/>
    <w:rsid w:val="00D5647F"/>
    <w:rsid w:val="00D6235D"/>
    <w:rsid w:val="00D62B42"/>
    <w:rsid w:val="00D643D6"/>
    <w:rsid w:val="00D66DC7"/>
    <w:rsid w:val="00D7198D"/>
    <w:rsid w:val="00D726B1"/>
    <w:rsid w:val="00D729D1"/>
    <w:rsid w:val="00D74A0F"/>
    <w:rsid w:val="00D74BF3"/>
    <w:rsid w:val="00D76C09"/>
    <w:rsid w:val="00D7774C"/>
    <w:rsid w:val="00D80D89"/>
    <w:rsid w:val="00D8237B"/>
    <w:rsid w:val="00D82793"/>
    <w:rsid w:val="00D8315B"/>
    <w:rsid w:val="00D832E7"/>
    <w:rsid w:val="00D865BD"/>
    <w:rsid w:val="00D91AED"/>
    <w:rsid w:val="00D91C80"/>
    <w:rsid w:val="00D91D63"/>
    <w:rsid w:val="00D932A0"/>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126A"/>
    <w:rsid w:val="00E0152E"/>
    <w:rsid w:val="00E025D4"/>
    <w:rsid w:val="00E03117"/>
    <w:rsid w:val="00E07279"/>
    <w:rsid w:val="00E1087A"/>
    <w:rsid w:val="00E14F51"/>
    <w:rsid w:val="00E154A9"/>
    <w:rsid w:val="00E21924"/>
    <w:rsid w:val="00E23886"/>
    <w:rsid w:val="00E23F4B"/>
    <w:rsid w:val="00E25FF6"/>
    <w:rsid w:val="00E260EC"/>
    <w:rsid w:val="00E3031A"/>
    <w:rsid w:val="00E32569"/>
    <w:rsid w:val="00E335DA"/>
    <w:rsid w:val="00E35C09"/>
    <w:rsid w:val="00E37032"/>
    <w:rsid w:val="00E41C12"/>
    <w:rsid w:val="00E439F9"/>
    <w:rsid w:val="00E457DF"/>
    <w:rsid w:val="00E45C6A"/>
    <w:rsid w:val="00E4674C"/>
    <w:rsid w:val="00E503F8"/>
    <w:rsid w:val="00E53205"/>
    <w:rsid w:val="00E53900"/>
    <w:rsid w:val="00E53D9F"/>
    <w:rsid w:val="00E54A80"/>
    <w:rsid w:val="00E5772E"/>
    <w:rsid w:val="00E60CDC"/>
    <w:rsid w:val="00E60E99"/>
    <w:rsid w:val="00E63801"/>
    <w:rsid w:val="00E66F44"/>
    <w:rsid w:val="00E71BB0"/>
    <w:rsid w:val="00E731C8"/>
    <w:rsid w:val="00E74BAB"/>
    <w:rsid w:val="00E75789"/>
    <w:rsid w:val="00E76581"/>
    <w:rsid w:val="00E772FF"/>
    <w:rsid w:val="00E805F8"/>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239D"/>
    <w:rsid w:val="00ED5765"/>
    <w:rsid w:val="00ED5DFE"/>
    <w:rsid w:val="00ED7468"/>
    <w:rsid w:val="00EE011A"/>
    <w:rsid w:val="00EE2B63"/>
    <w:rsid w:val="00EE3A0C"/>
    <w:rsid w:val="00EE4F4C"/>
    <w:rsid w:val="00EE5C48"/>
    <w:rsid w:val="00EF218F"/>
    <w:rsid w:val="00EF2A1B"/>
    <w:rsid w:val="00EF5AAC"/>
    <w:rsid w:val="00EF6FED"/>
    <w:rsid w:val="00F01B28"/>
    <w:rsid w:val="00F0298C"/>
    <w:rsid w:val="00F03702"/>
    <w:rsid w:val="00F0718A"/>
    <w:rsid w:val="00F11E4A"/>
    <w:rsid w:val="00F13835"/>
    <w:rsid w:val="00F14272"/>
    <w:rsid w:val="00F23090"/>
    <w:rsid w:val="00F23B0A"/>
    <w:rsid w:val="00F25F72"/>
    <w:rsid w:val="00F262CB"/>
    <w:rsid w:val="00F26831"/>
    <w:rsid w:val="00F305FF"/>
    <w:rsid w:val="00F354B1"/>
    <w:rsid w:val="00F3647C"/>
    <w:rsid w:val="00F369B1"/>
    <w:rsid w:val="00F44725"/>
    <w:rsid w:val="00F46CC5"/>
    <w:rsid w:val="00F51DD8"/>
    <w:rsid w:val="00F57B43"/>
    <w:rsid w:val="00F6096E"/>
    <w:rsid w:val="00F60D32"/>
    <w:rsid w:val="00F63B87"/>
    <w:rsid w:val="00F66E34"/>
    <w:rsid w:val="00F732F9"/>
    <w:rsid w:val="00F73F1D"/>
    <w:rsid w:val="00F74ED8"/>
    <w:rsid w:val="00F75C7E"/>
    <w:rsid w:val="00F779CE"/>
    <w:rsid w:val="00F86FF2"/>
    <w:rsid w:val="00F87F4F"/>
    <w:rsid w:val="00F971BA"/>
    <w:rsid w:val="00FA0198"/>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A327DE0-E42D-4BC3-9228-D8E362E6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762570"/>
    <w:rPr>
      <w:noProof/>
      <w:szCs w:val="26"/>
      <w:lang w:val="en-US" w:eastAsia="he-IL" w:bidi="he-IL"/>
    </w:rPr>
  </w:style>
  <w:style w:type="character" w:customStyle="1" w:styleId="UnresolvedMention">
    <w:name w:val="Unresolved Mention"/>
    <w:uiPriority w:val="99"/>
    <w:semiHidden/>
    <w:unhideWhenUsed/>
    <w:rsid w:val="0009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1032.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14/law-2582.pdf" TargetMode="External"/><Relationship Id="rId12" Type="http://schemas.openxmlformats.org/officeDocument/2006/relationships/hyperlink" Target="http://www.nevo.co.il/Law_word/law15/memshala-1032.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582.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15/memshala-103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2582.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732.pdf" TargetMode="External"/><Relationship Id="rId3" Type="http://schemas.openxmlformats.org/officeDocument/2006/relationships/hyperlink" Target="http://www.nevo.co.il/law_word/law14/law-2576.pdf" TargetMode="External"/><Relationship Id="rId7" Type="http://schemas.openxmlformats.org/officeDocument/2006/relationships/hyperlink" Target="http://www.nevo.co.il/law_word/law14/law-2664.pdf" TargetMode="External"/><Relationship Id="rId2" Type="http://schemas.openxmlformats.org/officeDocument/2006/relationships/hyperlink" Target="http://www.nevo.co.il/Law_word/law15/memshala-951.pdf" TargetMode="External"/><Relationship Id="rId1" Type="http://schemas.openxmlformats.org/officeDocument/2006/relationships/hyperlink" Target="http://www.nevo.co.il/law_word/law14/law-2510.pdf" TargetMode="External"/><Relationship Id="rId6" Type="http://schemas.openxmlformats.org/officeDocument/2006/relationships/hyperlink" Target="http://www.nevo.co.il/Law_word/law15/memshala-1032.pdf" TargetMode="External"/><Relationship Id="rId5" Type="http://schemas.openxmlformats.org/officeDocument/2006/relationships/hyperlink" Target="http://www.nevo.co.il/law_word/law14/law-2582.pdf" TargetMode="External"/><Relationship Id="rId10" Type="http://schemas.openxmlformats.org/officeDocument/2006/relationships/hyperlink" Target="https://www.nevo.co.il/law_word/law10/yalkut-7495.pdf" TargetMode="External"/><Relationship Id="rId4" Type="http://schemas.openxmlformats.org/officeDocument/2006/relationships/hyperlink" Target="http://www.nevo.co.il/Law_word/law15/memshala-1064.pdf" TargetMode="External"/><Relationship Id="rId9" Type="http://schemas.openxmlformats.org/officeDocument/2006/relationships/hyperlink" Target="http://www.nevo.co.il/Law_word/law16/knesset-7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12443</CharactersWithSpaces>
  <SharedDoc>false</SharedDoc>
  <HLinks>
    <vt:vector size="192" baseType="variant">
      <vt:variant>
        <vt:i4>393283</vt:i4>
      </vt:variant>
      <vt:variant>
        <vt:i4>105</vt:i4>
      </vt:variant>
      <vt:variant>
        <vt:i4>0</vt:i4>
      </vt:variant>
      <vt:variant>
        <vt:i4>5</vt:i4>
      </vt:variant>
      <vt:variant>
        <vt:lpwstr>http://www.nevo.co.il/advertisements/nevo-100.doc</vt:lpwstr>
      </vt:variant>
      <vt:variant>
        <vt:lpwstr/>
      </vt:variant>
      <vt:variant>
        <vt:i4>393283</vt:i4>
      </vt:variant>
      <vt:variant>
        <vt:i4>102</vt:i4>
      </vt:variant>
      <vt:variant>
        <vt:i4>0</vt:i4>
      </vt:variant>
      <vt:variant>
        <vt:i4>5</vt:i4>
      </vt:variant>
      <vt:variant>
        <vt:lpwstr>http://www.nevo.co.il/advertisements/nevo-100.doc</vt:lpwstr>
      </vt:variant>
      <vt:variant>
        <vt:lpwstr/>
      </vt:variant>
      <vt:variant>
        <vt:i4>1179755</vt:i4>
      </vt:variant>
      <vt:variant>
        <vt:i4>99</vt:i4>
      </vt:variant>
      <vt:variant>
        <vt:i4>0</vt:i4>
      </vt:variant>
      <vt:variant>
        <vt:i4>5</vt:i4>
      </vt:variant>
      <vt:variant>
        <vt:lpwstr>http://www.nevo.co.il/Law_word/law15/memshala-1032.pdf</vt:lpwstr>
      </vt:variant>
      <vt:variant>
        <vt:lpwstr/>
      </vt:variant>
      <vt:variant>
        <vt:i4>7667726</vt:i4>
      </vt:variant>
      <vt:variant>
        <vt:i4>96</vt:i4>
      </vt:variant>
      <vt:variant>
        <vt:i4>0</vt:i4>
      </vt:variant>
      <vt:variant>
        <vt:i4>5</vt:i4>
      </vt:variant>
      <vt:variant>
        <vt:lpwstr>http://www.nevo.co.il/law_word/law14/law-2582.pdf</vt:lpwstr>
      </vt:variant>
      <vt:variant>
        <vt:lpwstr/>
      </vt:variant>
      <vt:variant>
        <vt:i4>1179755</vt:i4>
      </vt:variant>
      <vt:variant>
        <vt:i4>93</vt:i4>
      </vt:variant>
      <vt:variant>
        <vt:i4>0</vt:i4>
      </vt:variant>
      <vt:variant>
        <vt:i4>5</vt:i4>
      </vt:variant>
      <vt:variant>
        <vt:lpwstr>http://www.nevo.co.il/Law_word/law15/memshala-1032.pdf</vt:lpwstr>
      </vt:variant>
      <vt:variant>
        <vt:lpwstr/>
      </vt:variant>
      <vt:variant>
        <vt:i4>7667726</vt:i4>
      </vt:variant>
      <vt:variant>
        <vt:i4>90</vt:i4>
      </vt:variant>
      <vt:variant>
        <vt:i4>0</vt:i4>
      </vt:variant>
      <vt:variant>
        <vt:i4>5</vt:i4>
      </vt:variant>
      <vt:variant>
        <vt:lpwstr>http://www.nevo.co.il/law_word/law14/law-2582.pdf</vt:lpwstr>
      </vt:variant>
      <vt:variant>
        <vt:lpwstr/>
      </vt:variant>
      <vt:variant>
        <vt:i4>1179755</vt:i4>
      </vt:variant>
      <vt:variant>
        <vt:i4>87</vt:i4>
      </vt:variant>
      <vt:variant>
        <vt:i4>0</vt:i4>
      </vt:variant>
      <vt:variant>
        <vt:i4>5</vt:i4>
      </vt:variant>
      <vt:variant>
        <vt:lpwstr>http://www.nevo.co.il/Law_word/law15/memshala-1032.pdf</vt:lpwstr>
      </vt:variant>
      <vt:variant>
        <vt:lpwstr/>
      </vt:variant>
      <vt:variant>
        <vt:i4>7667726</vt:i4>
      </vt:variant>
      <vt:variant>
        <vt:i4>84</vt:i4>
      </vt:variant>
      <vt:variant>
        <vt:i4>0</vt:i4>
      </vt:variant>
      <vt:variant>
        <vt:i4>5</vt:i4>
      </vt:variant>
      <vt:variant>
        <vt:lpwstr>http://www.nevo.co.il/law_word/law14/law-2582.pdf</vt:lpwstr>
      </vt:variant>
      <vt:variant>
        <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1507453</vt:i4>
      </vt:variant>
      <vt:variant>
        <vt:i4>27</vt:i4>
      </vt:variant>
      <vt:variant>
        <vt:i4>0</vt:i4>
      </vt:variant>
      <vt:variant>
        <vt:i4>5</vt:i4>
      </vt:variant>
      <vt:variant>
        <vt:lpwstr>https://www.nevo.co.il/law_word/law10/yalkut-7495.pdf</vt:lpwstr>
      </vt:variant>
      <vt:variant>
        <vt:lpwstr/>
      </vt:variant>
      <vt:variant>
        <vt:i4>3538963</vt:i4>
      </vt:variant>
      <vt:variant>
        <vt:i4>24</vt:i4>
      </vt:variant>
      <vt:variant>
        <vt:i4>0</vt:i4>
      </vt:variant>
      <vt:variant>
        <vt:i4>5</vt:i4>
      </vt:variant>
      <vt:variant>
        <vt:lpwstr>http://www.nevo.co.il/Law_word/law16/knesset-792.pdf</vt:lpwstr>
      </vt:variant>
      <vt:variant>
        <vt:lpwstr/>
      </vt:variant>
      <vt:variant>
        <vt:i4>8257548</vt:i4>
      </vt:variant>
      <vt:variant>
        <vt:i4>21</vt:i4>
      </vt:variant>
      <vt:variant>
        <vt:i4>0</vt:i4>
      </vt:variant>
      <vt:variant>
        <vt:i4>5</vt:i4>
      </vt:variant>
      <vt:variant>
        <vt:lpwstr>http://www.nevo.co.il/law_word/law14/law-2732.pdf</vt:lpwstr>
      </vt:variant>
      <vt:variant>
        <vt:lpwstr/>
      </vt:variant>
      <vt:variant>
        <vt:i4>8060939</vt:i4>
      </vt:variant>
      <vt:variant>
        <vt:i4>18</vt:i4>
      </vt:variant>
      <vt:variant>
        <vt:i4>0</vt:i4>
      </vt:variant>
      <vt:variant>
        <vt:i4>5</vt:i4>
      </vt:variant>
      <vt:variant>
        <vt:lpwstr>http://www.nevo.co.il/law_word/law14/law-2664.pdf</vt:lpwstr>
      </vt:variant>
      <vt:variant>
        <vt:lpwstr/>
      </vt:variant>
      <vt:variant>
        <vt:i4>1179755</vt:i4>
      </vt:variant>
      <vt:variant>
        <vt:i4>15</vt:i4>
      </vt:variant>
      <vt:variant>
        <vt:i4>0</vt:i4>
      </vt:variant>
      <vt:variant>
        <vt:i4>5</vt:i4>
      </vt:variant>
      <vt:variant>
        <vt:lpwstr>http://www.nevo.co.il/Law_word/law15/memshala-1032.pdf</vt:lpwstr>
      </vt:variant>
      <vt:variant>
        <vt:lpwstr/>
      </vt:variant>
      <vt:variant>
        <vt:i4>7667726</vt:i4>
      </vt:variant>
      <vt:variant>
        <vt:i4>12</vt:i4>
      </vt:variant>
      <vt:variant>
        <vt:i4>0</vt:i4>
      </vt:variant>
      <vt:variant>
        <vt:i4>5</vt:i4>
      </vt:variant>
      <vt:variant>
        <vt:lpwstr>http://www.nevo.co.il/law_word/law14/law-2582.pdf</vt:lpwstr>
      </vt:variant>
      <vt:variant>
        <vt:lpwstr/>
      </vt:variant>
      <vt:variant>
        <vt:i4>1310830</vt:i4>
      </vt:variant>
      <vt:variant>
        <vt:i4>9</vt:i4>
      </vt:variant>
      <vt:variant>
        <vt:i4>0</vt:i4>
      </vt:variant>
      <vt:variant>
        <vt:i4>5</vt:i4>
      </vt:variant>
      <vt:variant>
        <vt:lpwstr>http://www.nevo.co.il/Law_word/law15/memshala-1064.pdf</vt:lpwstr>
      </vt:variant>
      <vt:variant>
        <vt:lpwstr/>
      </vt:variant>
      <vt:variant>
        <vt:i4>7995402</vt:i4>
      </vt:variant>
      <vt:variant>
        <vt:i4>6</vt:i4>
      </vt:variant>
      <vt:variant>
        <vt:i4>0</vt:i4>
      </vt:variant>
      <vt:variant>
        <vt:i4>5</vt:i4>
      </vt:variant>
      <vt:variant>
        <vt:lpwstr>http://www.nevo.co.il/law_word/law14/law-2576.pdf</vt:lpwstr>
      </vt:variant>
      <vt:variant>
        <vt:lpwstr/>
      </vt:variant>
      <vt:variant>
        <vt:i4>7929947</vt:i4>
      </vt:variant>
      <vt:variant>
        <vt:i4>3</vt:i4>
      </vt:variant>
      <vt:variant>
        <vt:i4>0</vt:i4>
      </vt:variant>
      <vt:variant>
        <vt:i4>5</vt:i4>
      </vt:variant>
      <vt:variant>
        <vt:lpwstr>http://www.nevo.co.il/Law_word/law15/memshala-951.pdf</vt:lpwstr>
      </vt:variant>
      <vt:variant>
        <vt:lpwstr/>
      </vt:variant>
      <vt:variant>
        <vt:i4>8126476</vt:i4>
      </vt:variant>
      <vt:variant>
        <vt:i4>0</vt:i4>
      </vt:variant>
      <vt:variant>
        <vt:i4>0</vt:i4>
      </vt:variant>
      <vt:variant>
        <vt:i4>5</vt:i4>
      </vt:variant>
      <vt:variant>
        <vt:lpwstr>http://www.nevo.co.il/law_word/law14/law-2510.pdf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התכנית הכלכלית (תיקוני חקיקה ליישום המדיניות הכלכלית לשנות התקציב 2015 ו-2016), תשע"ו-2015</vt:lpwstr>
  </property>
  <property fmtid="{D5CDD505-2E9C-101B-9397-08002B2CF9AE}" pid="4" name="LAWNUMBER">
    <vt:lpwstr>0295</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3">
    <vt:lpwstr>http://www.nevo.co.il/law_word/law14/law-2582.pdf;‎רשומות - ספר חוקים#ס"ח תשע"ו מס' 2582 ‏‏#מיום 21.8.2016 עמ' 1264  – תיקון מס' 2 בסעיף 23 לחוק הפיקוח על שירותים פיננסיים (תיקוני חקיקה), תשע"ו-‏‏2016; ר' סעיף 24 לענין תחילה</vt:lpwstr>
  </property>
  <property fmtid="{D5CDD505-2E9C-101B-9397-08002B2CF9AE}" pid="8" name="LINKK4">
    <vt:lpwstr>http://www.nevo.co.il/law_word/law14/law-2664.pdf;רשומות - ספר חוקים#ת"ט ס"ח תשע"ח מס' 2664 #מיום 26.10.2017 עמ' 4</vt:lpwstr>
  </property>
  <property fmtid="{D5CDD505-2E9C-101B-9397-08002B2CF9AE}" pid="9" name="LINKK5">
    <vt:lpwstr>http://www.nevo.co.il/law_word/law14/law-2732.pdf;‎רשומות - ספר חוקים#ס"ח תשע"ח מס' 2732 ‏‏#מיום 16.7.2018 עמ' 749  – תיקון מס' 3 בסעיף 3 לחוק התכנון והבנייה (תיקון מס' 125), תשע"ח-2018‏</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מדיניות כלכלית</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1">
    <vt:lpwstr>http://www.nevo.co.il/law_word/law14/law-2510.pdf;‎רשומות - ספר חוקים#פורסם ס"ח תשע"ו ‏מס' 2510 #מיום 30.11.2015 עמ' 39‏</vt:lpwstr>
  </property>
  <property fmtid="{D5CDD505-2E9C-101B-9397-08002B2CF9AE}" pid="62" name="LINKK2">
    <vt:lpwstr>http://www.nevo.co.il/law_word/law14/law-2576.pdf;‎רשומות - ספר חוקים#תוקן ס"ח תשע"ו מס' ‏‏2576 #מיום 11.8.2016 עמ' 1187  – תיקון מס' 1 בסעיף 8 לחוק תקציב המדינה לשנים 2017 ו-2018 (הוראות ‏מיוחדות) (הוראת שעה), תשע"ו-2016‏</vt:lpwstr>
  </property>
</Properties>
</file>