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8870" w14:textId="77777777" w:rsidR="00A209BA" w:rsidRDefault="00A209B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התרבות והאמנות, התשס"ג-2002</w:t>
      </w:r>
    </w:p>
    <w:p w14:paraId="15AE26B4" w14:textId="77777777" w:rsidR="0094100B" w:rsidRDefault="0094100B" w:rsidP="0094100B">
      <w:pPr>
        <w:spacing w:line="320" w:lineRule="auto"/>
        <w:rPr>
          <w:rFonts w:hint="cs"/>
          <w:rtl/>
        </w:rPr>
      </w:pPr>
    </w:p>
    <w:p w14:paraId="550F7E16" w14:textId="77777777" w:rsidR="00D45551" w:rsidRDefault="00D45551" w:rsidP="0094100B">
      <w:pPr>
        <w:spacing w:line="320" w:lineRule="auto"/>
        <w:rPr>
          <w:rFonts w:hint="cs"/>
          <w:rtl/>
        </w:rPr>
      </w:pPr>
    </w:p>
    <w:p w14:paraId="4E6502C2" w14:textId="77777777" w:rsidR="0094100B" w:rsidRPr="0094100B" w:rsidRDefault="0094100B" w:rsidP="0094100B">
      <w:pPr>
        <w:spacing w:line="320" w:lineRule="auto"/>
        <w:rPr>
          <w:rFonts w:cs="Miriam"/>
          <w:szCs w:val="22"/>
          <w:rtl/>
        </w:rPr>
      </w:pPr>
      <w:r w:rsidRPr="0094100B">
        <w:rPr>
          <w:rFonts w:cs="Miriam"/>
          <w:szCs w:val="22"/>
          <w:rtl/>
        </w:rPr>
        <w:t>רשויות ומשפט מנהלי</w:t>
      </w:r>
      <w:r w:rsidRPr="0094100B">
        <w:rPr>
          <w:rFonts w:cs="FrankRuehl"/>
          <w:szCs w:val="26"/>
          <w:rtl/>
        </w:rPr>
        <w:t xml:space="preserve"> – תרבות, פנאי ומועדים</w:t>
      </w:r>
    </w:p>
    <w:p w14:paraId="1427B47B" w14:textId="77777777" w:rsidR="00A209BA" w:rsidRDefault="00A209B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09BA" w14:paraId="33C1CF5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2438AA7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42B1CD0" w14:textId="77777777" w:rsidR="00A209BA" w:rsidRDefault="00A209BA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FCF982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7FCAE90" w14:textId="77777777" w:rsidR="00A209BA" w:rsidRDefault="00A209BA">
            <w:r>
              <w:rPr>
                <w:rtl/>
              </w:rPr>
              <w:t xml:space="preserve">סעיף 1 </w:t>
            </w:r>
          </w:p>
        </w:tc>
      </w:tr>
      <w:tr w:rsidR="00A209BA" w14:paraId="6266F29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D3AF36D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9995B63" w14:textId="77777777" w:rsidR="00A209BA" w:rsidRDefault="00A209BA">
            <w:hyperlink w:anchor="Seif1" w:tooltip="מינוי המועצה ומטרות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53C70C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מינוי המועצה ומטרותיה</w:t>
            </w:r>
          </w:p>
        </w:tc>
        <w:tc>
          <w:tcPr>
            <w:tcW w:w="1247" w:type="dxa"/>
          </w:tcPr>
          <w:p w14:paraId="7807E847" w14:textId="77777777" w:rsidR="00A209BA" w:rsidRDefault="00A209BA">
            <w:r>
              <w:rPr>
                <w:rtl/>
              </w:rPr>
              <w:t xml:space="preserve">סעיף 2 </w:t>
            </w:r>
          </w:p>
        </w:tc>
      </w:tr>
      <w:tr w:rsidR="00A209BA" w14:paraId="1C0D8B3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2755C01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B576157" w14:textId="77777777" w:rsidR="00A209BA" w:rsidRDefault="00A209BA">
            <w:hyperlink w:anchor="Seif2" w:tooltip="תפקידי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3E0B51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תפקידי המועצה</w:t>
            </w:r>
          </w:p>
        </w:tc>
        <w:tc>
          <w:tcPr>
            <w:tcW w:w="1247" w:type="dxa"/>
          </w:tcPr>
          <w:p w14:paraId="1144EB8F" w14:textId="77777777" w:rsidR="00A209BA" w:rsidRDefault="00A209BA">
            <w:r>
              <w:rPr>
                <w:rtl/>
              </w:rPr>
              <w:t xml:space="preserve">סעיף 3 </w:t>
            </w:r>
          </w:p>
        </w:tc>
      </w:tr>
      <w:tr w:rsidR="00A209BA" w14:paraId="70C7887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A294A5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E2D6BB6" w14:textId="77777777" w:rsidR="00A209BA" w:rsidRDefault="00A209BA">
            <w:hyperlink w:anchor="Seif3" w:tooltip="הרכב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8A02EE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הרכב המועצה</w:t>
            </w:r>
          </w:p>
        </w:tc>
        <w:tc>
          <w:tcPr>
            <w:tcW w:w="1247" w:type="dxa"/>
          </w:tcPr>
          <w:p w14:paraId="2C9F27D3" w14:textId="77777777" w:rsidR="00A209BA" w:rsidRDefault="00A209BA">
            <w:r>
              <w:rPr>
                <w:rtl/>
              </w:rPr>
              <w:t xml:space="preserve">סעיף 4 </w:t>
            </w:r>
          </w:p>
        </w:tc>
      </w:tr>
      <w:tr w:rsidR="00A209BA" w14:paraId="6AFACFA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1CA3922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5FE9E5A" w14:textId="77777777" w:rsidR="00A209BA" w:rsidRDefault="00A209BA">
            <w:hyperlink w:anchor="Seif4" w:tooltip="תקופת ה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0DA3BD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תקופת הכהונה</w:t>
            </w:r>
          </w:p>
        </w:tc>
        <w:tc>
          <w:tcPr>
            <w:tcW w:w="1247" w:type="dxa"/>
          </w:tcPr>
          <w:p w14:paraId="1A4F3040" w14:textId="77777777" w:rsidR="00A209BA" w:rsidRDefault="00A209BA">
            <w:r>
              <w:rPr>
                <w:rtl/>
              </w:rPr>
              <w:t xml:space="preserve">סעיף 5 </w:t>
            </w:r>
          </w:p>
        </w:tc>
      </w:tr>
      <w:tr w:rsidR="00A209BA" w14:paraId="17C6A64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2FC3F29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20FE27C" w14:textId="77777777" w:rsidR="00A209BA" w:rsidRDefault="00A209BA">
            <w:hyperlink w:anchor="Seif5" w:tooltip="פקיע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7079AE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פקיעת כהונה</w:t>
            </w:r>
          </w:p>
        </w:tc>
        <w:tc>
          <w:tcPr>
            <w:tcW w:w="1247" w:type="dxa"/>
          </w:tcPr>
          <w:p w14:paraId="23F8B864" w14:textId="77777777" w:rsidR="00A209BA" w:rsidRDefault="00A209BA">
            <w:r>
              <w:rPr>
                <w:rtl/>
              </w:rPr>
              <w:t xml:space="preserve">סעיף 6 </w:t>
            </w:r>
          </w:p>
        </w:tc>
      </w:tr>
      <w:tr w:rsidR="00A209BA" w14:paraId="627B55A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E6A6DF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D9C9D1E" w14:textId="77777777" w:rsidR="00A209BA" w:rsidRDefault="00A209BA">
            <w:hyperlink w:anchor="Seif6" w:tooltip="העברה מ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45526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העברה מכהונה</w:t>
            </w:r>
          </w:p>
        </w:tc>
        <w:tc>
          <w:tcPr>
            <w:tcW w:w="1247" w:type="dxa"/>
          </w:tcPr>
          <w:p w14:paraId="24837710" w14:textId="77777777" w:rsidR="00A209BA" w:rsidRDefault="00A209BA">
            <w:r>
              <w:rPr>
                <w:rtl/>
              </w:rPr>
              <w:t xml:space="preserve">סעיף 7 </w:t>
            </w:r>
          </w:p>
        </w:tc>
      </w:tr>
      <w:tr w:rsidR="00A209BA" w14:paraId="46EC09D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912A3A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C0DCF02" w14:textId="77777777" w:rsidR="00A209BA" w:rsidRDefault="00A209BA">
            <w:hyperlink w:anchor="Seif7" w:tooltip="תוקף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CB54B2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תוקף פעולות</w:t>
            </w:r>
          </w:p>
        </w:tc>
        <w:tc>
          <w:tcPr>
            <w:tcW w:w="1247" w:type="dxa"/>
          </w:tcPr>
          <w:p w14:paraId="3B7D09C1" w14:textId="77777777" w:rsidR="00A209BA" w:rsidRDefault="00A209BA">
            <w:r>
              <w:rPr>
                <w:rtl/>
              </w:rPr>
              <w:t xml:space="preserve">סעיף 8 </w:t>
            </w:r>
          </w:p>
        </w:tc>
      </w:tr>
      <w:tr w:rsidR="00A209BA" w14:paraId="05C75D4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41E640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32B1618" w14:textId="77777777" w:rsidR="00A209BA" w:rsidRDefault="00A209BA">
            <w:hyperlink w:anchor="Seif8" w:tooltip="ניגוד ע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FB5F52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ניגוד ענינים</w:t>
            </w:r>
          </w:p>
        </w:tc>
        <w:tc>
          <w:tcPr>
            <w:tcW w:w="1247" w:type="dxa"/>
          </w:tcPr>
          <w:p w14:paraId="5484CD5D" w14:textId="77777777" w:rsidR="00A209BA" w:rsidRDefault="00A209BA">
            <w:r>
              <w:rPr>
                <w:rtl/>
              </w:rPr>
              <w:t xml:space="preserve">סעיף 9 </w:t>
            </w:r>
          </w:p>
        </w:tc>
      </w:tr>
      <w:tr w:rsidR="00A209BA" w14:paraId="22B72DD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5317C2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AC33D94" w14:textId="77777777" w:rsidR="00A209BA" w:rsidRDefault="00A209BA">
            <w:hyperlink w:anchor="Seif9" w:tooltip="ועדות מש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1E10EA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ועדות משנה</w:t>
            </w:r>
          </w:p>
        </w:tc>
        <w:tc>
          <w:tcPr>
            <w:tcW w:w="1247" w:type="dxa"/>
          </w:tcPr>
          <w:p w14:paraId="5F7B92AF" w14:textId="77777777" w:rsidR="00A209BA" w:rsidRDefault="00A209BA">
            <w:r>
              <w:rPr>
                <w:rtl/>
              </w:rPr>
              <w:t xml:space="preserve">סעיף 10 </w:t>
            </w:r>
          </w:p>
        </w:tc>
      </w:tr>
      <w:tr w:rsidR="00A209BA" w14:paraId="520344A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65C0DB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2A47D28" w14:textId="77777777" w:rsidR="00A209BA" w:rsidRDefault="00A209BA">
            <w:hyperlink w:anchor="Seif10" w:tooltip="דרכי פע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623B14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דרכי פעולה</w:t>
            </w:r>
          </w:p>
        </w:tc>
        <w:tc>
          <w:tcPr>
            <w:tcW w:w="1247" w:type="dxa"/>
          </w:tcPr>
          <w:p w14:paraId="2281360D" w14:textId="77777777" w:rsidR="00A209BA" w:rsidRDefault="00A209BA">
            <w:r>
              <w:rPr>
                <w:rtl/>
              </w:rPr>
              <w:t xml:space="preserve">סעיף 11 </w:t>
            </w:r>
          </w:p>
        </w:tc>
      </w:tr>
      <w:tr w:rsidR="00A209BA" w14:paraId="30871DA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26D696C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A723B43" w14:textId="77777777" w:rsidR="00A209BA" w:rsidRDefault="00A209BA">
            <w:hyperlink w:anchor="Seif11" w:tooltip="תקציב וגמ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5849D0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תקציב וגמול</w:t>
            </w:r>
          </w:p>
        </w:tc>
        <w:tc>
          <w:tcPr>
            <w:tcW w:w="1247" w:type="dxa"/>
          </w:tcPr>
          <w:p w14:paraId="75148D8C" w14:textId="77777777" w:rsidR="00A209BA" w:rsidRDefault="00A209BA">
            <w:r>
              <w:rPr>
                <w:rtl/>
              </w:rPr>
              <w:t xml:space="preserve">סעיף 12 </w:t>
            </w:r>
          </w:p>
        </w:tc>
      </w:tr>
      <w:tr w:rsidR="00A209BA" w14:paraId="7832C2C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A89A227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D1E9021" w14:textId="77777777" w:rsidR="00A209BA" w:rsidRDefault="00A209BA">
            <w:hyperlink w:anchor="Seif12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8C1349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1247" w:type="dxa"/>
          </w:tcPr>
          <w:p w14:paraId="70CCB46E" w14:textId="77777777" w:rsidR="00A209BA" w:rsidRDefault="00A209BA">
            <w:r>
              <w:rPr>
                <w:rtl/>
              </w:rPr>
              <w:t xml:space="preserve">סעיף 13 </w:t>
            </w:r>
          </w:p>
        </w:tc>
      </w:tr>
      <w:tr w:rsidR="00A209BA" w14:paraId="34FCC7E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67AFB3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ACC4AA7" w14:textId="77777777" w:rsidR="00A209BA" w:rsidRDefault="00A209BA">
            <w:hyperlink w:anchor="Seif13" w:tooltip="מינוי מועצה ראשונה ו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58E6B3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מינוי מועצה ראשונה והוראת מעבר</w:t>
            </w:r>
          </w:p>
        </w:tc>
        <w:tc>
          <w:tcPr>
            <w:tcW w:w="1247" w:type="dxa"/>
          </w:tcPr>
          <w:p w14:paraId="0F972896" w14:textId="77777777" w:rsidR="00A209BA" w:rsidRDefault="00A209BA">
            <w:r>
              <w:rPr>
                <w:rtl/>
              </w:rPr>
              <w:t xml:space="preserve">סעיף 14 </w:t>
            </w:r>
          </w:p>
        </w:tc>
      </w:tr>
      <w:tr w:rsidR="00A209BA" w14:paraId="3EFB026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8CBDDB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25C6077" w14:textId="77777777" w:rsidR="00A209BA" w:rsidRDefault="00A209BA">
            <w:hyperlink w:anchor="Seif14" w:tooltip="שמירת דינים ותיא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ED69E7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שמירת דינים ותיאום</w:t>
            </w:r>
          </w:p>
        </w:tc>
        <w:tc>
          <w:tcPr>
            <w:tcW w:w="1247" w:type="dxa"/>
          </w:tcPr>
          <w:p w14:paraId="3B04B75B" w14:textId="77777777" w:rsidR="00A209BA" w:rsidRDefault="00A209BA">
            <w:r>
              <w:rPr>
                <w:rtl/>
              </w:rPr>
              <w:t xml:space="preserve">סעיף 15 </w:t>
            </w:r>
          </w:p>
        </w:tc>
      </w:tr>
      <w:tr w:rsidR="00A209BA" w14:paraId="7600F3D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E97721F" w14:textId="77777777" w:rsidR="00A209BA" w:rsidRDefault="00A209B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301E727" w14:textId="77777777" w:rsidR="00A209BA" w:rsidRDefault="00A209BA">
            <w:hyperlink w:anchor="Seif1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0D9F7C" w14:textId="77777777" w:rsidR="00A209BA" w:rsidRDefault="00A209BA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24AC0322" w14:textId="77777777" w:rsidR="00A209BA" w:rsidRDefault="00A209BA">
            <w:r>
              <w:rPr>
                <w:rtl/>
              </w:rPr>
              <w:t xml:space="preserve">סעיף 16 </w:t>
            </w:r>
          </w:p>
        </w:tc>
      </w:tr>
    </w:tbl>
    <w:p w14:paraId="1D973355" w14:textId="77777777" w:rsidR="00A209BA" w:rsidRDefault="00A209BA">
      <w:pPr>
        <w:pStyle w:val="big-header"/>
        <w:ind w:left="0" w:right="1134"/>
        <w:rPr>
          <w:rFonts w:cs="FrankRuehl"/>
          <w:sz w:val="32"/>
          <w:rtl/>
        </w:rPr>
      </w:pPr>
    </w:p>
    <w:p w14:paraId="4C990E95" w14:textId="77777777" w:rsidR="00A209BA" w:rsidRDefault="00A209BA" w:rsidP="009410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 xml:space="preserve">וק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תרבות והאמנות, התשס"ג-2002</w:t>
      </w:r>
      <w:r>
        <w:rPr>
          <w:rStyle w:val="default"/>
          <w:rtl/>
        </w:rPr>
        <w:footnoteReference w:customMarkFollows="1" w:id="1"/>
        <w:t>*</w:t>
      </w:r>
    </w:p>
    <w:p w14:paraId="26D147A4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rFonts w:cs="Miriam"/>
          <w:sz w:val="32"/>
          <w:szCs w:val="32"/>
          <w:lang w:val="he-IL"/>
        </w:rPr>
        <w:pict w14:anchorId="174AA7E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8pt;margin-top:4.65pt;width:1in;height:18pt;z-index:251648512" filled="f" stroked="f">
            <v:textbox>
              <w:txbxContent>
                <w:p w14:paraId="1DE8755D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זה </w:t>
      </w:r>
      <w:r>
        <w:rPr>
          <w:rStyle w:val="default"/>
          <w:rFonts w:cs="FrankRuehl"/>
          <w:rtl/>
        </w:rPr>
        <w:t>–</w:t>
      </w:r>
    </w:p>
    <w:p w14:paraId="45B62C6E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"תח</w:t>
      </w:r>
      <w:r>
        <w:rPr>
          <w:rStyle w:val="default"/>
          <w:rFonts w:cs="FrankRuehl" w:hint="cs"/>
          <w:rtl/>
        </w:rPr>
        <w:t xml:space="preserve">ום פעולה" ו"סעיף תקציב"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תם בחוק תקציב שנתי, כמשמעותו בחוק יסודות התקציב, התשמ"ה-1985</w:t>
      </w:r>
      <w:r>
        <w:rPr>
          <w:rStyle w:val="default"/>
          <w:rFonts w:cs="FrankRuehl"/>
          <w:rtl/>
        </w:rPr>
        <w:t>;</w:t>
      </w:r>
    </w:p>
    <w:p w14:paraId="78D3473B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ואמנות" </w:t>
      </w:r>
      <w:r w:rsidR="00D455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פ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ילות תרבותית ואמנותית בתחום חיי היצירה והרוח;</w:t>
      </w:r>
    </w:p>
    <w:p w14:paraId="5C60A961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 החינוך והתרבות של</w:t>
      </w:r>
      <w:r>
        <w:rPr>
          <w:rStyle w:val="default"/>
          <w:rFonts w:cs="FrankRuehl"/>
          <w:rtl/>
        </w:rPr>
        <w:t xml:space="preserve"> הכנ</w:t>
      </w:r>
      <w:r>
        <w:rPr>
          <w:rStyle w:val="default"/>
          <w:rFonts w:cs="FrankRuehl" w:hint="cs"/>
          <w:rtl/>
        </w:rPr>
        <w:t>סת;</w:t>
      </w:r>
    </w:p>
    <w:p w14:paraId="034ECD54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"הש</w:t>
      </w:r>
      <w:r>
        <w:rPr>
          <w:rStyle w:val="default"/>
          <w:rFonts w:cs="FrankRuehl" w:hint="cs"/>
          <w:rtl/>
        </w:rPr>
        <w:t xml:space="preserve">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המדע התרבות והספורט.</w:t>
      </w:r>
    </w:p>
    <w:p w14:paraId="0127AFE4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rFonts w:cs="Miriam"/>
          <w:sz w:val="32"/>
          <w:szCs w:val="32"/>
          <w:lang w:val="he-IL"/>
        </w:rPr>
        <w:pict w14:anchorId="261710F9">
          <v:shape id="_x0000_s1027" type="#_x0000_t202" style="position:absolute;left:0;text-align:left;margin-left:468pt;margin-top:7.1pt;width:74.35pt;height:19.35pt;z-index:251649536" filled="f" stroked="f">
            <v:textbox inset="1mm,0,1mm,0">
              <w:txbxContent>
                <w:p w14:paraId="4F9E1032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 ומטרותיה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הממ</w:t>
      </w:r>
      <w:r>
        <w:rPr>
          <w:rStyle w:val="default"/>
          <w:rFonts w:cs="FrankRuehl" w:hint="cs"/>
          <w:rtl/>
        </w:rPr>
        <w:t xml:space="preserve">שלה תמנה את המועצה הישראלית לתרבות ואמנות (בחוק זה </w:t>
      </w:r>
      <w:r w:rsidR="00D455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המועצה), על פי הצעת השר.</w:t>
      </w:r>
    </w:p>
    <w:p w14:paraId="6A935CEC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עצה תייעץ לממשלה ולשר בתחומי התרבות והאמנות המתייחסים לנושאים הנוגעים לתחום פעולה תרבות בסע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תקצ</w:t>
      </w:r>
      <w:r>
        <w:rPr>
          <w:rStyle w:val="default"/>
          <w:rFonts w:cs="FrankRuehl"/>
          <w:rtl/>
        </w:rPr>
        <w:t>יב מ</w:t>
      </w:r>
      <w:r>
        <w:rPr>
          <w:rStyle w:val="default"/>
          <w:rFonts w:cs="FrankRuehl" w:hint="cs"/>
          <w:rtl/>
        </w:rPr>
        <w:t>שרד המדע התרבות והספורט, ותמלא את התפקידים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מוטלים עליה לפי הוראות חוק זה.</w:t>
      </w:r>
    </w:p>
    <w:p w14:paraId="3260C92F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(ג)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עצה תפעל לשם קידום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מדיניות של תרבות ואמנות, הנותנת ביטוי לחיי היצירה והרוח במדינת ישראל, תוך הבטחת חופש היצירה ומתן ביטוי למגוון התרבותי של החברה בישראל, להשקפות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ות </w:t>
      </w:r>
      <w:r>
        <w:rPr>
          <w:rStyle w:val="default"/>
          <w:rFonts w:cs="FrankRuehl"/>
          <w:rtl/>
        </w:rPr>
        <w:t>הרוו</w:t>
      </w:r>
      <w:r>
        <w:rPr>
          <w:rStyle w:val="default"/>
          <w:rFonts w:cs="FrankRuehl" w:hint="cs"/>
          <w:rtl/>
        </w:rPr>
        <w:t>חות בה ולערכיה כמדינה יהודית ודמוקרטית.</w:t>
      </w:r>
    </w:p>
    <w:p w14:paraId="4612D5AF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rFonts w:cs="Miriam"/>
          <w:sz w:val="32"/>
          <w:szCs w:val="32"/>
          <w:lang w:val="he-IL"/>
        </w:rPr>
        <w:pict w14:anchorId="5DF2D6B4">
          <v:shape id="_x0000_s1028" type="#_x0000_t202" style="position:absolute;left:0;text-align:left;margin-left:474pt;margin-top:6.85pt;width:1in;height:18pt;z-index:251650560" filled="f" stroked="f">
            <v:textbox>
              <w:txbxContent>
                <w:p w14:paraId="1EA75ACB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תפקי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 המועצה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פקידי המועצה:</w:t>
      </w:r>
    </w:p>
    <w:p w14:paraId="5B9C6A99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להצ</w:t>
      </w:r>
      <w:r>
        <w:rPr>
          <w:rStyle w:val="default"/>
          <w:rFonts w:cs="FrankRuehl" w:hint="cs"/>
          <w:rtl/>
        </w:rPr>
        <w:t xml:space="preserve">יע לשר </w:t>
      </w:r>
      <w:r>
        <w:rPr>
          <w:rStyle w:val="default"/>
          <w:rFonts w:cs="FrankRuehl"/>
          <w:rtl/>
        </w:rPr>
        <w:t>–</w:t>
      </w:r>
    </w:p>
    <w:p w14:paraId="1AB24920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תכנ</w:t>
      </w:r>
      <w:r>
        <w:rPr>
          <w:rStyle w:val="default"/>
          <w:rFonts w:cs="FrankRuehl" w:hint="cs"/>
          <w:rtl/>
        </w:rPr>
        <w:t>ית רב שנתית למדיניות בתחומי התרבות והאמנות;</w:t>
      </w:r>
    </w:p>
    <w:p w14:paraId="44AC066C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תכנ</w:t>
      </w:r>
      <w:r>
        <w:rPr>
          <w:rStyle w:val="default"/>
          <w:rFonts w:cs="FrankRuehl" w:hint="cs"/>
          <w:rtl/>
        </w:rPr>
        <w:t>ית רב שנתית בנושא התמיכה במוסדות תרבות ואמנות;</w:t>
      </w:r>
    </w:p>
    <w:p w14:paraId="167F471C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יוז</w:t>
      </w:r>
      <w:r>
        <w:rPr>
          <w:rStyle w:val="default"/>
          <w:rFonts w:cs="FrankRuehl" w:hint="cs"/>
          <w:rtl/>
        </w:rPr>
        <w:t>מות, פעולות, מפעלים והקמה של גופים חדש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בתחומי </w:t>
      </w:r>
      <w:r>
        <w:rPr>
          <w:rStyle w:val="default"/>
          <w:rFonts w:cs="FrankRuehl"/>
          <w:rtl/>
        </w:rPr>
        <w:t>התרב</w:t>
      </w:r>
      <w:r>
        <w:rPr>
          <w:rStyle w:val="default"/>
          <w:rFonts w:cs="FrankRuehl" w:hint="cs"/>
          <w:rtl/>
        </w:rPr>
        <w:t>ות והאמנות;</w:t>
      </w:r>
    </w:p>
    <w:p w14:paraId="2BD7C9E6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  <w:t>יוז</w:t>
      </w:r>
      <w:r>
        <w:rPr>
          <w:rStyle w:val="default"/>
          <w:rFonts w:cs="FrankRuehl" w:hint="cs"/>
          <w:rtl/>
        </w:rPr>
        <w:t>מות, פעולות ומפעלים לעידוד ולקידום היצירה והאמן, לרבות באמצעות מענקים, מלגות ופרסים;</w:t>
      </w:r>
    </w:p>
    <w:p w14:paraId="10695666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/>
          <w:rtl/>
        </w:rPr>
        <w:tab/>
        <w:t>הצע</w:t>
      </w:r>
      <w:r>
        <w:rPr>
          <w:rStyle w:val="default"/>
          <w:rFonts w:cs="FrankRuehl" w:hint="cs"/>
          <w:rtl/>
        </w:rPr>
        <w:t>ות בדבר חיזוק, טיפוח ועידוד של תחומי תרבות ואמנות חדשים;</w:t>
      </w:r>
    </w:p>
    <w:p w14:paraId="3424325D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לגב</w:t>
      </w:r>
      <w:r>
        <w:rPr>
          <w:rStyle w:val="default"/>
          <w:rFonts w:cs="FrankRuehl" w:hint="cs"/>
          <w:rtl/>
        </w:rPr>
        <w:t>ש המלצות בנושאים בתחומי התרבות והאמנות או בנושאים שהשר ביקש שתדון בהם; ההמל</w:t>
      </w:r>
      <w:r>
        <w:rPr>
          <w:rStyle w:val="default"/>
          <w:rFonts w:cs="FrankRuehl"/>
          <w:rtl/>
        </w:rPr>
        <w:t xml:space="preserve">צות </w:t>
      </w:r>
      <w:r>
        <w:rPr>
          <w:rStyle w:val="default"/>
          <w:rFonts w:cs="FrankRuehl" w:hint="cs"/>
          <w:rtl/>
        </w:rPr>
        <w:t>יובאו לעיונו של השר;</w:t>
      </w:r>
    </w:p>
    <w:p w14:paraId="6BACF32C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(3)</w:t>
      </w:r>
      <w:r>
        <w:rPr>
          <w:rStyle w:val="default"/>
          <w:rFonts w:cs="FrankRuehl"/>
          <w:rtl/>
        </w:rPr>
        <w:tab/>
        <w:t>ליז</w:t>
      </w:r>
      <w:r>
        <w:rPr>
          <w:rStyle w:val="default"/>
          <w:rFonts w:cs="FrankRuehl" w:hint="cs"/>
          <w:rtl/>
        </w:rPr>
        <w:t>ום מחקרים בעניני תרבות ואמנות וקיום כנסים, ימי עיון ודיונים ציבוריי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;</w:t>
      </w:r>
    </w:p>
    <w:p w14:paraId="64F9D39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(4)</w:t>
      </w:r>
      <w:r>
        <w:rPr>
          <w:rStyle w:val="default"/>
          <w:rFonts w:cs="FrankRuehl"/>
          <w:rtl/>
        </w:rPr>
        <w:tab/>
        <w:t>ליי</w:t>
      </w:r>
      <w:r>
        <w:rPr>
          <w:rStyle w:val="default"/>
          <w:rFonts w:cs="FrankRuehl" w:hint="cs"/>
          <w:rtl/>
        </w:rPr>
        <w:t>עץ לשר לענין קביעת אמות מידה לתמיכה במוסדות תרבות ואמנות לפי סעיף 3א לחוק יסודות התקציב, התשמ"ה-1985, ובכלל זה לענין גיבוש כללים ועקרו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להכרה או </w:t>
      </w:r>
      <w:r>
        <w:rPr>
          <w:rStyle w:val="default"/>
          <w:rFonts w:cs="FrankRuehl"/>
          <w:rtl/>
        </w:rPr>
        <w:t>לביט</w:t>
      </w:r>
      <w:r>
        <w:rPr>
          <w:rStyle w:val="default"/>
          <w:rFonts w:cs="FrankRuehl" w:hint="cs"/>
          <w:rtl/>
        </w:rPr>
        <w:t>ול הכרה לצורך תמיכה במוסדות תרבות ו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נות וכן לצורך מתן מעמד לענין חיקוקים אחרים</w:t>
      </w:r>
      <w:r>
        <w:rPr>
          <w:rStyle w:val="a6"/>
          <w:sz w:val="26"/>
        </w:rPr>
        <w:footnoteReference w:id="2"/>
      </w:r>
      <w:r>
        <w:rPr>
          <w:rStyle w:val="default"/>
          <w:rFonts w:cs="FrankRuehl" w:hint="cs"/>
          <w:rtl/>
        </w:rPr>
        <w:t>;</w:t>
      </w:r>
    </w:p>
    <w:p w14:paraId="5F367A27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(5)</w:t>
      </w:r>
      <w:r>
        <w:rPr>
          <w:rStyle w:val="default"/>
          <w:rFonts w:cs="FrankRuehl"/>
          <w:rtl/>
        </w:rPr>
        <w:tab/>
        <w:t>ליי</w:t>
      </w:r>
      <w:r>
        <w:rPr>
          <w:rStyle w:val="default"/>
          <w:rFonts w:cs="FrankRuehl" w:hint="cs"/>
          <w:rtl/>
        </w:rPr>
        <w:t>עץ למ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שלה ולשר בכל נושא הנוגע למדיניות בתחום התרבות והאמנות ובכל ענין הנוגע לביצוע חוק זה.</w:t>
      </w:r>
    </w:p>
    <w:p w14:paraId="47F91C8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rFonts w:cs="Miriam"/>
          <w:sz w:val="32"/>
          <w:szCs w:val="32"/>
          <w:lang w:val="he-IL"/>
        </w:rPr>
        <w:pict w14:anchorId="4823A4B6">
          <v:shape id="_x0000_s1029" type="#_x0000_t202" style="position:absolute;left:0;text-align:left;margin-left:455.85pt;margin-top:4.25pt;width:83.85pt;height:32.6pt;z-index:251651584" filled="f" stroked="f">
            <v:textbox style="mso-next-textbox:#_x0000_s1029" inset="1mm,,1mm">
              <w:txbxContent>
                <w:p w14:paraId="2581C5C2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>
                    <w:rPr>
                      <w:rFonts w:cs="Miriam"/>
                      <w:sz w:val="22"/>
                      <w:szCs w:val="18"/>
                      <w:rtl/>
                    </w:rPr>
                    <w:t>הרכב</w:t>
                  </w: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 xml:space="preserve"> המועצה</w:t>
                  </w:r>
                </w:p>
                <w:p w14:paraId="7E8C7C90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/>
                      <w:sz w:val="22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22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תשס"ד-2004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עצה תהיה בת תשעה עשר חברים לפח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ולא יותר משלושים ואחד חברים</w:t>
      </w:r>
      <w:r>
        <w:rPr>
          <w:rStyle w:val="default"/>
          <w:rFonts w:cs="FrankRuehl"/>
          <w:rtl/>
        </w:rPr>
        <w:t>, והר</w:t>
      </w:r>
      <w:r>
        <w:rPr>
          <w:rStyle w:val="default"/>
          <w:rFonts w:cs="FrankRuehl" w:hint="cs"/>
          <w:rtl/>
        </w:rPr>
        <w:t>כבה יהיה כאמור לה</w:t>
      </w:r>
      <w:r>
        <w:rPr>
          <w:rStyle w:val="default"/>
          <w:rFonts w:cs="FrankRuehl"/>
          <w:rtl/>
        </w:rPr>
        <w:t>לן</w:t>
      </w:r>
      <w:r>
        <w:rPr>
          <w:rStyle w:val="default"/>
          <w:rFonts w:cs="FrankRuehl" w:hint="cs"/>
          <w:rtl/>
        </w:rPr>
        <w:t>:</w:t>
      </w:r>
    </w:p>
    <w:p w14:paraId="3AC7881C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A72B47C">
          <v:shape id="_x0000_s1042" type="#_x0000_t202" style="position:absolute;left:0;text-align:left;margin-left:456pt;margin-top:3.9pt;width:84pt;height:23.6pt;z-index:251664896" filled="f" stroked="f">
            <v:textbox inset="1mm,,1mm">
              <w:txbxContent>
                <w:p w14:paraId="103DBF86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22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מחצית מהחברים לפחות יהיו בעלי מעמד בשדה היצירה, העשיה, הביצוע והמחקר בתחומי תרבות ואמנות שאינם עובדי המדינה;</w:t>
      </w:r>
    </w:p>
    <w:p w14:paraId="13BD6EB2" w14:textId="77777777" w:rsidR="00A209BA" w:rsidRDefault="00A209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3D82AEC5">
          <v:shape id="_x0000_s1043" type="#_x0000_t202" style="position:absolute;left:0;text-align:left;margin-left:462pt;margin-top:1.3pt;width:78pt;height:25.85pt;z-index:251665920" filled="f" stroked="f">
            <v:textbox inset="1mm,,1mm">
              <w:txbxContent>
                <w:p w14:paraId="2EBB8614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(תיקון מס' 1)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שאר החברים יהיו מעורים בתחומי תרבות ואמנות שאינם 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 המדינה.</w:t>
      </w:r>
    </w:p>
    <w:p w14:paraId="654C51F1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59779E78">
          <v:shape id="_x0000_s1044" type="#_x0000_t202" style="position:absolute;left:0;text-align:left;margin-left:462pt;margin-top:2.7pt;width:78pt;height:29.45pt;z-index:251666944" filled="f" stroked="f">
            <v:textbox inset="1mm,,1mm">
              <w:txbxContent>
                <w:p w14:paraId="6635F3DC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 w:hint="cs"/>
                      <w:sz w:val="22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(תיקון מס' 1)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ב)</w:t>
      </w:r>
      <w:r>
        <w:rPr>
          <w:rStyle w:val="default"/>
          <w:rFonts w:cs="FrankRuehl"/>
          <w:rtl/>
        </w:rPr>
        <w:tab/>
        <w:t>הממ</w:t>
      </w:r>
      <w:r>
        <w:rPr>
          <w:rStyle w:val="default"/>
          <w:rFonts w:cs="FrankRuehl" w:hint="cs"/>
          <w:rtl/>
        </w:rPr>
        <w:t>שלה,</w:t>
      </w:r>
      <w:r>
        <w:rPr>
          <w:rStyle w:val="default"/>
          <w:rFonts w:cs="FrankRuehl"/>
          <w:rtl/>
        </w:rPr>
        <w:t xml:space="preserve"> בהמ</w:t>
      </w:r>
      <w:r>
        <w:rPr>
          <w:rStyle w:val="default"/>
          <w:rFonts w:cs="FrankRuehl" w:hint="cs"/>
          <w:rtl/>
        </w:rPr>
        <w:t>לצת השר, תמנה את יושב ר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 xml:space="preserve"> המועצה, מבין החברים האמורים בסעיף קטן (א).</w:t>
      </w:r>
    </w:p>
    <w:p w14:paraId="3BF07BFE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ab/>
        <w:t>(ג)</w:t>
      </w:r>
      <w:r>
        <w:rPr>
          <w:rStyle w:val="default"/>
          <w:rFonts w:cs="FrankRuehl"/>
          <w:rtl/>
        </w:rPr>
        <w:tab/>
        <w:t>במו</w:t>
      </w:r>
      <w:r>
        <w:rPr>
          <w:rStyle w:val="default"/>
          <w:rFonts w:cs="FrankRuehl" w:hint="cs"/>
          <w:rtl/>
        </w:rPr>
        <w:t>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יינתן ייצוג הולם למגוון תחומי תרבות ואמנות לרבות ספרות, מוזיקה, אמנות פלסטית, תיאטרון, מחול ותרבות עממית; כן יינתן ייצוג הולם במועצה למגזרי אוכ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יה שונים.</w:t>
      </w:r>
    </w:p>
    <w:p w14:paraId="13D19944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(ד)</w:t>
      </w:r>
      <w:r>
        <w:rPr>
          <w:rStyle w:val="default"/>
          <w:rFonts w:cs="FrankRuehl"/>
          <w:rtl/>
        </w:rPr>
        <w:tab/>
        <w:t>מינ</w:t>
      </w:r>
      <w:r>
        <w:rPr>
          <w:rStyle w:val="default"/>
          <w:rFonts w:cs="FrankRuehl" w:hint="cs"/>
          <w:rtl/>
        </w:rPr>
        <w:t>וי חבר</w:t>
      </w:r>
      <w:r>
        <w:rPr>
          <w:rStyle w:val="default"/>
          <w:rFonts w:cs="FrankRuehl"/>
          <w:rtl/>
        </w:rPr>
        <w:t>י המ</w:t>
      </w:r>
      <w:r>
        <w:rPr>
          <w:rStyle w:val="default"/>
          <w:rFonts w:cs="FrankRuehl" w:hint="cs"/>
          <w:rtl/>
        </w:rPr>
        <w:t>ועצה יהיה לאחר שהשר התייעץ עם ארגונים המייצגים יוצרים, אמנים ועוסקים בתחומי תרבו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ואמנות ועם גופים ציבוריים מתחומי התרבות והאמנות, כפי שקבע השר.</w:t>
      </w:r>
    </w:p>
    <w:p w14:paraId="6AF17EF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  <w:t>(ה)</w:t>
      </w:r>
      <w:r>
        <w:rPr>
          <w:rStyle w:val="default"/>
          <w:rFonts w:cs="FrankRuehl"/>
          <w:rtl/>
        </w:rPr>
        <w:tab/>
        <w:t xml:space="preserve">לא </w:t>
      </w:r>
      <w:r>
        <w:rPr>
          <w:rStyle w:val="default"/>
          <w:rFonts w:cs="FrankRuehl" w:hint="cs"/>
          <w:rtl/>
        </w:rPr>
        <w:t>ימונה לחבר המועצה מי שהורשע בעבירה אשר מפאת מהותה, חומרתה או נסיבותיה אי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וא ראוי לשמש חבר המועצה.</w:t>
      </w:r>
    </w:p>
    <w:p w14:paraId="4DA0016D" w14:textId="77777777" w:rsidR="00A209BA" w:rsidRDefault="00A209B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7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22.2.2004</w:t>
      </w:r>
    </w:p>
    <w:p w14:paraId="0E6381A6" w14:textId="77777777" w:rsidR="00A209BA" w:rsidRDefault="00A209B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1A7188FC" w14:textId="77777777" w:rsidR="00A209BA" w:rsidRDefault="00A209B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תשנ"ד מס' 1927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22.2.2004 עמ' 304 (</w:t>
      </w: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85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0A0F08F" w14:textId="77777777" w:rsidR="00A209BA" w:rsidRDefault="00A209B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עצה תהיה בת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עשרים וחמישה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תשעה עשר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חברים לפח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ולא יותר משלושים ואחד חברים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והר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כבה יהיה כאמור לה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ביחס קרוב אליו ככל האפשר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14:paraId="09395C98" w14:textId="77777777" w:rsidR="00A209BA" w:rsidRDefault="00A209BA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ארבע חמישיות מהחברים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מחצית מהחברים לפחות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יהיו בעלי מעמד בשדה היצירה, העשיה, הביצוע והמחקר בתחומי תרבות ואמנות שאינם עובדי המדינה;</w:t>
      </w:r>
    </w:p>
    <w:p w14:paraId="78A1E0FF" w14:textId="77777777" w:rsidR="00A209BA" w:rsidRDefault="00A209BA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חמישית מהחברים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שאר החברים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יהיו מעורים בתחומי תרבות ואמנות שאינם ע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המדינה.</w:t>
      </w:r>
    </w:p>
    <w:p w14:paraId="75419629" w14:textId="77777777" w:rsidR="00A209BA" w:rsidRDefault="00A209BA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שלה,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בהמ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לצת השר, תמנה את יושב ר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אש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המועצה, מבין החברים האמורים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קטן (א)(1)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קטן (א)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702AA917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rFonts w:cs="Miriam"/>
          <w:sz w:val="32"/>
          <w:szCs w:val="32"/>
          <w:lang w:val="he-IL"/>
        </w:rPr>
        <w:pict w14:anchorId="5D0758CE">
          <v:shape id="_x0000_s1030" type="#_x0000_t202" style="position:absolute;left:0;text-align:left;margin-left:474pt;margin-top:7.25pt;width:1in;height:18pt;z-index:251652608" filled="f" stroked="f">
            <v:textbox style="mso-next-textbox:#_x0000_s1030">
              <w:txbxContent>
                <w:p w14:paraId="30569B91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תקופ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הכהונה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חבר</w:t>
      </w:r>
      <w:r>
        <w:rPr>
          <w:rStyle w:val="default"/>
          <w:rFonts w:cs="FrankRuehl" w:hint="cs"/>
          <w:rtl/>
        </w:rPr>
        <w:t>י המועצה יתמנו לתקופה של ארבע שנים.</w:t>
      </w:r>
    </w:p>
    <w:p w14:paraId="2FA5BD7C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>אף הוראות סעיף קטן (א), רשאית הממשלה להאריך את תקופת כהונתו של חבר מועצה בשנתיים נוספות.</w:t>
      </w:r>
    </w:p>
    <w:p w14:paraId="046307B5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rFonts w:cs="Miriam"/>
          <w:sz w:val="32"/>
          <w:szCs w:val="32"/>
          <w:lang w:val="he-IL"/>
        </w:rPr>
        <w:pict w14:anchorId="7DE6B04C">
          <v:shape id="_x0000_s1031" type="#_x0000_t202" style="position:absolute;left:0;text-align:left;margin-left:474pt;margin-top:6.05pt;width:1in;height:18pt;z-index:251653632" filled="f" stroked="f">
            <v:textbox>
              <w:txbxContent>
                <w:p w14:paraId="1FCCAB02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כהונה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יחדל לכהן לפני תום תקופת כהונתו בהתקיים אחד מאלה:</w:t>
      </w:r>
    </w:p>
    <w:p w14:paraId="662B4D1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התפטר</w:t>
      </w:r>
      <w:r>
        <w:rPr>
          <w:rStyle w:val="default"/>
          <w:rFonts w:cs="FrankRuehl"/>
          <w:rtl/>
        </w:rPr>
        <w:t xml:space="preserve"> במס</w:t>
      </w:r>
      <w:r>
        <w:rPr>
          <w:rStyle w:val="default"/>
          <w:rFonts w:cs="FrankRuehl" w:hint="cs"/>
          <w:rtl/>
        </w:rPr>
        <w:t>ירת כתב התפטרות לשר;</w:t>
      </w:r>
    </w:p>
    <w:p w14:paraId="26388CB9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(2)</w:t>
      </w:r>
      <w:r>
        <w:rPr>
          <w:rStyle w:val="default"/>
          <w:rFonts w:cs="FrankRuehl"/>
          <w:rtl/>
        </w:rPr>
        <w:tab/>
        <w:t>חדל</w:t>
      </w:r>
      <w:r>
        <w:rPr>
          <w:rStyle w:val="default"/>
          <w:rFonts w:cs="FrankRuehl" w:hint="cs"/>
          <w:rtl/>
        </w:rPr>
        <w:t xml:space="preserve"> להתקיים בו התנאי שבסעיף 4(א) שמכוחו מונה;</w:t>
      </w:r>
    </w:p>
    <w:p w14:paraId="627B5F3C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(3)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הורשע בעבירה כאמור בסעיף 4(ה).</w:t>
      </w:r>
    </w:p>
    <w:p w14:paraId="32016C5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rFonts w:cs="Miriam"/>
          <w:sz w:val="32"/>
          <w:szCs w:val="32"/>
          <w:lang w:val="he-IL"/>
        </w:rPr>
        <w:pict w14:anchorId="16064F2B">
          <v:shape id="_x0000_s1032" type="#_x0000_t202" style="position:absolute;left:0;text-align:left;margin-left:474pt;margin-top:7.65pt;width:1in;height:18pt;z-index:251654656" filled="f" stroked="f">
            <v:textbox>
              <w:txbxContent>
                <w:p w14:paraId="08EEE3D1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מכהונה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שאי להעביר חבר מועצה מכהונתו לפני תום תקופת כהונתו בהתקיים אחד מאלה:</w:t>
      </w:r>
    </w:p>
    <w:p w14:paraId="7BA5525D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נבצ</w:t>
      </w:r>
      <w:r>
        <w:rPr>
          <w:rStyle w:val="default"/>
          <w:rFonts w:cs="FrankRuehl" w:hint="cs"/>
          <w:rtl/>
        </w:rPr>
        <w:t>ר ממנו דרך קבע למלא את תפקידו;</w:t>
      </w:r>
    </w:p>
    <w:p w14:paraId="1055AC0E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(2)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נעדר בלא סיבה מוצדקת מארבע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יבות רצופות של המועצה או מיותר משליש מהישיבות שקיימה המועצה בשנה אחת.</w:t>
      </w:r>
    </w:p>
    <w:p w14:paraId="41B648B6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rFonts w:cs="Miriam"/>
          <w:sz w:val="32"/>
          <w:szCs w:val="32"/>
          <w:lang w:val="he-IL"/>
        </w:rPr>
        <w:pict w14:anchorId="0B17EC55">
          <v:shape id="_x0000_s1033" type="#_x0000_t202" style="position:absolute;left:0;text-align:left;margin-left:474pt;margin-top:3.85pt;width:1in;height:18pt;z-index:251655680" filled="f" stroked="f">
            <v:textbox>
              <w:txbxContent>
                <w:p w14:paraId="4310354B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תוקף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פעולות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המועצה, סמכויותיה ותוקף החלטותיה ופעולותיה לא ייפגעו מחמת שנתפנה מקומו של חבר בה או מחמת ליקוי במינויו או בהמ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כהונתו.</w:t>
      </w:r>
    </w:p>
    <w:p w14:paraId="09104DBB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rFonts w:cs="Miriam"/>
          <w:sz w:val="32"/>
          <w:szCs w:val="32"/>
          <w:lang w:val="he-IL"/>
        </w:rPr>
        <w:pict w14:anchorId="2FD225D6">
          <v:shape id="_x0000_s1034" type="#_x0000_t202" style="position:absolute;left:0;text-align:left;margin-left:474pt;margin-top:5pt;width:1in;height:18pt;z-index:251656704" filled="f" stroked="f">
            <v:textbox>
              <w:txbxContent>
                <w:p w14:paraId="315CC6EC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 ענינים</w:t>
                  </w:r>
                </w:p>
              </w:txbxContent>
            </v:textbox>
          </v:shape>
        </w:pict>
      </w:r>
      <w:r>
        <w:rPr>
          <w:rFonts w:cs="Miriam"/>
          <w:sz w:val="32"/>
          <w:szCs w:val="32"/>
          <w:rtl/>
          <w:lang w:val="he-IL"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הן כחבר במועצה מי שעלול להימצא, במישרין או בעקיפין, במצב של ניגוד ענינים בין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תפקידו כחבר המועצה לבין ענין אישי או תפקיד אחר שלו.</w:t>
      </w:r>
    </w:p>
    <w:p w14:paraId="5182A9B8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rFonts w:cs="Miriam"/>
          <w:sz w:val="32"/>
          <w:szCs w:val="32"/>
          <w:lang w:val="he-IL"/>
        </w:rPr>
        <w:pict w14:anchorId="2C025BFC">
          <v:shape id="_x0000_s1035" type="#_x0000_t202" style="position:absolute;left:0;text-align:left;margin-left:474pt;margin-top:7.4pt;width:1in;height:18pt;z-index:251657728" filled="f" stroked="f">
            <v:textbox>
              <w:txbxContent>
                <w:p w14:paraId="1C5ADB26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משנה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עצה רשאית למנות ועדות משנה מבין חבריה ורשאית היא לצרף כחברים בועדות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ה </w:t>
      </w:r>
      <w:r>
        <w:rPr>
          <w:rStyle w:val="default"/>
          <w:rFonts w:cs="FrankRuehl"/>
          <w:rtl/>
        </w:rPr>
        <w:t>גם מ</w:t>
      </w:r>
      <w:r>
        <w:rPr>
          <w:rStyle w:val="default"/>
          <w:rFonts w:cs="FrankRuehl" w:hint="cs"/>
          <w:rtl/>
        </w:rPr>
        <w:t>י שאינו נמנה עם חבריה, ובלבד שיושב ראש כל 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>ה יהיה חבר המועצה וכן לפחות חמישית מחבריה יהיו חברי המועצ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</w:p>
    <w:p w14:paraId="1CB5C6D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>חברי ועדות המשנה שאינם חברי המועצה יחולו הוראות סעיפים 4(ה) ו-6(3), כן יחולו עליהם הוראות סעיף 9 ואולם רשאי השר, באישור הועדה, לקבוע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ות </w:t>
      </w:r>
      <w:r>
        <w:rPr>
          <w:rStyle w:val="default"/>
          <w:rFonts w:cs="FrankRuehl"/>
          <w:rtl/>
        </w:rPr>
        <w:t>למני</w:t>
      </w:r>
      <w:r>
        <w:rPr>
          <w:rStyle w:val="default"/>
          <w:rFonts w:cs="FrankRuehl" w:hint="cs"/>
          <w:rtl/>
        </w:rPr>
        <w:t>עת חשש לניגוד ענינים; קבע כאמור, יחולו ההו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ות שקבע.</w:t>
      </w:r>
    </w:p>
    <w:p w14:paraId="04992B01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rFonts w:cs="Miriam"/>
          <w:sz w:val="32"/>
          <w:szCs w:val="32"/>
          <w:lang w:val="he-IL"/>
        </w:rPr>
        <w:pict w14:anchorId="718F92D5">
          <v:shape id="_x0000_s1036" type="#_x0000_t202" style="position:absolute;left:0;text-align:left;margin-left:474pt;margin-top:.85pt;width:1in;height:18pt;z-index:251658752" filled="f" stroked="f">
            <v:textbox>
              <w:txbxContent>
                <w:p w14:paraId="68C074B4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פעולה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 תקבע את דרכי מינוי ועדות המשנה ואת סדרי הדיון בישיבותיה ובישיבות ועדות המשנה, ככל שלא נקבעו לפי חוק זה.</w:t>
      </w:r>
    </w:p>
    <w:p w14:paraId="0313682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rFonts w:cs="Miriam"/>
          <w:sz w:val="32"/>
          <w:szCs w:val="32"/>
          <w:lang w:val="he-IL"/>
        </w:rPr>
        <w:pict w14:anchorId="2C00EFBD">
          <v:shape id="_x0000_s1037" type="#_x0000_t202" style="position:absolute;left:0;text-align:left;margin-left:474pt;margin-top:7.25pt;width:1in;height:18pt;z-index:251659776" filled="f" stroked="f">
            <v:textbox>
              <w:txbxContent>
                <w:p w14:paraId="46EE3272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וגמול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התק</w:t>
      </w:r>
      <w:r>
        <w:rPr>
          <w:rStyle w:val="default"/>
          <w:rFonts w:cs="FrankRuehl" w:hint="cs"/>
          <w:rtl/>
        </w:rPr>
        <w:t>ציב השנתי לתרבות ואמנ</w:t>
      </w:r>
      <w:r>
        <w:rPr>
          <w:rStyle w:val="default"/>
          <w:rFonts w:cs="FrankRuehl"/>
          <w:rtl/>
        </w:rPr>
        <w:t>ות ו</w:t>
      </w:r>
      <w:r>
        <w:rPr>
          <w:rStyle w:val="default"/>
          <w:rFonts w:cs="FrankRuehl" w:hint="cs"/>
          <w:rtl/>
        </w:rPr>
        <w:t>כן תקציב המועצה ייקבעו בתחום פעולה - תרבות, בסעיף תקציב המשרד האחראי על תחום התרבות בחוק התקציב השנתי.</w:t>
      </w:r>
    </w:p>
    <w:p w14:paraId="1A8E9E9F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>השר</w:t>
      </w:r>
      <w:r>
        <w:rPr>
          <w:rStyle w:val="default"/>
          <w:rFonts w:cs="FrankRuehl" w:hint="cs"/>
          <w:rtl/>
        </w:rPr>
        <w:t xml:space="preserve"> רשאי להחלי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 על תשלום גמול לבעלי תפקידים מסוימים מבין חברי המועצה או ועדות המשנה שלה בשיעור שיקבע, הכל בהסכמת שר האוצר.</w:t>
      </w:r>
    </w:p>
    <w:p w14:paraId="6C67EB11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rFonts w:cs="Miriam"/>
          <w:sz w:val="32"/>
          <w:szCs w:val="32"/>
          <w:lang w:val="he-IL"/>
        </w:rPr>
        <w:pict w14:anchorId="3AF9F0F7">
          <v:shape id="_x0000_s1038" type="#_x0000_t202" style="position:absolute;left:0;text-align:left;margin-left:474pt;margin-top:3.05pt;width:1in;height:18pt;z-index:251660800" filled="f" stroked="f">
            <v:textbox>
              <w:txbxContent>
                <w:p w14:paraId="3EDE759D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 ותקנות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מונה על ביצ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חוק זה והוא רשאי, באישור הועדה, להתקין תקנות בכל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וגע לביצועו.</w:t>
      </w:r>
    </w:p>
    <w:p w14:paraId="69B1C995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rFonts w:cs="Miriam"/>
          <w:sz w:val="32"/>
          <w:szCs w:val="32"/>
          <w:lang w:val="he-IL"/>
        </w:rPr>
        <w:pict w14:anchorId="219DFC43">
          <v:shape id="_x0000_s1039" type="#_x0000_t202" style="position:absolute;left:0;text-align:left;margin-left:470.35pt;margin-top:7.1pt;width:1in;height:28.6pt;z-index:251661824" filled="f" stroked="f">
            <v:textbox inset="1mm,0,1mm,0">
              <w:txbxContent>
                <w:p w14:paraId="43E386B3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/>
                      <w:sz w:val="22"/>
                      <w:szCs w:val="18"/>
                      <w:rtl/>
                    </w:rPr>
                  </w:pPr>
                  <w:r>
                    <w:rPr>
                      <w:rFonts w:cs="Miriam"/>
                      <w:sz w:val="22"/>
                      <w:szCs w:val="18"/>
                      <w:rtl/>
                    </w:rPr>
                    <w:t>מינו</w:t>
                  </w: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י מועצה ראשונה והוראת מעבר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תמנה את המועצה הראשונה לפי חוק זה עד ליום ז' בטבת התשס"ד (1 בינואר 2004); עד למינוי המועצה הראשונה יהיו נתונות למועצה הציבור</w:t>
      </w:r>
      <w:r>
        <w:rPr>
          <w:rStyle w:val="default"/>
          <w:rFonts w:cs="FrankRuehl"/>
          <w:rtl/>
        </w:rPr>
        <w:t>ית ל</w:t>
      </w:r>
      <w:r>
        <w:rPr>
          <w:rStyle w:val="default"/>
          <w:rFonts w:cs="FrankRuehl" w:hint="cs"/>
          <w:rtl/>
        </w:rPr>
        <w:t>תרבות ולאמנות אש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ונתה לפי החלטת הממשלה מיום ו' באב התשמ"ב (26 ביולי 1982), כל הסמכויות והתפקידים הנתונים למועצה לפי חוק זה.</w:t>
      </w:r>
    </w:p>
    <w:p w14:paraId="648F543C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rFonts w:cs="Miriam"/>
          <w:sz w:val="32"/>
          <w:szCs w:val="32"/>
          <w:lang w:val="he-IL"/>
        </w:rPr>
        <w:pict w14:anchorId="44E36996">
          <v:shape id="_x0000_s1040" type="#_x0000_t202" style="position:absolute;left:0;text-align:left;margin-left:470.35pt;margin-top:7.1pt;width:1in;height:23.7pt;z-index:251662848" filled="f" stroked="f">
            <v:textbox inset="1mm,0,1mm,0">
              <w:txbxContent>
                <w:p w14:paraId="1D55CC76" w14:textId="77777777" w:rsidR="00A209BA" w:rsidRDefault="00A209BA">
                  <w:pPr>
                    <w:autoSpaceDE w:val="0"/>
                    <w:autoSpaceDN w:val="0"/>
                    <w:spacing w:line="160" w:lineRule="exact"/>
                    <w:rPr>
                      <w:rFonts w:cs="Miriam"/>
                      <w:sz w:val="22"/>
                      <w:szCs w:val="18"/>
                      <w:rtl/>
                    </w:rPr>
                  </w:pPr>
                  <w:r>
                    <w:rPr>
                      <w:rFonts w:cs="Miriam"/>
                      <w:sz w:val="22"/>
                      <w:szCs w:val="18"/>
                      <w:rtl/>
                    </w:rPr>
                    <w:t>שמיר</w:t>
                  </w:r>
                  <w:r>
                    <w:rPr>
                      <w:rFonts w:cs="Miriam" w:hint="cs"/>
                      <w:sz w:val="22"/>
                      <w:szCs w:val="18"/>
                      <w:rtl/>
                    </w:rPr>
                    <w:t>ת דינים ותיאום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הוראות חוק זה כדי לגרוע מסמכות המועצה לקולנוע לפי חוק הקולנוע, התשנ"ט-1999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מסמ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ות מועצת </w:t>
      </w:r>
      <w:r>
        <w:rPr>
          <w:rStyle w:val="default"/>
          <w:rFonts w:cs="FrankRuehl"/>
          <w:rtl/>
        </w:rPr>
        <w:t>המוז</w:t>
      </w:r>
      <w:r>
        <w:rPr>
          <w:rStyle w:val="default"/>
          <w:rFonts w:cs="FrankRuehl" w:hint="cs"/>
          <w:rtl/>
        </w:rPr>
        <w:t>יאונים לפי חוק המוזיאו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התשמ"ג-1983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ומס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כות המועצה לספריות ציבוריות לפ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חוק הספריות הציבוריות, התשל"ה-1975</w:t>
      </w:r>
      <w:r>
        <w:rPr>
          <w:rStyle w:val="default"/>
          <w:rFonts w:cs="FrankRuehl"/>
          <w:rtl/>
        </w:rPr>
        <w:t xml:space="preserve">; </w:t>
      </w:r>
      <w:r>
        <w:rPr>
          <w:rStyle w:val="default"/>
          <w:rFonts w:cs="FrankRuehl" w:hint="cs"/>
          <w:rtl/>
        </w:rPr>
        <w:t>בפע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לותיה של המועצה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חוק זה בענינים הנוגעים לסמכות המועצות האמורות תפעל המועצה בתיאום עמן.</w:t>
      </w:r>
    </w:p>
    <w:p w14:paraId="699F6C58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rFonts w:cs="Miriam"/>
          <w:sz w:val="32"/>
          <w:szCs w:val="32"/>
          <w:lang w:val="he-IL"/>
        </w:rPr>
        <w:pict w14:anchorId="635671C3">
          <v:shape id="_x0000_s1041" type="#_x0000_t202" style="position:absolute;left:0;text-align:left;margin-left:474pt;margin-top:3.25pt;width:1in;height:18pt;z-index:251663872" filled="f" stroked="f">
            <v:textbox>
              <w:txbxContent>
                <w:p w14:paraId="0E1B6B73" w14:textId="77777777" w:rsidR="00A209BA" w:rsidRDefault="00A209BA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תחיל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של חוק זה בתום של</w:t>
      </w:r>
      <w:r>
        <w:rPr>
          <w:rStyle w:val="default"/>
          <w:rFonts w:cs="FrankRuehl"/>
          <w:rtl/>
        </w:rPr>
        <w:t xml:space="preserve">ושה </w:t>
      </w:r>
      <w:r>
        <w:rPr>
          <w:rStyle w:val="default"/>
          <w:rFonts w:cs="FrankRuehl" w:hint="cs"/>
          <w:rtl/>
        </w:rPr>
        <w:t>חודשים מיום פרסומו.</w:t>
      </w:r>
    </w:p>
    <w:p w14:paraId="240C510D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8E147A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70B43AFF" w14:textId="77777777" w:rsidR="00A209BA" w:rsidRDefault="00A209B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 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</w:t>
      </w:r>
      <w:r>
        <w:rPr>
          <w:rStyle w:val="default"/>
          <w:rFonts w:cs="FrankRuehl"/>
          <w:rtl/>
        </w:rPr>
        <w:t xml:space="preserve">אל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ון</w:t>
      </w:r>
      <w:r>
        <w:rPr>
          <w:rStyle w:val="default"/>
          <w:rFonts w:cs="FrankRuehl"/>
          <w:rtl/>
        </w:rPr>
        <w:t> </w:t>
      </w:r>
      <w:r>
        <w:rPr>
          <w:rStyle w:val="default"/>
          <w:rFonts w:cs="FrankRuehl"/>
          <w:rtl/>
        </w:rPr>
        <w:tab/>
        <w:t> 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 xml:space="preserve"> שרון</w:t>
      </w:r>
      <w:r>
        <w:rPr>
          <w:rStyle w:val="default"/>
          <w:rFonts w:cs="FrankRuehl"/>
          <w:rtl/>
        </w:rPr>
        <w:t> </w:t>
      </w:r>
    </w:p>
    <w:p w14:paraId="4D484F0F" w14:textId="77777777" w:rsidR="00A209BA" w:rsidRDefault="00A209BA" w:rsidP="00D455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 </w:t>
      </w:r>
      <w:r>
        <w:rPr>
          <w:rStyle w:val="default"/>
          <w:rFonts w:cs="FrankRuehl"/>
          <w:sz w:val="22"/>
          <w:szCs w:val="22"/>
          <w:rtl/>
        </w:rPr>
        <w:tab/>
        <w:t>ר</w:t>
      </w:r>
      <w:r>
        <w:rPr>
          <w:rStyle w:val="default"/>
          <w:rFonts w:cs="FrankRuehl" w:hint="cs"/>
          <w:sz w:val="22"/>
          <w:szCs w:val="22"/>
          <w:rtl/>
        </w:rPr>
        <w:t>אש</w:t>
      </w:r>
      <w:r>
        <w:rPr>
          <w:rStyle w:val="default"/>
          <w:rFonts w:cs="FrankRuehl"/>
          <w:sz w:val="22"/>
          <w:szCs w:val="22"/>
          <w:rtl/>
        </w:rPr>
        <w:t xml:space="preserve"> ה</w:t>
      </w:r>
      <w:r>
        <w:rPr>
          <w:rStyle w:val="default"/>
          <w:rFonts w:cs="FrankRuehl" w:hint="cs"/>
          <w:sz w:val="22"/>
          <w:szCs w:val="22"/>
          <w:rtl/>
        </w:rPr>
        <w:t>ממשלה</w:t>
      </w:r>
      <w:r>
        <w:rPr>
          <w:rStyle w:val="default"/>
          <w:rFonts w:cs="FrankRuehl"/>
          <w:sz w:val="22"/>
          <w:szCs w:val="22"/>
          <w:rtl/>
        </w:rPr>
        <w:t> </w:t>
      </w:r>
      <w:r>
        <w:rPr>
          <w:rStyle w:val="default"/>
          <w:rFonts w:cs="FrankRuehl"/>
          <w:sz w:val="22"/>
          <w:szCs w:val="22"/>
          <w:rtl/>
        </w:rPr>
        <w:tab/>
        <w:t> </w:t>
      </w:r>
      <w:r>
        <w:rPr>
          <w:rStyle w:val="default"/>
          <w:rFonts w:cs="FrankRuehl"/>
          <w:sz w:val="22"/>
          <w:szCs w:val="22"/>
          <w:rtl/>
        </w:rPr>
        <w:tab/>
        <w:t>ש</w:t>
      </w:r>
      <w:r>
        <w:rPr>
          <w:rStyle w:val="default"/>
          <w:rFonts w:cs="FrankRuehl" w:hint="cs"/>
          <w:sz w:val="22"/>
          <w:szCs w:val="22"/>
          <w:rtl/>
        </w:rPr>
        <w:t xml:space="preserve">ר </w:t>
      </w:r>
      <w:r>
        <w:rPr>
          <w:rStyle w:val="default"/>
          <w:rFonts w:cs="FrankRuehl"/>
          <w:sz w:val="22"/>
          <w:szCs w:val="22"/>
          <w:rtl/>
        </w:rPr>
        <w:t>המ</w:t>
      </w:r>
      <w:r>
        <w:rPr>
          <w:rStyle w:val="default"/>
          <w:rFonts w:cs="FrankRuehl" w:hint="cs"/>
          <w:sz w:val="22"/>
          <w:szCs w:val="22"/>
          <w:rtl/>
        </w:rPr>
        <w:t xml:space="preserve">דע התרבות </w:t>
      </w:r>
      <w:r>
        <w:rPr>
          <w:rStyle w:val="default"/>
          <w:rFonts w:cs="FrankRuehl"/>
          <w:sz w:val="22"/>
          <w:szCs w:val="22"/>
          <w:rtl/>
        </w:rPr>
        <w:t>וה</w:t>
      </w:r>
      <w:r>
        <w:rPr>
          <w:rStyle w:val="default"/>
          <w:rFonts w:cs="FrankRuehl" w:hint="cs"/>
          <w:sz w:val="22"/>
          <w:szCs w:val="22"/>
          <w:rtl/>
        </w:rPr>
        <w:t>ספורט</w:t>
      </w:r>
      <w:r>
        <w:rPr>
          <w:rStyle w:val="default"/>
          <w:rFonts w:cs="FrankRuehl"/>
          <w:sz w:val="22"/>
          <w:szCs w:val="22"/>
          <w:rtl/>
        </w:rPr>
        <w:t> </w:t>
      </w:r>
    </w:p>
    <w:p w14:paraId="6A0DC731" w14:textId="77777777" w:rsidR="00A209BA" w:rsidRDefault="00A209B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שה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צב</w:t>
      </w:r>
      <w:r>
        <w:rPr>
          <w:rStyle w:val="default"/>
          <w:rFonts w:cs="FrankRuehl"/>
          <w:rtl/>
        </w:rPr>
        <w:t> </w:t>
      </w:r>
      <w:r>
        <w:rPr>
          <w:rStyle w:val="default"/>
          <w:rFonts w:cs="FrankRuehl"/>
          <w:rtl/>
        </w:rPr>
        <w:tab/>
        <w:t> 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בר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בורג</w:t>
      </w:r>
      <w:r>
        <w:rPr>
          <w:rStyle w:val="default"/>
          <w:rFonts w:cs="FrankRuehl"/>
          <w:rtl/>
        </w:rPr>
        <w:t> </w:t>
      </w:r>
      <w:r>
        <w:rPr>
          <w:rStyle w:val="default"/>
          <w:rFonts w:cs="FrankRuehl"/>
          <w:rtl/>
        </w:rPr>
        <w:tab/>
        <w:t>  </w:t>
      </w:r>
    </w:p>
    <w:p w14:paraId="2D9F8D5A" w14:textId="77777777" w:rsidR="00A209BA" w:rsidRDefault="00A209BA" w:rsidP="00D455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נ</w:t>
      </w:r>
      <w:r>
        <w:rPr>
          <w:rStyle w:val="default"/>
          <w:rFonts w:cs="FrankRuehl" w:hint="cs"/>
          <w:sz w:val="22"/>
          <w:szCs w:val="22"/>
          <w:rtl/>
        </w:rPr>
        <w:t>שי</w:t>
      </w:r>
      <w:r>
        <w:rPr>
          <w:rStyle w:val="default"/>
          <w:rFonts w:cs="FrankRuehl"/>
          <w:sz w:val="22"/>
          <w:szCs w:val="22"/>
          <w:rtl/>
        </w:rPr>
        <w:t xml:space="preserve">א </w:t>
      </w:r>
      <w:r>
        <w:rPr>
          <w:rStyle w:val="default"/>
          <w:rFonts w:cs="FrankRuehl" w:hint="cs"/>
          <w:sz w:val="22"/>
          <w:szCs w:val="22"/>
          <w:rtl/>
        </w:rPr>
        <w:t>המדינה</w:t>
      </w:r>
      <w:r>
        <w:rPr>
          <w:rStyle w:val="default"/>
          <w:rFonts w:cs="FrankRuehl"/>
          <w:sz w:val="22"/>
          <w:szCs w:val="22"/>
          <w:rtl/>
        </w:rPr>
        <w:t> </w:t>
      </w:r>
      <w:r>
        <w:rPr>
          <w:rStyle w:val="default"/>
          <w:rFonts w:cs="FrankRuehl"/>
          <w:sz w:val="22"/>
          <w:szCs w:val="22"/>
          <w:rtl/>
        </w:rPr>
        <w:tab/>
        <w:t> </w:t>
      </w:r>
      <w:r>
        <w:rPr>
          <w:rStyle w:val="default"/>
          <w:rFonts w:cs="FrankRuehl"/>
          <w:sz w:val="22"/>
          <w:szCs w:val="22"/>
          <w:rtl/>
        </w:rPr>
        <w:tab/>
        <w:t>י</w:t>
      </w:r>
      <w:r>
        <w:rPr>
          <w:rStyle w:val="default"/>
          <w:rFonts w:cs="FrankRuehl" w:hint="cs"/>
          <w:sz w:val="22"/>
          <w:szCs w:val="22"/>
          <w:rtl/>
        </w:rPr>
        <w:t>וש</w:t>
      </w:r>
      <w:r>
        <w:rPr>
          <w:rStyle w:val="default"/>
          <w:rFonts w:cs="FrankRuehl"/>
          <w:sz w:val="22"/>
          <w:szCs w:val="22"/>
          <w:rtl/>
        </w:rPr>
        <w:t xml:space="preserve">ב </w:t>
      </w:r>
      <w:r>
        <w:rPr>
          <w:rStyle w:val="default"/>
          <w:rFonts w:cs="FrankRuehl" w:hint="cs"/>
          <w:sz w:val="22"/>
          <w:szCs w:val="22"/>
          <w:rtl/>
        </w:rPr>
        <w:t>ראש הכנסת</w:t>
      </w:r>
      <w:r>
        <w:rPr>
          <w:rStyle w:val="default"/>
          <w:rFonts w:cs="FrankRuehl"/>
          <w:sz w:val="22"/>
          <w:szCs w:val="22"/>
          <w:rtl/>
        </w:rPr>
        <w:t>   </w:t>
      </w:r>
    </w:p>
    <w:p w14:paraId="5CFE7469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C4BB42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50A806" w14:textId="77777777" w:rsidR="00A209BA" w:rsidRDefault="00A20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A209BA">
      <w:headerReference w:type="default" r:id="rId8"/>
      <w:footerReference w:type="default" r:id="rId9"/>
      <w:pgSz w:w="11906" w:h="16838"/>
      <w:pgMar w:top="1202" w:right="2268" w:bottom="403" w:left="567" w:header="709" w:footer="709" w:gutter="0"/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4F25" w14:textId="77777777" w:rsidR="003B7EBE" w:rsidRDefault="003B7EBE">
      <w:r>
        <w:separator/>
      </w:r>
    </w:p>
  </w:endnote>
  <w:endnote w:type="continuationSeparator" w:id="0">
    <w:p w14:paraId="59CA2325" w14:textId="77777777" w:rsidR="003B7EBE" w:rsidRDefault="003B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868B" w14:textId="77777777" w:rsidR="00A209BA" w:rsidRDefault="00A209BA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 w:hint="cs"/>
        <w:rtl/>
      </w:rPr>
      <w:instrText xml:space="preserve"> </w:instrText>
    </w:r>
    <w:r>
      <w:rPr>
        <w:rFonts w:hAnsi="FrankRuehl" w:cs="FrankRuehl" w:hint="cs"/>
      </w:rPr>
      <w:instrText xml:space="preserve">PAGE </w:instrText>
    </w:r>
    <w:r>
      <w:rPr>
        <w:rFonts w:hAnsi="FrankRuehl" w:cs="FrankRuehl" w:hint="cs"/>
        <w:rtl/>
      </w:rPr>
      <w:instrText xml:space="preserve"> </w:instrText>
    </w:r>
    <w:r>
      <w:rPr>
        <w:rFonts w:hAnsi="FrankRuehl" w:cs="FrankRuehl"/>
        <w:rtl/>
      </w:rPr>
      <w:instrText>\</w:instrText>
    </w:r>
    <w:r>
      <w:rPr>
        <w:rFonts w:hAnsi="FrankRuehl" w:cs="FrankRuehl" w:hint="cs"/>
        <w:rtl/>
      </w:rPr>
      <w:instrText xml:space="preserve">* </w:instrText>
    </w:r>
    <w:r>
      <w:rPr>
        <w:rFonts w:hAnsi="FrankRuehl" w:cs="FrankRuehl" w:hint="cs"/>
      </w:rPr>
      <w:instrText>MERGEFORMAT</w:instrText>
    </w:r>
    <w:r>
      <w:rPr>
        <w:rFonts w:hAnsi="FrankRuehl" w:cs="FrankRuehl" w:hint="cs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4555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3627555E" w14:textId="77777777" w:rsidR="00A209BA" w:rsidRDefault="00A209BA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14:paraId="1E02CCF2" w14:textId="77777777" w:rsidR="00A209BA" w:rsidRDefault="00A209BA">
    <w:pPr>
      <w:pStyle w:val="a4"/>
      <w:pBdr>
        <w:top w:val="single" w:sz="4" w:space="1" w:color="auto"/>
        <w:between w:val="single" w:sz="4" w:space="0" w:color="auto"/>
      </w:pBdr>
      <w:ind w:right="1134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>
      <w:rPr>
        <w:rFonts w:ascii="TopType Jerushalmi" w:hAnsi="TopType Jerushalmi" w:cs="TopType Jerushalmi"/>
        <w:color w:val="000000"/>
        <w:sz w:val="14"/>
        <w:szCs w:val="14"/>
      </w:rPr>
      <w:t>Z:\00000000-law\yael\revadim\06-10-31\Yael\hakika\Revadim\999_003.doc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  <w:p w14:paraId="6C7D1290" w14:textId="77777777" w:rsidR="00A209BA" w:rsidRDefault="00A209BA">
    <w:pPr>
      <w:pStyle w:val="a4"/>
      <w:rPr>
        <w:sz w:val="14"/>
        <w:szCs w:val="1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309E" w14:textId="77777777" w:rsidR="003B7EBE" w:rsidRDefault="003B7EBE">
      <w:pPr>
        <w:spacing w:before="60"/>
        <w:ind w:right="1134"/>
      </w:pPr>
      <w:r>
        <w:separator/>
      </w:r>
    </w:p>
  </w:footnote>
  <w:footnote w:type="continuationSeparator" w:id="0">
    <w:p w14:paraId="059B5DC9" w14:textId="77777777" w:rsidR="003B7EBE" w:rsidRDefault="003B7EBE">
      <w:r>
        <w:separator/>
      </w:r>
    </w:p>
  </w:footnote>
  <w:footnote w:id="1">
    <w:p w14:paraId="32EC2A32" w14:textId="77777777" w:rsidR="00A209BA" w:rsidRDefault="00A209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פורס</w:t>
      </w:r>
      <w:r>
        <w:rPr>
          <w:rFonts w:cs="FrankRuehl" w:hint="cs"/>
          <w:rtl/>
        </w:rPr>
        <w:t xml:space="preserve">ם </w:t>
      </w:r>
      <w:hyperlink r:id="rId1" w:history="1">
        <w:r>
          <w:rPr>
            <w:rStyle w:val="Hyperlink"/>
            <w:rFonts w:cs="FrankRuehl" w:hint="cs"/>
            <w:rtl/>
          </w:rPr>
          <w:t>ס"ח תשס"ג מס' 1874</w:t>
        </w:r>
      </w:hyperlink>
      <w:r>
        <w:rPr>
          <w:rFonts w:cs="FrankRuehl" w:hint="cs"/>
          <w:rtl/>
        </w:rPr>
        <w:t xml:space="preserve"> מיום 20.11.2002 עמ</w:t>
      </w:r>
      <w:r>
        <w:rPr>
          <w:rFonts w:cs="FrankRuehl"/>
          <w:rtl/>
        </w:rPr>
        <w:t>' 64 (</w:t>
      </w:r>
      <w:hyperlink r:id="rId2" w:history="1">
        <w:r>
          <w:rPr>
            <w:rStyle w:val="Hyperlink"/>
            <w:rFonts w:cs="FrankRuehl" w:hint="cs"/>
            <w:rtl/>
          </w:rPr>
          <w:t>ה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תשס"ב מס' 3178</w:t>
        </w:r>
      </w:hyperlink>
      <w:r>
        <w:rPr>
          <w:rFonts w:cs="FrankRuehl" w:hint="cs"/>
          <w:rtl/>
        </w:rPr>
        <w:t xml:space="preserve"> עמ' 914).</w:t>
      </w:r>
    </w:p>
    <w:p w14:paraId="291B882C" w14:textId="77777777" w:rsidR="00A209BA" w:rsidRDefault="00A209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>
          <w:rPr>
            <w:rStyle w:val="Hyperlink"/>
            <w:rFonts w:cs="FrankRuehl" w:hint="cs"/>
            <w:rtl/>
          </w:rPr>
          <w:t>ס"ח תשס"ד מס' 1927</w:t>
        </w:r>
      </w:hyperlink>
      <w:r>
        <w:rPr>
          <w:rFonts w:cs="FrankRuehl" w:hint="cs"/>
          <w:rtl/>
        </w:rPr>
        <w:t xml:space="preserve"> מיום 22.2.2004 עמ' 304 (</w:t>
      </w:r>
      <w:hyperlink r:id="rId4" w:history="1">
        <w:r>
          <w:rPr>
            <w:rStyle w:val="Hyperlink"/>
            <w:rFonts w:cs="FrankRuehl" w:hint="cs"/>
            <w:rtl/>
          </w:rPr>
          <w:t>ה"ח הממשלה תשס"ד מס' 85</w:t>
        </w:r>
      </w:hyperlink>
      <w:r>
        <w:rPr>
          <w:rFonts w:cs="FrankRuehl" w:hint="cs"/>
          <w:rtl/>
        </w:rPr>
        <w:t xml:space="preserve"> עמ' 352)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תשס"ד-2004.</w:t>
      </w:r>
    </w:p>
  </w:footnote>
  <w:footnote w:id="2">
    <w:p w14:paraId="2043C8D1" w14:textId="77777777" w:rsidR="00A209BA" w:rsidRDefault="00A209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rtl/>
        </w:rPr>
        <w:t xml:space="preserve">ר' </w:t>
      </w:r>
      <w:hyperlink r:id="rId5" w:history="1">
        <w:r>
          <w:rPr>
            <w:rStyle w:val="Hyperlink"/>
            <w:rFonts w:cs="FrankRuehl" w:hint="cs"/>
            <w:rtl/>
          </w:rPr>
          <w:t>י"פ תשס"ו מס' 5500</w:t>
        </w:r>
      </w:hyperlink>
      <w:r>
        <w:rPr>
          <w:rFonts w:cs="FrankRuehl" w:hint="cs"/>
          <w:rtl/>
        </w:rPr>
        <w:t xml:space="preserve"> מיום 27.2.2006 עמ' 2056.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5F2B" w14:textId="77777777" w:rsidR="00A209BA" w:rsidRDefault="00A209BA">
    <w:pPr>
      <w:pStyle w:val="a3"/>
      <w:tabs>
        <w:tab w:val="clear" w:pos="4153"/>
        <w:tab w:val="clear" w:pos="8306"/>
        <w:tab w:val="right" w:pos="8220"/>
      </w:tabs>
      <w:spacing w:line="220" w:lineRule="exact"/>
      <w:ind w:right="1134"/>
      <w:jc w:val="center"/>
      <w:rPr>
        <w:rFonts w:hAnsi="David" w:cs="FrankRuehl"/>
        <w:color w:val="000000"/>
        <w:sz w:val="28"/>
        <w:szCs w:val="28"/>
        <w:rtl/>
      </w:rPr>
    </w:pPr>
    <w:r>
      <w:rPr>
        <w:rFonts w:hAnsi="David" w:cs="FrankRuehl" w:hint="cs"/>
        <w:color w:val="000000"/>
        <w:sz w:val="28"/>
        <w:szCs w:val="28"/>
        <w:rtl/>
      </w:rPr>
      <w:t>חוק התרבות והאמנות, התשס"ג-2002</w:t>
    </w:r>
  </w:p>
  <w:p w14:paraId="067CA015" w14:textId="77777777" w:rsidR="00A209BA" w:rsidRDefault="00A209BA">
    <w:pPr>
      <w:pStyle w:val="a3"/>
      <w:pBdr>
        <w:top w:val="single" w:sz="4" w:space="0" w:color="auto"/>
      </w:pBdr>
      <w:tabs>
        <w:tab w:val="clear" w:pos="4153"/>
        <w:tab w:val="clear" w:pos="8306"/>
        <w:tab w:val="right" w:pos="8220"/>
      </w:tabs>
      <w:spacing w:line="220" w:lineRule="exact"/>
      <w:ind w:right="1134"/>
      <w:jc w:val="center"/>
      <w:rPr>
        <w:rFonts w:hAnsi="David" w:cs="FrankRuehl"/>
        <w:color w:val="000000"/>
        <w:sz w:val="26"/>
        <w:szCs w:val="26"/>
        <w:rtl/>
      </w:rPr>
    </w:pPr>
    <w:r>
      <w:rPr>
        <w:rFonts w:hAnsi="David" w:cs="FrankRuehl" w:hint="cs"/>
        <w:color w:val="000000"/>
        <w:sz w:val="26"/>
        <w:szCs w:val="26"/>
        <w:rtl/>
      </w:rPr>
      <w:t>נוסח מלא ומעודכן</w:t>
    </w:r>
  </w:p>
  <w:p w14:paraId="76160697" w14:textId="77777777" w:rsidR="00A209BA" w:rsidRDefault="00A209BA">
    <w:pPr>
      <w:pStyle w:val="a3"/>
      <w:pBdr>
        <w:top w:val="single" w:sz="4" w:space="0" w:color="auto"/>
      </w:pBdr>
      <w:tabs>
        <w:tab w:val="clear" w:pos="4153"/>
        <w:tab w:val="clear" w:pos="8306"/>
        <w:tab w:val="right" w:pos="8220"/>
      </w:tabs>
      <w:spacing w:line="220" w:lineRule="exact"/>
      <w:ind w:right="1134"/>
      <w:jc w:val="center"/>
      <w:rPr>
        <w:rFonts w:hAnsi="David" w:cs="David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100B"/>
    <w:rsid w:val="003B7EBE"/>
    <w:rsid w:val="00734915"/>
    <w:rsid w:val="0094100B"/>
    <w:rsid w:val="00A209BA"/>
    <w:rsid w:val="00D4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76DF249C"/>
  <w15:chartTrackingRefBased/>
  <w15:docId w15:val="{ADF9E71B-96EE-4E6C-8B04-C80B6B02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rFonts w:ascii="Times New Roman" w:hAnsi="Times New Roman" w:cs="Times New Roman"/>
      <w:vertAlign w:val="superscript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7">
    <w:name w:val="Body Text"/>
    <w:basedOn w:val="a"/>
    <w:rPr>
      <w:sz w:val="18"/>
      <w:szCs w:val="18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8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927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927.pdf" TargetMode="External"/><Relationship Id="rId2" Type="http://schemas.openxmlformats.org/officeDocument/2006/relationships/hyperlink" Target="http://www.nevo.co.il/law_word/law17/PROP-3178.pdf" TargetMode="External"/><Relationship Id="rId1" Type="http://schemas.openxmlformats.org/officeDocument/2006/relationships/hyperlink" Target="http://www.nevo.co.il/law_word/law14/LAW-1874.pdf" TargetMode="External"/><Relationship Id="rId5" Type="http://schemas.openxmlformats.org/officeDocument/2006/relationships/hyperlink" Target="http://www.nevo.co.il/Law_word/law10/yalkut-5500.pdf" TargetMode="External"/><Relationship Id="rId4" Type="http://schemas.openxmlformats.org/officeDocument/2006/relationships/hyperlink" Target="http://www.nevo.co.il/Law_word/law15/MEMSHALA-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חוק התרבות והאמנות, התשס"ג-2002         </vt:lpstr>
    </vt:vector>
  </TitlesOfParts>
  <Company/>
  <LinksUpToDate>false</LinksUpToDate>
  <CharactersWithSpaces>7179</CharactersWithSpaces>
  <SharedDoc>false</SharedDoc>
  <HLinks>
    <vt:vector size="138" baseType="variant">
      <vt:variant>
        <vt:i4>2424913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http://www.nevo.co.il/law_word/law15/MEMSHALA-85.pdf</vt:lpwstr>
      </vt:variant>
      <vt:variant>
        <vt:lpwstr/>
      </vt:variant>
      <vt:variant>
        <vt:i4>8126471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http://www.nevo.co.il/law_word/law14/LAW-1927.pdf</vt:lpwstr>
      </vt:variant>
      <vt:variant>
        <vt:lpwstr/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http://www.nevo.co.il/Law_word/law10/yalkut-5500.pdf</vt:lpwstr>
      </vt:variant>
      <vt:variant>
        <vt:lpwstr/>
      </vt:variant>
      <vt:variant>
        <vt:i4>2424913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http://www.nevo.co.il/Law_word/law15/MEMSHALA-85.pdf</vt:lpwstr>
      </vt:variant>
      <vt:variant>
        <vt:lpwstr/>
      </vt:variant>
      <vt:variant>
        <vt:i4>8126471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http://www.nevo.co.il/law_word/law14/LAW-1927.pdf</vt:lpwstr>
      </vt:variant>
      <vt:variant>
        <vt:lpwstr/>
      </vt:variant>
      <vt:variant>
        <vt:i4>121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http://www.nevo.co.il/law_word/law17/PROP-3178.pdf</vt:lpwstr>
      </vt:variant>
      <vt:variant>
        <vt:lpwstr/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http://www.nevo.co.il/law_word/law14/LAW-1874.pdf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חוק התרבות והאמנות, התשס"ג-2002         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חוק התרבות והאמנות, התשס"ג-2002</vt:lpwstr>
  </property>
  <property fmtid="{D5CDD505-2E9C-101B-9397-08002B2CF9AE}" pid="3" name="CHNUMBER">
    <vt:lpwstr>999</vt:lpwstr>
  </property>
  <property fmtid="{D5CDD505-2E9C-101B-9397-08002B2CF9AE}" pid="4" name="TYPE">
    <vt:lpwstr>01</vt:lpwstr>
  </property>
  <property fmtid="{D5CDD505-2E9C-101B-9397-08002B2CF9AE}" pid="5" name="CHNAME">
    <vt:lpwstr>חינוך</vt:lpwstr>
  </property>
  <property fmtid="{D5CDD505-2E9C-101B-9397-08002B2CF9AE}" pid="6" name="LINKK1">
    <vt:lpwstr/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תרבות, פנאי ומועדים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</Properties>
</file>