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9210" w14:textId="77777777" w:rsidR="00B17558" w:rsidRDefault="00B17558">
      <w:pPr>
        <w:pStyle w:val="big-header"/>
        <w:ind w:left="0" w:right="1134"/>
        <w:rPr>
          <w:rFonts w:cs="FrankRuehl" w:hint="cs"/>
          <w:sz w:val="32"/>
          <w:rtl/>
        </w:rPr>
      </w:pPr>
      <w:r>
        <w:rPr>
          <w:rFonts w:cs="FrankRuehl"/>
          <w:sz w:val="32"/>
          <w:rtl/>
        </w:rPr>
        <w:t>חו</w:t>
      </w:r>
      <w:r>
        <w:rPr>
          <w:rFonts w:cs="FrankRuehl" w:hint="cs"/>
          <w:sz w:val="32"/>
          <w:rtl/>
        </w:rPr>
        <w:t>ק זאב ז'בוטינסקי (ציון זכרו ופועלו), תשס"ה-2005</w:t>
      </w:r>
    </w:p>
    <w:p w14:paraId="00006022" w14:textId="77777777" w:rsidR="00833035" w:rsidRPr="00833035" w:rsidRDefault="00833035" w:rsidP="00833035">
      <w:pPr>
        <w:spacing w:line="320" w:lineRule="auto"/>
        <w:jc w:val="left"/>
        <w:rPr>
          <w:rFonts w:cs="FrankRuehl"/>
          <w:szCs w:val="26"/>
          <w:rtl/>
        </w:rPr>
      </w:pPr>
    </w:p>
    <w:p w14:paraId="2974B69E" w14:textId="77777777" w:rsidR="00833035" w:rsidRDefault="00833035" w:rsidP="00833035">
      <w:pPr>
        <w:spacing w:line="320" w:lineRule="auto"/>
        <w:jc w:val="left"/>
        <w:rPr>
          <w:rtl/>
        </w:rPr>
      </w:pPr>
    </w:p>
    <w:p w14:paraId="7D8EA310" w14:textId="77777777" w:rsidR="00833035" w:rsidRDefault="00833035" w:rsidP="00833035">
      <w:pPr>
        <w:spacing w:line="320" w:lineRule="auto"/>
        <w:jc w:val="left"/>
        <w:rPr>
          <w:rFonts w:cs="FrankRuehl"/>
          <w:szCs w:val="26"/>
          <w:rtl/>
        </w:rPr>
      </w:pPr>
      <w:r w:rsidRPr="00833035">
        <w:rPr>
          <w:rFonts w:cs="Miriam"/>
          <w:szCs w:val="22"/>
          <w:rtl/>
        </w:rPr>
        <w:t>רשויות ומשפט מנהלי</w:t>
      </w:r>
      <w:r w:rsidRPr="00833035">
        <w:rPr>
          <w:rFonts w:cs="FrankRuehl"/>
          <w:szCs w:val="26"/>
          <w:rtl/>
        </w:rPr>
        <w:t xml:space="preserve"> – תרבות, פנאי ומועדים – הנצחה</w:t>
      </w:r>
    </w:p>
    <w:p w14:paraId="6412985E" w14:textId="77777777" w:rsidR="00833035" w:rsidRDefault="00833035" w:rsidP="00833035">
      <w:pPr>
        <w:spacing w:line="320" w:lineRule="auto"/>
        <w:jc w:val="left"/>
        <w:rPr>
          <w:rFonts w:cs="FrankRuehl"/>
          <w:szCs w:val="26"/>
          <w:rtl/>
        </w:rPr>
      </w:pPr>
      <w:r w:rsidRPr="00833035">
        <w:rPr>
          <w:rFonts w:cs="Miriam"/>
          <w:szCs w:val="22"/>
          <w:rtl/>
        </w:rPr>
        <w:t>רשויות ומשפט מנהלי</w:t>
      </w:r>
      <w:r w:rsidRPr="00833035">
        <w:rPr>
          <w:rFonts w:cs="FrankRuehl"/>
          <w:szCs w:val="26"/>
          <w:rtl/>
        </w:rPr>
        <w:t xml:space="preserve"> – תרבות, פנאי ומועדים – נכסי תרבות</w:t>
      </w:r>
    </w:p>
    <w:p w14:paraId="386C3C38" w14:textId="77777777" w:rsidR="00833035" w:rsidRPr="00833035" w:rsidRDefault="00833035" w:rsidP="00833035">
      <w:pPr>
        <w:spacing w:line="320" w:lineRule="auto"/>
        <w:jc w:val="left"/>
        <w:rPr>
          <w:rFonts w:cs="Miriam" w:hint="cs"/>
          <w:szCs w:val="22"/>
          <w:rtl/>
        </w:rPr>
      </w:pPr>
      <w:r w:rsidRPr="00833035">
        <w:rPr>
          <w:rFonts w:cs="Miriam"/>
          <w:szCs w:val="22"/>
          <w:rtl/>
        </w:rPr>
        <w:t>רשויות ומשפט מנהלי</w:t>
      </w:r>
      <w:r w:rsidRPr="00833035">
        <w:rPr>
          <w:rFonts w:cs="FrankRuehl"/>
          <w:szCs w:val="26"/>
          <w:rtl/>
        </w:rPr>
        <w:t xml:space="preserve"> – תרבות, פנאי ומועדים – מוסדות  – הנצחה</w:t>
      </w:r>
    </w:p>
    <w:p w14:paraId="2B4F03AA" w14:textId="77777777" w:rsidR="00833035" w:rsidRDefault="00833035">
      <w:pPr>
        <w:pStyle w:val="big-header"/>
        <w:ind w:left="0" w:right="1134"/>
        <w:rPr>
          <w:rStyle w:val="default"/>
          <w:rFonts w:cs="FrankRuehl" w:hint="cs"/>
          <w:rtl/>
        </w:rPr>
      </w:pPr>
    </w:p>
    <w:tbl>
      <w:tblPr>
        <w:bidiVisual/>
        <w:tblW w:w="8333" w:type="dxa"/>
        <w:tblLayout w:type="fixed"/>
        <w:tblLook w:val="0000" w:firstRow="0" w:lastRow="0" w:firstColumn="0" w:lastColumn="0" w:noHBand="0" w:noVBand="0"/>
      </w:tblPr>
      <w:tblGrid>
        <w:gridCol w:w="1247"/>
        <w:gridCol w:w="5669"/>
        <w:gridCol w:w="567"/>
        <w:gridCol w:w="850"/>
      </w:tblGrid>
      <w:tr w:rsidR="00B3011A" w:rsidRPr="00B3011A" w14:paraId="413429A8" w14:textId="77777777">
        <w:tblPrEx>
          <w:tblCellMar>
            <w:top w:w="0" w:type="dxa"/>
            <w:bottom w:w="0" w:type="dxa"/>
          </w:tblCellMar>
        </w:tblPrEx>
        <w:tc>
          <w:tcPr>
            <w:tcW w:w="1247" w:type="dxa"/>
          </w:tcPr>
          <w:p w14:paraId="114C6A00"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3B8B424A"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א': מטרות החוק ויישומן</w:t>
            </w:r>
          </w:p>
        </w:tc>
        <w:tc>
          <w:tcPr>
            <w:tcW w:w="567" w:type="dxa"/>
          </w:tcPr>
          <w:p w14:paraId="687AE4E0" w14:textId="77777777" w:rsidR="00B3011A" w:rsidRPr="00B3011A" w:rsidRDefault="00B3011A" w:rsidP="00B3011A">
            <w:pPr>
              <w:spacing w:line="240" w:lineRule="auto"/>
              <w:jc w:val="left"/>
              <w:rPr>
                <w:rStyle w:val="Hyperlink"/>
                <w:rFonts w:hint="cs"/>
                <w:rtl/>
              </w:rPr>
            </w:pPr>
            <w:hyperlink w:anchor="med0" w:tooltip="פרק א: מטרות החוק ויישומן" w:history="1">
              <w:r w:rsidRPr="00B3011A">
                <w:rPr>
                  <w:rStyle w:val="Hyperlink"/>
                </w:rPr>
                <w:t>Go</w:t>
              </w:r>
            </w:hyperlink>
          </w:p>
        </w:tc>
        <w:tc>
          <w:tcPr>
            <w:tcW w:w="850" w:type="dxa"/>
          </w:tcPr>
          <w:p w14:paraId="4DAB56F7"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792DD594" w14:textId="77777777">
        <w:tblPrEx>
          <w:tblCellMar>
            <w:top w:w="0" w:type="dxa"/>
            <w:bottom w:w="0" w:type="dxa"/>
          </w:tblCellMar>
        </w:tblPrEx>
        <w:tc>
          <w:tcPr>
            <w:tcW w:w="1247" w:type="dxa"/>
          </w:tcPr>
          <w:p w14:paraId="092EE967"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67BCBFF3"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מטרות</w:t>
            </w:r>
          </w:p>
        </w:tc>
        <w:tc>
          <w:tcPr>
            <w:tcW w:w="567" w:type="dxa"/>
          </w:tcPr>
          <w:p w14:paraId="4F1CBB92" w14:textId="77777777" w:rsidR="00B3011A" w:rsidRPr="00B3011A" w:rsidRDefault="00B3011A" w:rsidP="00B3011A">
            <w:pPr>
              <w:spacing w:line="240" w:lineRule="auto"/>
              <w:jc w:val="left"/>
              <w:rPr>
                <w:rStyle w:val="Hyperlink"/>
                <w:rFonts w:hint="cs"/>
                <w:rtl/>
              </w:rPr>
            </w:pPr>
            <w:hyperlink w:anchor="Seif16" w:tooltip="מטרות" w:history="1">
              <w:r w:rsidRPr="00B3011A">
                <w:rPr>
                  <w:rStyle w:val="Hyperlink"/>
                </w:rPr>
                <w:t>Go</w:t>
              </w:r>
            </w:hyperlink>
          </w:p>
        </w:tc>
        <w:tc>
          <w:tcPr>
            <w:tcW w:w="850" w:type="dxa"/>
          </w:tcPr>
          <w:p w14:paraId="1C54B844"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092646F9" w14:textId="77777777">
        <w:tblPrEx>
          <w:tblCellMar>
            <w:top w:w="0" w:type="dxa"/>
            <w:bottom w:w="0" w:type="dxa"/>
          </w:tblCellMar>
        </w:tblPrEx>
        <w:tc>
          <w:tcPr>
            <w:tcW w:w="1247" w:type="dxa"/>
          </w:tcPr>
          <w:p w14:paraId="6E67768A"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123B7C01"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יישום המטרות</w:t>
            </w:r>
          </w:p>
        </w:tc>
        <w:tc>
          <w:tcPr>
            <w:tcW w:w="567" w:type="dxa"/>
          </w:tcPr>
          <w:p w14:paraId="0F10ED2F" w14:textId="77777777" w:rsidR="00B3011A" w:rsidRPr="00B3011A" w:rsidRDefault="00B3011A" w:rsidP="00B3011A">
            <w:pPr>
              <w:spacing w:line="240" w:lineRule="auto"/>
              <w:jc w:val="left"/>
              <w:rPr>
                <w:rStyle w:val="Hyperlink"/>
                <w:rFonts w:hint="cs"/>
                <w:rtl/>
              </w:rPr>
            </w:pPr>
            <w:hyperlink w:anchor="Seif1" w:tooltip="יישום המטרות" w:history="1">
              <w:r w:rsidRPr="00B3011A">
                <w:rPr>
                  <w:rStyle w:val="Hyperlink"/>
                </w:rPr>
                <w:t>Go</w:t>
              </w:r>
            </w:hyperlink>
          </w:p>
        </w:tc>
        <w:tc>
          <w:tcPr>
            <w:tcW w:w="850" w:type="dxa"/>
          </w:tcPr>
          <w:p w14:paraId="1767EE1B"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63C09381" w14:textId="77777777">
        <w:tblPrEx>
          <w:tblCellMar>
            <w:top w:w="0" w:type="dxa"/>
            <w:bottom w:w="0" w:type="dxa"/>
          </w:tblCellMar>
        </w:tblPrEx>
        <w:tc>
          <w:tcPr>
            <w:tcW w:w="1247" w:type="dxa"/>
          </w:tcPr>
          <w:p w14:paraId="1C7D64AC"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118BE664"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ב': המועצה הציבורית</w:t>
            </w:r>
          </w:p>
        </w:tc>
        <w:tc>
          <w:tcPr>
            <w:tcW w:w="567" w:type="dxa"/>
          </w:tcPr>
          <w:p w14:paraId="3F123DE1" w14:textId="77777777" w:rsidR="00B3011A" w:rsidRPr="00B3011A" w:rsidRDefault="00B3011A" w:rsidP="00B3011A">
            <w:pPr>
              <w:spacing w:line="240" w:lineRule="auto"/>
              <w:jc w:val="left"/>
              <w:rPr>
                <w:rStyle w:val="Hyperlink"/>
                <w:rFonts w:hint="cs"/>
                <w:rtl/>
              </w:rPr>
            </w:pPr>
            <w:hyperlink w:anchor="med1" w:tooltip="פרק ב: המועצה הציבורית" w:history="1">
              <w:r w:rsidRPr="00B3011A">
                <w:rPr>
                  <w:rStyle w:val="Hyperlink"/>
                </w:rPr>
                <w:t>Go</w:t>
              </w:r>
            </w:hyperlink>
          </w:p>
        </w:tc>
        <w:tc>
          <w:tcPr>
            <w:tcW w:w="850" w:type="dxa"/>
          </w:tcPr>
          <w:p w14:paraId="39DCB961"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57945E19" w14:textId="77777777">
        <w:tblPrEx>
          <w:tblCellMar>
            <w:top w:w="0" w:type="dxa"/>
            <w:bottom w:w="0" w:type="dxa"/>
          </w:tblCellMar>
        </w:tblPrEx>
        <w:tc>
          <w:tcPr>
            <w:tcW w:w="1247" w:type="dxa"/>
          </w:tcPr>
          <w:p w14:paraId="6DE7B0D3"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6C777D3E"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מועצה ציבורית</w:t>
            </w:r>
          </w:p>
        </w:tc>
        <w:tc>
          <w:tcPr>
            <w:tcW w:w="567" w:type="dxa"/>
          </w:tcPr>
          <w:p w14:paraId="3F0CB79F" w14:textId="77777777" w:rsidR="00B3011A" w:rsidRPr="00B3011A" w:rsidRDefault="00B3011A" w:rsidP="00B3011A">
            <w:pPr>
              <w:spacing w:line="240" w:lineRule="auto"/>
              <w:jc w:val="left"/>
              <w:rPr>
                <w:rStyle w:val="Hyperlink"/>
                <w:rFonts w:hint="cs"/>
                <w:rtl/>
              </w:rPr>
            </w:pPr>
            <w:hyperlink w:anchor="Seif2" w:tooltip="מועצה ציבורית" w:history="1">
              <w:r w:rsidRPr="00B3011A">
                <w:rPr>
                  <w:rStyle w:val="Hyperlink"/>
                </w:rPr>
                <w:t>Go</w:t>
              </w:r>
            </w:hyperlink>
          </w:p>
        </w:tc>
        <w:tc>
          <w:tcPr>
            <w:tcW w:w="850" w:type="dxa"/>
          </w:tcPr>
          <w:p w14:paraId="65ED3197"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52B531D2" w14:textId="77777777">
        <w:tblPrEx>
          <w:tblCellMar>
            <w:top w:w="0" w:type="dxa"/>
            <w:bottom w:w="0" w:type="dxa"/>
          </w:tblCellMar>
        </w:tblPrEx>
        <w:tc>
          <w:tcPr>
            <w:tcW w:w="1247" w:type="dxa"/>
          </w:tcPr>
          <w:p w14:paraId="71EAC2AA"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563AEEF0"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תפקידי המועצה הציבורית</w:t>
            </w:r>
          </w:p>
        </w:tc>
        <w:tc>
          <w:tcPr>
            <w:tcW w:w="567" w:type="dxa"/>
          </w:tcPr>
          <w:p w14:paraId="2DED5EB5" w14:textId="77777777" w:rsidR="00B3011A" w:rsidRPr="00B3011A" w:rsidRDefault="00B3011A" w:rsidP="00B3011A">
            <w:pPr>
              <w:spacing w:line="240" w:lineRule="auto"/>
              <w:jc w:val="left"/>
              <w:rPr>
                <w:rStyle w:val="Hyperlink"/>
                <w:rFonts w:hint="cs"/>
                <w:rtl/>
              </w:rPr>
            </w:pPr>
            <w:hyperlink w:anchor="Seif3" w:tooltip="תפקידי המועצה הציבורית" w:history="1">
              <w:r w:rsidRPr="00B3011A">
                <w:rPr>
                  <w:rStyle w:val="Hyperlink"/>
                </w:rPr>
                <w:t>Go</w:t>
              </w:r>
            </w:hyperlink>
          </w:p>
        </w:tc>
        <w:tc>
          <w:tcPr>
            <w:tcW w:w="850" w:type="dxa"/>
          </w:tcPr>
          <w:p w14:paraId="0657005A"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3011A" w:rsidRPr="00B3011A" w14:paraId="212B9DAF" w14:textId="77777777">
        <w:tblPrEx>
          <w:tblCellMar>
            <w:top w:w="0" w:type="dxa"/>
            <w:bottom w:w="0" w:type="dxa"/>
          </w:tblCellMar>
        </w:tblPrEx>
        <w:tc>
          <w:tcPr>
            <w:tcW w:w="1247" w:type="dxa"/>
          </w:tcPr>
          <w:p w14:paraId="0C4516D1"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5188F504"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סדרי עבודת המועצה הציבורית</w:t>
            </w:r>
          </w:p>
        </w:tc>
        <w:tc>
          <w:tcPr>
            <w:tcW w:w="567" w:type="dxa"/>
          </w:tcPr>
          <w:p w14:paraId="0E2C70EC" w14:textId="77777777" w:rsidR="00B3011A" w:rsidRPr="00B3011A" w:rsidRDefault="00B3011A" w:rsidP="00B3011A">
            <w:pPr>
              <w:spacing w:line="240" w:lineRule="auto"/>
              <w:jc w:val="left"/>
              <w:rPr>
                <w:rStyle w:val="Hyperlink"/>
                <w:rFonts w:hint="cs"/>
                <w:rtl/>
              </w:rPr>
            </w:pPr>
            <w:hyperlink w:anchor="Seif4" w:tooltip="סדרי עבודת המועצה הציבורית" w:history="1">
              <w:r w:rsidRPr="00B3011A">
                <w:rPr>
                  <w:rStyle w:val="Hyperlink"/>
                </w:rPr>
                <w:t>Go</w:t>
              </w:r>
            </w:hyperlink>
          </w:p>
        </w:tc>
        <w:tc>
          <w:tcPr>
            <w:tcW w:w="850" w:type="dxa"/>
          </w:tcPr>
          <w:p w14:paraId="59F4D8BD"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011A" w:rsidRPr="00B3011A" w14:paraId="32377705" w14:textId="77777777">
        <w:tblPrEx>
          <w:tblCellMar>
            <w:top w:w="0" w:type="dxa"/>
            <w:bottom w:w="0" w:type="dxa"/>
          </w:tblCellMar>
        </w:tblPrEx>
        <w:tc>
          <w:tcPr>
            <w:tcW w:w="1247" w:type="dxa"/>
          </w:tcPr>
          <w:p w14:paraId="214CFFF1"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22039153"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הוצאות וגמול</w:t>
            </w:r>
          </w:p>
        </w:tc>
        <w:tc>
          <w:tcPr>
            <w:tcW w:w="567" w:type="dxa"/>
          </w:tcPr>
          <w:p w14:paraId="7DEAEFA5" w14:textId="77777777" w:rsidR="00B3011A" w:rsidRPr="00B3011A" w:rsidRDefault="00B3011A" w:rsidP="00B3011A">
            <w:pPr>
              <w:spacing w:line="240" w:lineRule="auto"/>
              <w:jc w:val="left"/>
              <w:rPr>
                <w:rStyle w:val="Hyperlink"/>
                <w:rFonts w:hint="cs"/>
                <w:rtl/>
              </w:rPr>
            </w:pPr>
            <w:hyperlink w:anchor="Seif5" w:tooltip="הוצאות וגמול" w:history="1">
              <w:r w:rsidRPr="00B3011A">
                <w:rPr>
                  <w:rStyle w:val="Hyperlink"/>
                </w:rPr>
                <w:t>Go</w:t>
              </w:r>
            </w:hyperlink>
          </w:p>
        </w:tc>
        <w:tc>
          <w:tcPr>
            <w:tcW w:w="850" w:type="dxa"/>
          </w:tcPr>
          <w:p w14:paraId="38F88C9F"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011A" w:rsidRPr="00B3011A" w14:paraId="216E9FC8" w14:textId="77777777">
        <w:tblPrEx>
          <w:tblCellMar>
            <w:top w:w="0" w:type="dxa"/>
            <w:bottom w:w="0" w:type="dxa"/>
          </w:tblCellMar>
        </w:tblPrEx>
        <w:tc>
          <w:tcPr>
            <w:tcW w:w="1247" w:type="dxa"/>
          </w:tcPr>
          <w:p w14:paraId="14DDCAB1"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1BB5B3E8"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תקופת כהונה, פקיעת כהונה והעברה מכהונה</w:t>
            </w:r>
          </w:p>
        </w:tc>
        <w:tc>
          <w:tcPr>
            <w:tcW w:w="567" w:type="dxa"/>
          </w:tcPr>
          <w:p w14:paraId="24C38953" w14:textId="77777777" w:rsidR="00B3011A" w:rsidRPr="00B3011A" w:rsidRDefault="00B3011A" w:rsidP="00B3011A">
            <w:pPr>
              <w:spacing w:line="240" w:lineRule="auto"/>
              <w:jc w:val="left"/>
              <w:rPr>
                <w:rStyle w:val="Hyperlink"/>
                <w:rFonts w:hint="cs"/>
                <w:rtl/>
              </w:rPr>
            </w:pPr>
            <w:hyperlink w:anchor="Seif6" w:tooltip="תקופת כהונה, פקיעת כהונה והעברה מכהונה" w:history="1">
              <w:r w:rsidRPr="00B3011A">
                <w:rPr>
                  <w:rStyle w:val="Hyperlink"/>
                </w:rPr>
                <w:t>Go</w:t>
              </w:r>
            </w:hyperlink>
          </w:p>
        </w:tc>
        <w:tc>
          <w:tcPr>
            <w:tcW w:w="850" w:type="dxa"/>
          </w:tcPr>
          <w:p w14:paraId="7C77F7E9"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011A" w:rsidRPr="00B3011A" w14:paraId="09FB5E38" w14:textId="77777777">
        <w:tblPrEx>
          <w:tblCellMar>
            <w:top w:w="0" w:type="dxa"/>
            <w:bottom w:w="0" w:type="dxa"/>
          </w:tblCellMar>
        </w:tblPrEx>
        <w:tc>
          <w:tcPr>
            <w:tcW w:w="1247" w:type="dxa"/>
          </w:tcPr>
          <w:p w14:paraId="2BF47221"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5BCB37D9"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ניגוד ענינים</w:t>
            </w:r>
          </w:p>
        </w:tc>
        <w:tc>
          <w:tcPr>
            <w:tcW w:w="567" w:type="dxa"/>
          </w:tcPr>
          <w:p w14:paraId="1E2A7433" w14:textId="77777777" w:rsidR="00B3011A" w:rsidRPr="00B3011A" w:rsidRDefault="00B3011A" w:rsidP="00B3011A">
            <w:pPr>
              <w:spacing w:line="240" w:lineRule="auto"/>
              <w:jc w:val="left"/>
              <w:rPr>
                <w:rStyle w:val="Hyperlink"/>
                <w:rFonts w:hint="cs"/>
                <w:rtl/>
              </w:rPr>
            </w:pPr>
            <w:hyperlink w:anchor="Seif7" w:tooltip="ניגוד ענינים" w:history="1">
              <w:r w:rsidRPr="00B3011A">
                <w:rPr>
                  <w:rStyle w:val="Hyperlink"/>
                </w:rPr>
                <w:t>Go</w:t>
              </w:r>
            </w:hyperlink>
          </w:p>
        </w:tc>
        <w:tc>
          <w:tcPr>
            <w:tcW w:w="850" w:type="dxa"/>
          </w:tcPr>
          <w:p w14:paraId="5DB87F60"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B3011A" w:rsidRPr="00B3011A" w14:paraId="12C2BB4C" w14:textId="77777777">
        <w:tblPrEx>
          <w:tblCellMar>
            <w:top w:w="0" w:type="dxa"/>
            <w:bottom w:w="0" w:type="dxa"/>
          </w:tblCellMar>
        </w:tblPrEx>
        <w:tc>
          <w:tcPr>
            <w:tcW w:w="1247" w:type="dxa"/>
          </w:tcPr>
          <w:p w14:paraId="0B5A43BE"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20E588BF"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תוקף פעולות</w:t>
            </w:r>
          </w:p>
        </w:tc>
        <w:tc>
          <w:tcPr>
            <w:tcW w:w="567" w:type="dxa"/>
          </w:tcPr>
          <w:p w14:paraId="20BBCE1F" w14:textId="77777777" w:rsidR="00B3011A" w:rsidRPr="00B3011A" w:rsidRDefault="00B3011A" w:rsidP="00B3011A">
            <w:pPr>
              <w:spacing w:line="240" w:lineRule="auto"/>
              <w:jc w:val="left"/>
              <w:rPr>
                <w:rStyle w:val="Hyperlink"/>
                <w:rFonts w:hint="cs"/>
                <w:rtl/>
              </w:rPr>
            </w:pPr>
            <w:hyperlink w:anchor="Seif8" w:tooltip="תוקף פעולות" w:history="1">
              <w:r w:rsidRPr="00B3011A">
                <w:rPr>
                  <w:rStyle w:val="Hyperlink"/>
                </w:rPr>
                <w:t>Go</w:t>
              </w:r>
            </w:hyperlink>
          </w:p>
        </w:tc>
        <w:tc>
          <w:tcPr>
            <w:tcW w:w="850" w:type="dxa"/>
          </w:tcPr>
          <w:p w14:paraId="5FDF40B8"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263D4DC6" w14:textId="77777777">
        <w:tblPrEx>
          <w:tblCellMar>
            <w:top w:w="0" w:type="dxa"/>
            <w:bottom w:w="0" w:type="dxa"/>
          </w:tblCellMar>
        </w:tblPrEx>
        <w:tc>
          <w:tcPr>
            <w:tcW w:w="1247" w:type="dxa"/>
          </w:tcPr>
          <w:p w14:paraId="53980E07"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0B5EFDF6"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ג': יום זאב ז'בוטינסקי</w:t>
            </w:r>
          </w:p>
        </w:tc>
        <w:tc>
          <w:tcPr>
            <w:tcW w:w="567" w:type="dxa"/>
          </w:tcPr>
          <w:p w14:paraId="56416A8E" w14:textId="77777777" w:rsidR="00B3011A" w:rsidRPr="00B3011A" w:rsidRDefault="00B3011A" w:rsidP="00B3011A">
            <w:pPr>
              <w:spacing w:line="240" w:lineRule="auto"/>
              <w:jc w:val="left"/>
              <w:rPr>
                <w:rStyle w:val="Hyperlink"/>
                <w:rFonts w:hint="cs"/>
                <w:rtl/>
              </w:rPr>
            </w:pPr>
            <w:hyperlink w:anchor="med2" w:tooltip="פרק ג: יום זאב זבוטינסקי" w:history="1">
              <w:r w:rsidRPr="00B3011A">
                <w:rPr>
                  <w:rStyle w:val="Hyperlink"/>
                </w:rPr>
                <w:t>Go</w:t>
              </w:r>
            </w:hyperlink>
          </w:p>
        </w:tc>
        <w:tc>
          <w:tcPr>
            <w:tcW w:w="850" w:type="dxa"/>
          </w:tcPr>
          <w:p w14:paraId="26A1BF86"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556B1ED0" w14:textId="77777777">
        <w:tblPrEx>
          <w:tblCellMar>
            <w:top w:w="0" w:type="dxa"/>
            <w:bottom w:w="0" w:type="dxa"/>
          </w:tblCellMar>
        </w:tblPrEx>
        <w:tc>
          <w:tcPr>
            <w:tcW w:w="1247" w:type="dxa"/>
          </w:tcPr>
          <w:p w14:paraId="18DD7375"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14:paraId="02A310C5"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יום זאב ז'בוטינסקי</w:t>
            </w:r>
          </w:p>
        </w:tc>
        <w:tc>
          <w:tcPr>
            <w:tcW w:w="567" w:type="dxa"/>
          </w:tcPr>
          <w:p w14:paraId="44C7110F" w14:textId="77777777" w:rsidR="00B3011A" w:rsidRPr="00B3011A" w:rsidRDefault="00B3011A" w:rsidP="00B3011A">
            <w:pPr>
              <w:spacing w:line="240" w:lineRule="auto"/>
              <w:jc w:val="left"/>
              <w:rPr>
                <w:rStyle w:val="Hyperlink"/>
                <w:rFonts w:hint="cs"/>
                <w:rtl/>
              </w:rPr>
            </w:pPr>
            <w:hyperlink w:anchor="Seif9" w:tooltip="יום זאב זבוטינסקי" w:history="1">
              <w:r w:rsidRPr="00B3011A">
                <w:rPr>
                  <w:rStyle w:val="Hyperlink"/>
                </w:rPr>
                <w:t>Go</w:t>
              </w:r>
            </w:hyperlink>
          </w:p>
        </w:tc>
        <w:tc>
          <w:tcPr>
            <w:tcW w:w="850" w:type="dxa"/>
          </w:tcPr>
          <w:p w14:paraId="23E64ED6"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64BDD35B" w14:textId="77777777">
        <w:tblPrEx>
          <w:tblCellMar>
            <w:top w:w="0" w:type="dxa"/>
            <w:bottom w:w="0" w:type="dxa"/>
          </w:tblCellMar>
        </w:tblPrEx>
        <w:tc>
          <w:tcPr>
            <w:tcW w:w="1247" w:type="dxa"/>
          </w:tcPr>
          <w:p w14:paraId="0989FED0"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14:paraId="0E011E99"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ציון במערכת החינוך</w:t>
            </w:r>
          </w:p>
        </w:tc>
        <w:tc>
          <w:tcPr>
            <w:tcW w:w="567" w:type="dxa"/>
          </w:tcPr>
          <w:p w14:paraId="5BFF8D6D" w14:textId="77777777" w:rsidR="00B3011A" w:rsidRPr="00B3011A" w:rsidRDefault="00B3011A" w:rsidP="00B3011A">
            <w:pPr>
              <w:spacing w:line="240" w:lineRule="auto"/>
              <w:jc w:val="left"/>
              <w:rPr>
                <w:rStyle w:val="Hyperlink"/>
                <w:rFonts w:hint="cs"/>
                <w:rtl/>
              </w:rPr>
            </w:pPr>
            <w:hyperlink w:anchor="Seif17" w:tooltip="ציון במערכת החינוך" w:history="1">
              <w:r w:rsidRPr="00B3011A">
                <w:rPr>
                  <w:rStyle w:val="Hyperlink"/>
                </w:rPr>
                <w:t>Go</w:t>
              </w:r>
            </w:hyperlink>
          </w:p>
        </w:tc>
        <w:tc>
          <w:tcPr>
            <w:tcW w:w="850" w:type="dxa"/>
          </w:tcPr>
          <w:p w14:paraId="75E17120"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2889FBD7" w14:textId="77777777">
        <w:tblPrEx>
          <w:tblCellMar>
            <w:top w:w="0" w:type="dxa"/>
            <w:bottom w:w="0" w:type="dxa"/>
          </w:tblCellMar>
        </w:tblPrEx>
        <w:tc>
          <w:tcPr>
            <w:tcW w:w="1247" w:type="dxa"/>
          </w:tcPr>
          <w:p w14:paraId="61623847"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1015DD0E"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ד': פעולות חינוכיות-ערכיות ומלגות</w:t>
            </w:r>
          </w:p>
        </w:tc>
        <w:tc>
          <w:tcPr>
            <w:tcW w:w="567" w:type="dxa"/>
          </w:tcPr>
          <w:p w14:paraId="31CE0CB9" w14:textId="77777777" w:rsidR="00B3011A" w:rsidRPr="00B3011A" w:rsidRDefault="00B3011A" w:rsidP="00B3011A">
            <w:pPr>
              <w:spacing w:line="240" w:lineRule="auto"/>
              <w:jc w:val="left"/>
              <w:rPr>
                <w:rStyle w:val="Hyperlink"/>
                <w:rFonts w:hint="cs"/>
                <w:rtl/>
              </w:rPr>
            </w:pPr>
            <w:hyperlink w:anchor="med3" w:tooltip="פרק ד: פעולות חינוכיות-ערכיות ומלגות" w:history="1">
              <w:r w:rsidRPr="00B3011A">
                <w:rPr>
                  <w:rStyle w:val="Hyperlink"/>
                </w:rPr>
                <w:t>Go</w:t>
              </w:r>
            </w:hyperlink>
          </w:p>
        </w:tc>
        <w:tc>
          <w:tcPr>
            <w:tcW w:w="850" w:type="dxa"/>
          </w:tcPr>
          <w:p w14:paraId="48CAD63F"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4745AD4B" w14:textId="77777777">
        <w:tblPrEx>
          <w:tblCellMar>
            <w:top w:w="0" w:type="dxa"/>
            <w:bottom w:w="0" w:type="dxa"/>
          </w:tblCellMar>
        </w:tblPrEx>
        <w:tc>
          <w:tcPr>
            <w:tcW w:w="1247" w:type="dxa"/>
          </w:tcPr>
          <w:p w14:paraId="508F2F7C"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14:paraId="201D93B9"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פעולות חינוכיות ערכיות</w:t>
            </w:r>
          </w:p>
        </w:tc>
        <w:tc>
          <w:tcPr>
            <w:tcW w:w="567" w:type="dxa"/>
          </w:tcPr>
          <w:p w14:paraId="29B8D45C" w14:textId="77777777" w:rsidR="00B3011A" w:rsidRPr="00B3011A" w:rsidRDefault="00B3011A" w:rsidP="00B3011A">
            <w:pPr>
              <w:spacing w:line="240" w:lineRule="auto"/>
              <w:jc w:val="left"/>
              <w:rPr>
                <w:rStyle w:val="Hyperlink"/>
                <w:rFonts w:hint="cs"/>
                <w:rtl/>
              </w:rPr>
            </w:pPr>
            <w:hyperlink w:anchor="Seif10" w:tooltip="פעולות חינוכיות ערכיות" w:history="1">
              <w:r w:rsidRPr="00B3011A">
                <w:rPr>
                  <w:rStyle w:val="Hyperlink"/>
                </w:rPr>
                <w:t>Go</w:t>
              </w:r>
            </w:hyperlink>
          </w:p>
        </w:tc>
        <w:tc>
          <w:tcPr>
            <w:tcW w:w="850" w:type="dxa"/>
          </w:tcPr>
          <w:p w14:paraId="32B79115"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517C7FF0" w14:textId="77777777">
        <w:tblPrEx>
          <w:tblCellMar>
            <w:top w:w="0" w:type="dxa"/>
            <w:bottom w:w="0" w:type="dxa"/>
          </w:tblCellMar>
        </w:tblPrEx>
        <w:tc>
          <w:tcPr>
            <w:tcW w:w="1247" w:type="dxa"/>
          </w:tcPr>
          <w:p w14:paraId="5715E7D8"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14:paraId="7E6C1BE3"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מלגות</w:t>
            </w:r>
          </w:p>
        </w:tc>
        <w:tc>
          <w:tcPr>
            <w:tcW w:w="567" w:type="dxa"/>
          </w:tcPr>
          <w:p w14:paraId="1476CC2D" w14:textId="77777777" w:rsidR="00B3011A" w:rsidRPr="00B3011A" w:rsidRDefault="00B3011A" w:rsidP="00B3011A">
            <w:pPr>
              <w:spacing w:line="240" w:lineRule="auto"/>
              <w:jc w:val="left"/>
              <w:rPr>
                <w:rStyle w:val="Hyperlink"/>
                <w:rFonts w:hint="cs"/>
                <w:rtl/>
              </w:rPr>
            </w:pPr>
            <w:hyperlink w:anchor="Seif11" w:tooltip="מלגות" w:history="1">
              <w:r w:rsidRPr="00B3011A">
                <w:rPr>
                  <w:rStyle w:val="Hyperlink"/>
                </w:rPr>
                <w:t>Go</w:t>
              </w:r>
            </w:hyperlink>
          </w:p>
        </w:tc>
        <w:tc>
          <w:tcPr>
            <w:tcW w:w="850" w:type="dxa"/>
          </w:tcPr>
          <w:p w14:paraId="2C83A5CD"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14768348" w14:textId="77777777">
        <w:tblPrEx>
          <w:tblCellMar>
            <w:top w:w="0" w:type="dxa"/>
            <w:bottom w:w="0" w:type="dxa"/>
          </w:tblCellMar>
        </w:tblPrEx>
        <w:tc>
          <w:tcPr>
            <w:tcW w:w="1247" w:type="dxa"/>
          </w:tcPr>
          <w:p w14:paraId="30450B8E"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63D9199B"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ה': תקציב ותמיכות</w:t>
            </w:r>
          </w:p>
        </w:tc>
        <w:tc>
          <w:tcPr>
            <w:tcW w:w="567" w:type="dxa"/>
          </w:tcPr>
          <w:p w14:paraId="1AB8330A" w14:textId="77777777" w:rsidR="00B3011A" w:rsidRPr="00B3011A" w:rsidRDefault="00B3011A" w:rsidP="00B3011A">
            <w:pPr>
              <w:spacing w:line="240" w:lineRule="auto"/>
              <w:jc w:val="left"/>
              <w:rPr>
                <w:rStyle w:val="Hyperlink"/>
                <w:rFonts w:hint="cs"/>
                <w:rtl/>
              </w:rPr>
            </w:pPr>
            <w:hyperlink w:anchor="med4" w:tooltip="פרק ה: תקציב ותמיכות" w:history="1">
              <w:r w:rsidRPr="00B3011A">
                <w:rPr>
                  <w:rStyle w:val="Hyperlink"/>
                </w:rPr>
                <w:t>Go</w:t>
              </w:r>
            </w:hyperlink>
          </w:p>
        </w:tc>
        <w:tc>
          <w:tcPr>
            <w:tcW w:w="850" w:type="dxa"/>
          </w:tcPr>
          <w:p w14:paraId="278AD768"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3CD37160" w14:textId="77777777">
        <w:tblPrEx>
          <w:tblCellMar>
            <w:top w:w="0" w:type="dxa"/>
            <w:bottom w:w="0" w:type="dxa"/>
          </w:tblCellMar>
        </w:tblPrEx>
        <w:tc>
          <w:tcPr>
            <w:tcW w:w="1247" w:type="dxa"/>
          </w:tcPr>
          <w:p w14:paraId="2197141C"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14:paraId="3BEB3D6E"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תקציב</w:t>
            </w:r>
          </w:p>
        </w:tc>
        <w:tc>
          <w:tcPr>
            <w:tcW w:w="567" w:type="dxa"/>
          </w:tcPr>
          <w:p w14:paraId="4AA074D6" w14:textId="77777777" w:rsidR="00B3011A" w:rsidRPr="00B3011A" w:rsidRDefault="00B3011A" w:rsidP="00B3011A">
            <w:pPr>
              <w:spacing w:line="240" w:lineRule="auto"/>
              <w:jc w:val="left"/>
              <w:rPr>
                <w:rStyle w:val="Hyperlink"/>
                <w:rFonts w:hint="cs"/>
                <w:rtl/>
              </w:rPr>
            </w:pPr>
            <w:hyperlink w:anchor="Seif12" w:tooltip="תקציב" w:history="1">
              <w:r w:rsidRPr="00B3011A">
                <w:rPr>
                  <w:rStyle w:val="Hyperlink"/>
                </w:rPr>
                <w:t>Go</w:t>
              </w:r>
            </w:hyperlink>
          </w:p>
        </w:tc>
        <w:tc>
          <w:tcPr>
            <w:tcW w:w="850" w:type="dxa"/>
          </w:tcPr>
          <w:p w14:paraId="08AF0159"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3C970073" w14:textId="77777777">
        <w:tblPrEx>
          <w:tblCellMar>
            <w:top w:w="0" w:type="dxa"/>
            <w:bottom w:w="0" w:type="dxa"/>
          </w:tblCellMar>
        </w:tblPrEx>
        <w:tc>
          <w:tcPr>
            <w:tcW w:w="1247" w:type="dxa"/>
          </w:tcPr>
          <w:p w14:paraId="16B132A4" w14:textId="77777777" w:rsidR="00B3011A" w:rsidRPr="00B3011A" w:rsidRDefault="00B3011A" w:rsidP="00B3011A">
            <w:pPr>
              <w:spacing w:line="240" w:lineRule="auto"/>
              <w:jc w:val="left"/>
              <w:rPr>
                <w:rStyle w:val="default"/>
                <w:rFonts w:cs="Frankruhel" w:hint="cs"/>
                <w:sz w:val="24"/>
                <w:szCs w:val="24"/>
                <w:rtl/>
              </w:rPr>
            </w:pPr>
          </w:p>
        </w:tc>
        <w:tc>
          <w:tcPr>
            <w:tcW w:w="5669" w:type="dxa"/>
          </w:tcPr>
          <w:p w14:paraId="26F06AFD"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פרק ו': שונות</w:t>
            </w:r>
          </w:p>
        </w:tc>
        <w:tc>
          <w:tcPr>
            <w:tcW w:w="567" w:type="dxa"/>
          </w:tcPr>
          <w:p w14:paraId="7045223B" w14:textId="77777777" w:rsidR="00B3011A" w:rsidRPr="00B3011A" w:rsidRDefault="00B3011A" w:rsidP="00B3011A">
            <w:pPr>
              <w:spacing w:line="240" w:lineRule="auto"/>
              <w:jc w:val="left"/>
              <w:rPr>
                <w:rStyle w:val="Hyperlink"/>
                <w:rFonts w:hint="cs"/>
                <w:rtl/>
              </w:rPr>
            </w:pPr>
            <w:hyperlink w:anchor="med5" w:tooltip="פרק ו: שונות" w:history="1">
              <w:r w:rsidRPr="00B3011A">
                <w:rPr>
                  <w:rStyle w:val="Hyperlink"/>
                </w:rPr>
                <w:t>Go</w:t>
              </w:r>
            </w:hyperlink>
          </w:p>
        </w:tc>
        <w:tc>
          <w:tcPr>
            <w:tcW w:w="850" w:type="dxa"/>
          </w:tcPr>
          <w:p w14:paraId="273F25B9"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151EF89C" w14:textId="77777777">
        <w:tblPrEx>
          <w:tblCellMar>
            <w:top w:w="0" w:type="dxa"/>
            <w:bottom w:w="0" w:type="dxa"/>
          </w:tblCellMar>
        </w:tblPrEx>
        <w:tc>
          <w:tcPr>
            <w:tcW w:w="1247" w:type="dxa"/>
          </w:tcPr>
          <w:p w14:paraId="07F9183E"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14:paraId="7A23BB8A"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14:paraId="47DEA61A" w14:textId="77777777" w:rsidR="00B3011A" w:rsidRPr="00B3011A" w:rsidRDefault="00B3011A" w:rsidP="00B3011A">
            <w:pPr>
              <w:spacing w:line="240" w:lineRule="auto"/>
              <w:jc w:val="left"/>
              <w:rPr>
                <w:rStyle w:val="Hyperlink"/>
                <w:rFonts w:hint="cs"/>
                <w:rtl/>
              </w:rPr>
            </w:pPr>
            <w:hyperlink w:anchor="Seif13" w:tooltip="ביצוע ותקנות" w:history="1">
              <w:r w:rsidRPr="00B3011A">
                <w:rPr>
                  <w:rStyle w:val="Hyperlink"/>
                </w:rPr>
                <w:t>Go</w:t>
              </w:r>
            </w:hyperlink>
          </w:p>
        </w:tc>
        <w:tc>
          <w:tcPr>
            <w:tcW w:w="850" w:type="dxa"/>
          </w:tcPr>
          <w:p w14:paraId="43970EC8"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30EAA777" w14:textId="77777777">
        <w:tblPrEx>
          <w:tblCellMar>
            <w:top w:w="0" w:type="dxa"/>
            <w:bottom w:w="0" w:type="dxa"/>
          </w:tblCellMar>
        </w:tblPrEx>
        <w:tc>
          <w:tcPr>
            <w:tcW w:w="1247" w:type="dxa"/>
          </w:tcPr>
          <w:p w14:paraId="60342600"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14:paraId="4BA2CA15"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תחילה ותחולה</w:t>
            </w:r>
          </w:p>
        </w:tc>
        <w:tc>
          <w:tcPr>
            <w:tcW w:w="567" w:type="dxa"/>
          </w:tcPr>
          <w:p w14:paraId="3F2F59AD" w14:textId="77777777" w:rsidR="00B3011A" w:rsidRPr="00B3011A" w:rsidRDefault="00B3011A" w:rsidP="00B3011A">
            <w:pPr>
              <w:spacing w:line="240" w:lineRule="auto"/>
              <w:jc w:val="left"/>
              <w:rPr>
                <w:rStyle w:val="Hyperlink"/>
                <w:rFonts w:hint="cs"/>
                <w:rtl/>
              </w:rPr>
            </w:pPr>
            <w:hyperlink w:anchor="Seif14" w:tooltip="תחילה ותחולה" w:history="1">
              <w:r w:rsidRPr="00B3011A">
                <w:rPr>
                  <w:rStyle w:val="Hyperlink"/>
                </w:rPr>
                <w:t>Go</w:t>
              </w:r>
            </w:hyperlink>
          </w:p>
        </w:tc>
        <w:tc>
          <w:tcPr>
            <w:tcW w:w="850" w:type="dxa"/>
          </w:tcPr>
          <w:p w14:paraId="169017B8"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B3011A" w:rsidRPr="00B3011A" w14:paraId="1D88F453" w14:textId="77777777">
        <w:tblPrEx>
          <w:tblCellMar>
            <w:top w:w="0" w:type="dxa"/>
            <w:bottom w:w="0" w:type="dxa"/>
          </w:tblCellMar>
        </w:tblPrEx>
        <w:tc>
          <w:tcPr>
            <w:tcW w:w="1247" w:type="dxa"/>
          </w:tcPr>
          <w:p w14:paraId="35274DDB"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14:paraId="3FE2AB4B" w14:textId="77777777" w:rsidR="00B3011A" w:rsidRPr="00B3011A" w:rsidRDefault="00B3011A" w:rsidP="00B3011A">
            <w:pPr>
              <w:spacing w:line="240" w:lineRule="auto"/>
              <w:jc w:val="left"/>
              <w:rPr>
                <w:rStyle w:val="default"/>
                <w:rFonts w:cs="Frankruhel" w:hint="cs"/>
                <w:sz w:val="24"/>
                <w:szCs w:val="24"/>
                <w:rtl/>
              </w:rPr>
            </w:pPr>
            <w:r>
              <w:rPr>
                <w:rStyle w:val="default"/>
                <w:sz w:val="24"/>
                <w:szCs w:val="24"/>
                <w:rtl/>
              </w:rPr>
              <w:t>הוראת שעה לשנת הכספים 2005</w:t>
            </w:r>
          </w:p>
        </w:tc>
        <w:tc>
          <w:tcPr>
            <w:tcW w:w="567" w:type="dxa"/>
          </w:tcPr>
          <w:p w14:paraId="75D222D3" w14:textId="77777777" w:rsidR="00B3011A" w:rsidRPr="00B3011A" w:rsidRDefault="00B3011A" w:rsidP="00B3011A">
            <w:pPr>
              <w:spacing w:line="240" w:lineRule="auto"/>
              <w:jc w:val="left"/>
              <w:rPr>
                <w:rStyle w:val="Hyperlink"/>
                <w:rFonts w:hint="cs"/>
                <w:rtl/>
              </w:rPr>
            </w:pPr>
            <w:hyperlink w:anchor="Seif15" w:tooltip="הוראת שעה לשנת הכספים 2005" w:history="1">
              <w:r w:rsidRPr="00B3011A">
                <w:rPr>
                  <w:rStyle w:val="Hyperlink"/>
                </w:rPr>
                <w:t>Go</w:t>
              </w:r>
            </w:hyperlink>
          </w:p>
        </w:tc>
        <w:tc>
          <w:tcPr>
            <w:tcW w:w="850" w:type="dxa"/>
          </w:tcPr>
          <w:p w14:paraId="198EFCE7" w14:textId="77777777" w:rsidR="00B3011A" w:rsidRPr="00B3011A" w:rsidRDefault="00B3011A" w:rsidP="00B3011A">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14:paraId="2A11D5CB" w14:textId="77777777" w:rsidR="00B17558" w:rsidRDefault="00B17558">
      <w:pPr>
        <w:pStyle w:val="P00"/>
        <w:spacing w:before="72"/>
        <w:ind w:left="0" w:right="1134"/>
        <w:rPr>
          <w:rStyle w:val="default"/>
          <w:rFonts w:cs="FrankRuehl" w:hint="cs"/>
          <w:rtl/>
        </w:rPr>
      </w:pPr>
    </w:p>
    <w:p w14:paraId="094384B9" w14:textId="77777777" w:rsidR="00B17558" w:rsidRDefault="00B17558" w:rsidP="00833035">
      <w:pPr>
        <w:pStyle w:val="big-header"/>
        <w:ind w:left="0" w:right="1134"/>
        <w:rPr>
          <w:rStyle w:val="default"/>
          <w:rFonts w:cs="FrankRuehl" w:hint="cs"/>
          <w:rtl/>
        </w:rPr>
      </w:pPr>
      <w:r>
        <w:rPr>
          <w:rStyle w:val="default"/>
          <w:rFonts w:cs="FrankRuehl"/>
          <w:rtl/>
        </w:rPr>
        <w:br w:type="page"/>
      </w:r>
      <w:r>
        <w:rPr>
          <w:rFonts w:cs="FrankRuehl"/>
          <w:sz w:val="32"/>
          <w:rtl/>
        </w:rPr>
        <w:lastRenderedPageBreak/>
        <w:t>חו</w:t>
      </w:r>
      <w:r>
        <w:rPr>
          <w:rFonts w:cs="FrankRuehl" w:hint="cs"/>
          <w:sz w:val="32"/>
          <w:rtl/>
        </w:rPr>
        <w:t>ק זאב ז'בוטינסקי (ציון זכרו ופועלו), תשס"ה-2005</w:t>
      </w:r>
      <w:r>
        <w:rPr>
          <w:rStyle w:val="default"/>
          <w:sz w:val="22"/>
          <w:szCs w:val="22"/>
          <w:rtl/>
        </w:rPr>
        <w:footnoteReference w:customMarkFollows="1" w:id="1"/>
        <w:t>*</w:t>
      </w:r>
    </w:p>
    <w:p w14:paraId="7E47549E" w14:textId="77777777" w:rsidR="00B17558" w:rsidRDefault="00B1755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מטרות החוק ויישומן</w:t>
      </w:r>
    </w:p>
    <w:p w14:paraId="11862012" w14:textId="77777777" w:rsidR="00B17558" w:rsidRDefault="00B17558">
      <w:pPr>
        <w:pStyle w:val="P00"/>
        <w:spacing w:before="72"/>
        <w:ind w:left="0" w:right="1134"/>
        <w:rPr>
          <w:rStyle w:val="default"/>
          <w:rFonts w:cs="FrankRuehl" w:hint="cs"/>
          <w:rtl/>
        </w:rPr>
      </w:pPr>
      <w:bookmarkStart w:id="1" w:name="Seif16"/>
      <w:bookmarkEnd w:id="1"/>
      <w:r>
        <w:rPr>
          <w:lang w:val="he-IL"/>
        </w:rPr>
        <w:pict w14:anchorId="157DDC33">
          <v:rect id="_x0000_s1051" style="position:absolute;left:0;text-align:left;margin-left:464.5pt;margin-top:8.05pt;width:75.05pt;height:8pt;z-index:251665408" o:allowincell="f" filled="f" stroked="f" strokecolor="lime" strokeweight=".25pt">
            <v:textbox inset="0,0,0,0">
              <w:txbxContent>
                <w:p w14:paraId="4949FEDB" w14:textId="77777777" w:rsidR="00B17558" w:rsidRDefault="00B17558">
                  <w:pPr>
                    <w:spacing w:line="160" w:lineRule="exact"/>
                    <w:jc w:val="lef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Miriam"/>
          <w:rtl/>
        </w:rPr>
        <w:tab/>
      </w:r>
      <w:r>
        <w:rPr>
          <w:rStyle w:val="default"/>
          <w:rFonts w:cs="FrankRuehl" w:hint="cs"/>
          <w:rtl/>
        </w:rPr>
        <w:t>מטרותיו של חוק זה להנחיל לדורות את חזונו, מורשתו ופועלו של זאב ז'בוטינסקי, לציין את זכרו ולהביא לחינוך הדורות הבאים ולעיצוב מדינת ישראל, מוסדותיה, יעדיה ודמותה בהתאם לחזונו הציוני.</w:t>
      </w:r>
    </w:p>
    <w:p w14:paraId="618910F4" w14:textId="77777777" w:rsidR="00B17558" w:rsidRDefault="00B17558">
      <w:pPr>
        <w:pStyle w:val="P00"/>
        <w:spacing w:before="72"/>
        <w:ind w:left="0" w:right="1134"/>
        <w:rPr>
          <w:rStyle w:val="default"/>
          <w:rFonts w:cs="FrankRuehl" w:hint="cs"/>
          <w:rtl/>
        </w:rPr>
      </w:pPr>
      <w:bookmarkStart w:id="2" w:name="Seif1"/>
      <w:bookmarkEnd w:id="2"/>
      <w:r>
        <w:rPr>
          <w:lang w:val="he-IL"/>
        </w:rPr>
        <w:pict w14:anchorId="18754787">
          <v:rect id="_x0000_s1027" style="position:absolute;left:0;text-align:left;margin-left:464.5pt;margin-top:8.05pt;width:75.05pt;height:8pt;z-index:251649024" o:allowincell="f" filled="f" stroked="f" strokecolor="lime" strokeweight=".25pt">
            <v:textbox inset="0,0,0,0">
              <w:txbxContent>
                <w:p w14:paraId="6F7FEA0D" w14:textId="77777777" w:rsidR="00B17558" w:rsidRDefault="00B17558">
                  <w:pPr>
                    <w:spacing w:line="160" w:lineRule="exact"/>
                    <w:jc w:val="left"/>
                    <w:rPr>
                      <w:rFonts w:cs="Miriam" w:hint="cs"/>
                      <w:noProof/>
                      <w:sz w:val="18"/>
                      <w:szCs w:val="18"/>
                      <w:rtl/>
                    </w:rPr>
                  </w:pPr>
                  <w:r>
                    <w:rPr>
                      <w:rFonts w:cs="Miriam" w:hint="cs"/>
                      <w:sz w:val="18"/>
                      <w:szCs w:val="18"/>
                      <w:rtl/>
                    </w:rPr>
                    <w:t>יישום המטרות</w:t>
                  </w:r>
                </w:p>
              </w:txbxContent>
            </v:textbox>
            <w10:anchorlock/>
          </v:rect>
        </w:pict>
      </w:r>
      <w:r>
        <w:rPr>
          <w:rStyle w:val="big-number"/>
          <w:rFonts w:cs="Miriam"/>
          <w:rtl/>
        </w:rPr>
        <w:t>2.</w:t>
      </w:r>
      <w:r>
        <w:rPr>
          <w:rStyle w:val="big-number"/>
          <w:rFonts w:cs="Miriam"/>
          <w:rtl/>
        </w:rPr>
        <w:tab/>
      </w:r>
      <w:r>
        <w:rPr>
          <w:rStyle w:val="default"/>
          <w:rFonts w:cs="FrankRuehl" w:hint="cs"/>
          <w:rtl/>
        </w:rPr>
        <w:t>מטרותיו של חוק זה ייושמו בדרך של קיום יום זאב ז'בוטינסקי ופעילויות חינוכיות-ערכיות במוסדות המדינה, בצה"ל ובבתי הספר, מתן מלגות לתלמידים ומתן תמיכות למוסדות ציבור, הפועלים להגשמת מטרות חוק זה, לרבות באמצעות קיום פעילות בהר הרצל בירושלים, הכל לפי הוראות חוק זה.</w:t>
      </w:r>
    </w:p>
    <w:p w14:paraId="625C463E" w14:textId="77777777" w:rsidR="00B17558" w:rsidRDefault="00B17558">
      <w:pPr>
        <w:pStyle w:val="medium2-header"/>
        <w:keepLines w:val="0"/>
        <w:spacing w:before="72"/>
        <w:ind w:left="0" w:right="1134"/>
        <w:rPr>
          <w:rFonts w:cs="FrankRuehl" w:hint="cs"/>
          <w:noProof/>
          <w:rtl/>
        </w:rPr>
      </w:pPr>
      <w:bookmarkStart w:id="3" w:name="med1"/>
      <w:bookmarkEnd w:id="3"/>
      <w:r>
        <w:rPr>
          <w:rFonts w:cs="FrankRuehl" w:hint="cs"/>
          <w:noProof/>
          <w:rtl/>
        </w:rPr>
        <w:t>פרק ב': המועצה הציבורית</w:t>
      </w:r>
    </w:p>
    <w:p w14:paraId="08FF9E0E" w14:textId="77777777" w:rsidR="00B17558" w:rsidRDefault="00B17558">
      <w:pPr>
        <w:pStyle w:val="P00"/>
        <w:spacing w:before="72"/>
        <w:ind w:left="0" w:right="1134"/>
        <w:rPr>
          <w:rStyle w:val="default"/>
          <w:rFonts w:cs="FrankRuehl" w:hint="cs"/>
          <w:rtl/>
        </w:rPr>
      </w:pPr>
      <w:bookmarkStart w:id="4" w:name="Seif2"/>
      <w:bookmarkEnd w:id="4"/>
      <w:r>
        <w:rPr>
          <w:lang w:val="he-IL"/>
        </w:rPr>
        <w:pict w14:anchorId="6645C5F4">
          <v:rect id="_x0000_s1028" style="position:absolute;left:0;text-align:left;margin-left:464.5pt;margin-top:8.05pt;width:75.05pt;height:8pt;z-index:251650048" o:allowincell="f" filled="f" stroked="f" strokecolor="lime" strokeweight=".25pt">
            <v:textbox inset="0,0,0,0">
              <w:txbxContent>
                <w:p w14:paraId="3847FF05" w14:textId="77777777" w:rsidR="00B17558" w:rsidRDefault="00B17558">
                  <w:pPr>
                    <w:spacing w:line="160" w:lineRule="exact"/>
                    <w:jc w:val="left"/>
                    <w:rPr>
                      <w:rFonts w:cs="Miriam" w:hint="cs"/>
                      <w:noProof/>
                      <w:sz w:val="18"/>
                      <w:szCs w:val="18"/>
                      <w:rtl/>
                    </w:rPr>
                  </w:pPr>
                  <w:r>
                    <w:rPr>
                      <w:rFonts w:cs="Miriam" w:hint="cs"/>
                      <w:sz w:val="18"/>
                      <w:szCs w:val="18"/>
                      <w:rtl/>
                    </w:rPr>
                    <w:t>מועצה ציבורית</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הממשלה</w:t>
      </w:r>
      <w:r w:rsidR="00E06E66">
        <w:rPr>
          <w:rStyle w:val="a6"/>
          <w:rFonts w:cs="FrankRuehl"/>
          <w:sz w:val="26"/>
          <w:rtl/>
        </w:rPr>
        <w:footnoteReference w:id="2"/>
      </w:r>
      <w:r>
        <w:rPr>
          <w:rStyle w:val="default"/>
          <w:rFonts w:cs="FrankRuehl" w:hint="cs"/>
          <w:rtl/>
        </w:rPr>
        <w:t xml:space="preserve"> תמנה מועצה ציבורית להנצחת זכרו של זאב ז'בוטינסקי (בחוק זה </w:t>
      </w:r>
      <w:r>
        <w:rPr>
          <w:rStyle w:val="default"/>
          <w:rFonts w:cs="FrankRuehl"/>
          <w:rtl/>
        </w:rPr>
        <w:t>–</w:t>
      </w:r>
      <w:r>
        <w:rPr>
          <w:rStyle w:val="default"/>
          <w:rFonts w:cs="FrankRuehl" w:hint="cs"/>
          <w:rtl/>
        </w:rPr>
        <w:t xml:space="preserve"> המועצה הציבורית); המועצה תהיה בת עשרים וחמישה חברים, ואלה הם:</w:t>
      </w:r>
    </w:p>
    <w:p w14:paraId="515F3748" w14:textId="77777777" w:rsidR="00B17558" w:rsidRDefault="00B175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שבעה חברים עובדי המדינה נציגי הממשלה, וביניהם שני עובדי משרד ראש הממשלה ועובד מדינה נוסף, על פי המלצת ראש הממשלה, שני עובדי משרד הביטחון על פי המלצת שר הביטחון ושני עובדי משרד החינוך התרבות והספורט על פי המלצת שר החינוך התרבות והספורט;</w:t>
      </w:r>
    </w:p>
    <w:p w14:paraId="4CD8A7D6" w14:textId="77777777" w:rsidR="00B17558" w:rsidRDefault="00B175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נציג צה"ל על פי המלצת שר הביטחון;</w:t>
      </w:r>
    </w:p>
    <w:p w14:paraId="2EAB9F0D" w14:textId="77777777" w:rsidR="00B17558" w:rsidRDefault="00B175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חברים נציגי ההסתדרות הציונית העולמית בהסכמת ההסתדרות הציונית העולמית;</w:t>
      </w:r>
    </w:p>
    <w:p w14:paraId="09017531" w14:textId="77777777" w:rsidR="00B17558" w:rsidRDefault="00B1755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שלושה נציגי העמותה "מכון ז'בוטינסקי בישראל", שאחד מהם איש אקדמיה;</w:t>
      </w:r>
    </w:p>
    <w:p w14:paraId="17F98683" w14:textId="77777777" w:rsidR="00B17558" w:rsidRDefault="00B1755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העמותה "מדרשה לאומית ללימודי מחתרות";</w:t>
      </w:r>
    </w:p>
    <w:p w14:paraId="5AA9FB6C" w14:textId="77777777" w:rsidR="00B17558" w:rsidRDefault="00B1755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נציג העמותה "המדרשה הלאומית ע"ש רנה מור";</w:t>
      </w:r>
    </w:p>
    <w:p w14:paraId="461F420A" w14:textId="77777777" w:rsidR="00B17558" w:rsidRDefault="00B1755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שני נציגי העמותה "מסדר ע"ש זאה ז'בוטינסקי";</w:t>
      </w:r>
    </w:p>
    <w:p w14:paraId="38355160" w14:textId="77777777" w:rsidR="00B17558" w:rsidRDefault="00B1755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העמותה "שלטון בית"ר";</w:t>
      </w:r>
    </w:p>
    <w:p w14:paraId="707F9E3F" w14:textId="77777777" w:rsidR="00B17558" w:rsidRDefault="00B1755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העמותה "ברית יוסף תרומפלדור בארץ ישראל";</w:t>
      </w:r>
    </w:p>
    <w:p w14:paraId="6AE6D6F0" w14:textId="77777777" w:rsidR="00B17558" w:rsidRDefault="00B1755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נציג העמותה "ברית חיילי הארגון הצבאי הלאומי בארץ ישראל";</w:t>
      </w:r>
    </w:p>
    <w:p w14:paraId="34D09F5D" w14:textId="77777777" w:rsidR="00B17558" w:rsidRDefault="00B17558">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חמישה נציגי ציבור.</w:t>
      </w:r>
    </w:p>
    <w:p w14:paraId="427E7519" w14:textId="77777777" w:rsidR="00B17558" w:rsidRDefault="00B175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תמנה, באישור ראש הממשלה, את יושב ראש המועצה ואת ממלא מקומו, מבין החברים האמורים בסעיף קטן (א)(11).</w:t>
      </w:r>
    </w:p>
    <w:p w14:paraId="085F1069" w14:textId="77777777" w:rsidR="00B17558" w:rsidRDefault="00B17558">
      <w:pPr>
        <w:pStyle w:val="P00"/>
        <w:spacing w:before="72"/>
        <w:ind w:left="0" w:right="1134"/>
        <w:rPr>
          <w:rStyle w:val="default"/>
          <w:rFonts w:cs="FrankRuehl" w:hint="cs"/>
          <w:rtl/>
        </w:rPr>
      </w:pPr>
      <w:bookmarkStart w:id="5" w:name="Seif3"/>
      <w:bookmarkEnd w:id="5"/>
      <w:r>
        <w:rPr>
          <w:lang w:val="he-IL"/>
        </w:rPr>
        <w:pict w14:anchorId="1DC81F86">
          <v:rect id="_x0000_s1029" style="position:absolute;left:0;text-align:left;margin-left:464.5pt;margin-top:8.05pt;width:75.05pt;height:18.65pt;z-index:251651072" o:allowincell="f" filled="f" stroked="f" strokecolor="lime" strokeweight=".25pt">
            <v:textbox inset="0,0,0,0">
              <w:txbxContent>
                <w:p w14:paraId="09860E03" w14:textId="77777777" w:rsidR="00B17558" w:rsidRDefault="00B17558">
                  <w:pPr>
                    <w:spacing w:line="160" w:lineRule="exact"/>
                    <w:jc w:val="left"/>
                    <w:rPr>
                      <w:rFonts w:cs="Miriam" w:hint="cs"/>
                      <w:noProof/>
                      <w:sz w:val="18"/>
                      <w:szCs w:val="18"/>
                      <w:rtl/>
                    </w:rPr>
                  </w:pPr>
                  <w:r>
                    <w:rPr>
                      <w:rFonts w:cs="Miriam" w:hint="cs"/>
                      <w:sz w:val="18"/>
                      <w:szCs w:val="18"/>
                      <w:rtl/>
                    </w:rPr>
                    <w:t>תפקידי המועצה הציבורית</w:t>
                  </w:r>
                </w:p>
              </w:txbxContent>
            </v:textbox>
            <w10:anchorlock/>
          </v:rect>
        </w:pict>
      </w:r>
      <w:r>
        <w:rPr>
          <w:rStyle w:val="big-number"/>
          <w:rFonts w:cs="Miriam"/>
          <w:rtl/>
        </w:rPr>
        <w:t>4.</w:t>
      </w:r>
      <w:r>
        <w:rPr>
          <w:rStyle w:val="big-number"/>
          <w:rFonts w:cs="Miriam"/>
          <w:rtl/>
        </w:rPr>
        <w:tab/>
      </w:r>
      <w:r>
        <w:rPr>
          <w:rStyle w:val="default"/>
          <w:rFonts w:cs="FrankRuehl" w:hint="cs"/>
          <w:rtl/>
        </w:rPr>
        <w:t xml:space="preserve">תפקידי המועצה הציבורית </w:t>
      </w:r>
      <w:r>
        <w:rPr>
          <w:rStyle w:val="default"/>
          <w:rFonts w:cs="FrankRuehl"/>
          <w:rtl/>
        </w:rPr>
        <w:t>–</w:t>
      </w:r>
    </w:p>
    <w:p w14:paraId="420534D5" w14:textId="77777777" w:rsidR="00B17558" w:rsidRDefault="00B1755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לייעץ לראש הממשלה בכל הנוגע ליישום חוק זה ולביצועו, ולעקוב אחר ביצוע חוק זה;</w:t>
      </w:r>
    </w:p>
    <w:p w14:paraId="5CC89B0E" w14:textId="77777777" w:rsidR="00B17558" w:rsidRDefault="00B1755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להמליץ לראש הממשלה על מדיניות ויעדים לענין הפעילות לפי חוק זה והגברתה;</w:t>
      </w:r>
    </w:p>
    <w:p w14:paraId="16F15376" w14:textId="77777777" w:rsidR="00B17558" w:rsidRDefault="00B1755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לייעץ לראש הממשלה לענין קביעת מבחנים לתמיכה במוסדות ציבור, כאמור בסעיף 3א לחוק יסודות התקציב, התשמ"ה-1985 (בחוק זה </w:t>
      </w:r>
      <w:r>
        <w:rPr>
          <w:rStyle w:val="default"/>
          <w:rFonts w:cs="FrankRuehl"/>
          <w:rtl/>
        </w:rPr>
        <w:t>–</w:t>
      </w:r>
      <w:r>
        <w:rPr>
          <w:rStyle w:val="default"/>
          <w:rFonts w:cs="FrankRuehl" w:hint="cs"/>
          <w:rtl/>
        </w:rPr>
        <w:t xml:space="preserve"> חוק יסודות התקציב), לשם קידום מטרותיו של חוק זה, בין השאר, בענינים אלה:</w:t>
      </w:r>
    </w:p>
    <w:p w14:paraId="431B9482" w14:textId="77777777" w:rsidR="00B17558" w:rsidRDefault="00B1755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קיום פעילות בהר הרצל בירושלים בכל הנוגע לזכרו ופועלו של זאב ז'בוטינסקי;</w:t>
      </w:r>
    </w:p>
    <w:p w14:paraId="141D1360" w14:textId="77777777" w:rsidR="00B17558" w:rsidRDefault="00B1755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שימור, שחזור והצגה של מוצגים ומסמכים הקשורים לחייו ולפועלו של זאב </w:t>
      </w:r>
      <w:r>
        <w:rPr>
          <w:rStyle w:val="default"/>
          <w:rFonts w:cs="FrankRuehl" w:hint="cs"/>
          <w:rtl/>
        </w:rPr>
        <w:lastRenderedPageBreak/>
        <w:t>ז'בוטינסקי;</w:t>
      </w:r>
    </w:p>
    <w:p w14:paraId="3A7CFCAD" w14:textId="77777777" w:rsidR="00B17558" w:rsidRDefault="00B1755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קיום פעולות חינוכיות-ערכיות לרבות הכנת תכניות לימודים, קיום השתלמויות למורים ולמדריכים ועריכת סיורים;</w:t>
      </w:r>
    </w:p>
    <w:p w14:paraId="67F65887" w14:textId="77777777" w:rsidR="00B17558" w:rsidRDefault="00B1755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קיום אירועים;</w:t>
      </w:r>
    </w:p>
    <w:p w14:paraId="70AF3185" w14:textId="77777777" w:rsidR="00B17558" w:rsidRDefault="00B17558">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פעילויות הנצחה;</w:t>
      </w:r>
    </w:p>
    <w:p w14:paraId="0C0BAC89" w14:textId="77777777" w:rsidR="00B17558" w:rsidRDefault="00B17558">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להכין הצעת תקציב שנתי להפעלת החוק כאמור בסעיף 14(ב), ולהגישה לאישור ראש הממשלה ושר האוצר.</w:t>
      </w:r>
    </w:p>
    <w:p w14:paraId="36E6C8EE" w14:textId="77777777" w:rsidR="00B17558" w:rsidRDefault="00B17558">
      <w:pPr>
        <w:pStyle w:val="P00"/>
        <w:spacing w:before="72"/>
        <w:ind w:left="0" w:right="1134"/>
        <w:rPr>
          <w:rStyle w:val="default"/>
          <w:rFonts w:cs="FrankRuehl" w:hint="cs"/>
          <w:rtl/>
        </w:rPr>
      </w:pPr>
      <w:bookmarkStart w:id="6" w:name="Seif4"/>
      <w:bookmarkEnd w:id="6"/>
      <w:r>
        <w:rPr>
          <w:lang w:val="he-IL"/>
        </w:rPr>
        <w:pict w14:anchorId="216E1127">
          <v:rect id="_x0000_s1030" style="position:absolute;left:0;text-align:left;margin-left:464.5pt;margin-top:8.05pt;width:75.05pt;height:16.6pt;z-index:251652096" o:allowincell="f" filled="f" stroked="f" strokecolor="lime" strokeweight=".25pt">
            <v:textbox inset="0,0,0,0">
              <w:txbxContent>
                <w:p w14:paraId="48F32387" w14:textId="77777777" w:rsidR="00B17558" w:rsidRDefault="00B17558">
                  <w:pPr>
                    <w:spacing w:line="160" w:lineRule="exact"/>
                    <w:jc w:val="left"/>
                    <w:rPr>
                      <w:rFonts w:cs="Miriam" w:hint="cs"/>
                      <w:noProof/>
                      <w:sz w:val="18"/>
                      <w:szCs w:val="18"/>
                      <w:rtl/>
                    </w:rPr>
                  </w:pPr>
                  <w:r>
                    <w:rPr>
                      <w:rFonts w:cs="Miriam" w:hint="cs"/>
                      <w:sz w:val="18"/>
                      <w:szCs w:val="18"/>
                      <w:rtl/>
                    </w:rPr>
                    <w:t>סדרי עבודת המועצה הציבורית</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המועצה הציבורית תתכנס פעמיים בשנה לפחות, וכן לפי דרישה של לפחות מחצית מחבריה.</w:t>
      </w:r>
    </w:p>
    <w:p w14:paraId="4EB71F09" w14:textId="77777777" w:rsidR="00B17558" w:rsidRDefault="00B175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הציבורית ינהל את ישיבותיה; הוא יזמן את ישיבות המועצה הציבורית ויקבע את מועדן, מקומן וסדר יומן, בין השאר, בהתאם לדרישות והצעות ראש הממשלה, ההסתדרות הציונית העולמית וחברי המועצה הציבורית.</w:t>
      </w:r>
    </w:p>
    <w:p w14:paraId="622E8E89" w14:textId="77777777" w:rsidR="00B17558" w:rsidRDefault="00B175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הציבורית תקבע את סדרי עבודתה ככל שלא נקבעו לפי חוק זה.</w:t>
      </w:r>
    </w:p>
    <w:p w14:paraId="2F1EF7AF" w14:textId="77777777" w:rsidR="00B17558" w:rsidRDefault="00B17558">
      <w:pPr>
        <w:pStyle w:val="P00"/>
        <w:spacing w:before="72"/>
        <w:ind w:left="0" w:right="1134"/>
        <w:rPr>
          <w:rStyle w:val="default"/>
          <w:rFonts w:cs="FrankRuehl" w:hint="cs"/>
          <w:rtl/>
        </w:rPr>
      </w:pPr>
      <w:bookmarkStart w:id="7" w:name="Seif5"/>
      <w:bookmarkEnd w:id="7"/>
      <w:r>
        <w:rPr>
          <w:lang w:val="he-IL"/>
        </w:rPr>
        <w:pict w14:anchorId="1694C4DC">
          <v:rect id="_x0000_s1031" style="position:absolute;left:0;text-align:left;margin-left:464.5pt;margin-top:8.05pt;width:75.05pt;height:8pt;z-index:251653120" o:allowincell="f" filled="f" stroked="f" strokecolor="lime" strokeweight=".25pt">
            <v:textbox inset="0,0,0,0">
              <w:txbxContent>
                <w:p w14:paraId="422802F3" w14:textId="77777777" w:rsidR="00B17558" w:rsidRDefault="00B17558">
                  <w:pPr>
                    <w:spacing w:line="160" w:lineRule="exact"/>
                    <w:jc w:val="left"/>
                    <w:rPr>
                      <w:rFonts w:cs="Miriam" w:hint="cs"/>
                      <w:noProof/>
                      <w:sz w:val="18"/>
                      <w:szCs w:val="18"/>
                      <w:rtl/>
                    </w:rPr>
                  </w:pPr>
                  <w:r>
                    <w:rPr>
                      <w:rFonts w:cs="Miriam" w:hint="cs"/>
                      <w:sz w:val="18"/>
                      <w:szCs w:val="18"/>
                      <w:rtl/>
                    </w:rPr>
                    <w:t>הוצאות וגמול</w:t>
                  </w:r>
                </w:p>
              </w:txbxContent>
            </v:textbox>
            <w10:anchorlock/>
          </v:rect>
        </w:pict>
      </w:r>
      <w:r>
        <w:rPr>
          <w:rStyle w:val="big-number"/>
          <w:rFonts w:cs="Miriam"/>
          <w:rtl/>
        </w:rPr>
        <w:t>6.</w:t>
      </w:r>
      <w:r>
        <w:rPr>
          <w:rStyle w:val="big-number"/>
          <w:rFonts w:cs="Miriam"/>
          <w:rtl/>
        </w:rPr>
        <w:tab/>
      </w:r>
      <w:r>
        <w:rPr>
          <w:rStyle w:val="default"/>
          <w:rFonts w:cs="FrankRuehl" w:hint="cs"/>
          <w:rtl/>
        </w:rPr>
        <w:t>חברי המועצה הציבורית לא יהיו זכאים לשכר בעד חברותם במועצה, אך יהיו זכאים להחזר הוצאות שיוציאו במילוי תפקידם כפי שיקבע ראש הממשלה, באישור שר האוצר.</w:t>
      </w:r>
    </w:p>
    <w:p w14:paraId="5210CD37" w14:textId="77777777" w:rsidR="00B17558" w:rsidRDefault="00B17558">
      <w:pPr>
        <w:pStyle w:val="P00"/>
        <w:spacing w:before="72"/>
        <w:ind w:left="0" w:right="1134"/>
        <w:rPr>
          <w:rStyle w:val="default"/>
          <w:rFonts w:cs="FrankRuehl" w:hint="cs"/>
          <w:rtl/>
        </w:rPr>
      </w:pPr>
      <w:bookmarkStart w:id="8" w:name="Seif6"/>
      <w:bookmarkEnd w:id="8"/>
      <w:r>
        <w:rPr>
          <w:lang w:val="he-IL"/>
        </w:rPr>
        <w:pict w14:anchorId="6450EE88">
          <v:rect id="_x0000_s1032" style="position:absolute;left:0;text-align:left;margin-left:464.5pt;margin-top:8.05pt;width:75.05pt;height:23.95pt;z-index:251654144" o:allowincell="f" filled="f" stroked="f" strokecolor="lime" strokeweight=".25pt">
            <v:textbox inset="0,0,0,0">
              <w:txbxContent>
                <w:p w14:paraId="437CE762" w14:textId="77777777" w:rsidR="00B17558" w:rsidRDefault="00B17558">
                  <w:pPr>
                    <w:spacing w:line="160" w:lineRule="exact"/>
                    <w:jc w:val="left"/>
                    <w:rPr>
                      <w:rFonts w:cs="Miriam" w:hint="cs"/>
                      <w:noProof/>
                      <w:sz w:val="18"/>
                      <w:szCs w:val="18"/>
                      <w:rtl/>
                    </w:rPr>
                  </w:pPr>
                  <w:r>
                    <w:rPr>
                      <w:rFonts w:cs="Miriam" w:hint="cs"/>
                      <w:sz w:val="18"/>
                      <w:szCs w:val="18"/>
                      <w:rtl/>
                    </w:rPr>
                    <w:t>תקופת כהונה, פקיעת כהונה והעברה מכהונה</w:t>
                  </w:r>
                </w:p>
              </w:txbxContent>
            </v:textbox>
            <w10:anchorlock/>
          </v:rect>
        </w:pict>
      </w:r>
      <w:r>
        <w:rPr>
          <w:rStyle w:val="big-number"/>
          <w:rFonts w:cs="Miriam"/>
          <w:rtl/>
        </w:rPr>
        <w:t>7.</w:t>
      </w:r>
      <w:r>
        <w:rPr>
          <w:rStyle w:val="big-number"/>
          <w:rFonts w:cs="Miriam"/>
          <w:rtl/>
        </w:rPr>
        <w:tab/>
      </w:r>
      <w:r>
        <w:rPr>
          <w:rStyle w:val="default"/>
          <w:rFonts w:cs="FrankRuehl" w:hint="cs"/>
          <w:rtl/>
        </w:rPr>
        <w:t>(א)</w:t>
      </w:r>
      <w:r>
        <w:rPr>
          <w:rStyle w:val="default"/>
          <w:rFonts w:cs="FrankRuehl" w:hint="cs"/>
          <w:rtl/>
        </w:rPr>
        <w:tab/>
        <w:t>חבר המועצה הציבורית, יתמנה לתקופת כהונה של שלוש שנים, וניתן לשוב ולמנותו לשתי תקופות כהונה רצופות נוספות שכל אחת מהן לא תעלה על שלוש שנים, ולאחר הפסקה של שלוש שנים, ניתן לשוב ולמנותו ללא יותר משלוש תקופות כהונה רצופות נוספות כאמור.</w:t>
      </w:r>
    </w:p>
    <w:p w14:paraId="699D8C3F" w14:textId="77777777" w:rsidR="00B17558" w:rsidRDefault="00B175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הציבורית יחדל לכהן לפני תום תקופת כהונתו בהתקיים אחד מאלה:</w:t>
      </w:r>
    </w:p>
    <w:p w14:paraId="5C1A41D9" w14:textId="77777777" w:rsidR="00B17558" w:rsidRDefault="00B175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לראש הממשלה;</w:t>
      </w:r>
    </w:p>
    <w:p w14:paraId="765D106C" w14:textId="77777777" w:rsidR="00B17558" w:rsidRDefault="00B175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בו התנאי שמכוחו מונה.</w:t>
      </w:r>
    </w:p>
    <w:p w14:paraId="6B4C0355" w14:textId="77777777" w:rsidR="00B17558" w:rsidRDefault="00B175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הממשלה יעביר מכהונתו חבר המועצה הציבורית שהורשע בעבירה שמפאת מהותה, חומרתה או נסיבותיה אין הוא ראוי לשמש כחבר או כיושב ראש המועצה הציבורית.</w:t>
      </w:r>
    </w:p>
    <w:p w14:paraId="5E28B6B5" w14:textId="77777777" w:rsidR="00B17558" w:rsidRDefault="00B1755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הממשלה רשאי להעביר חבר המועצה הציבורית מכהונתו לפני תום תקופת כהונתו בהתקיים אחד מאלה:</w:t>
      </w:r>
    </w:p>
    <w:p w14:paraId="5AF62E12" w14:textId="77777777" w:rsidR="00B17558" w:rsidRDefault="00B175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31524D18" w14:textId="77777777" w:rsidR="00B17558" w:rsidRDefault="00B17558">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נעדר בלא סיבה מוצדקת משלוש ישיבות רצופות של המועצה הציבורית.</w:t>
      </w:r>
    </w:p>
    <w:p w14:paraId="3D64626B" w14:textId="77777777" w:rsidR="00B17558" w:rsidRDefault="00B17558">
      <w:pPr>
        <w:pStyle w:val="P00"/>
        <w:spacing w:before="72"/>
        <w:ind w:left="0" w:right="1134"/>
        <w:rPr>
          <w:rStyle w:val="default"/>
          <w:rFonts w:cs="FrankRuehl" w:hint="cs"/>
          <w:rtl/>
        </w:rPr>
      </w:pPr>
      <w:bookmarkStart w:id="9" w:name="Seif7"/>
      <w:bookmarkEnd w:id="9"/>
      <w:r>
        <w:rPr>
          <w:lang w:val="he-IL"/>
        </w:rPr>
        <w:pict w14:anchorId="0FDBC39B">
          <v:rect id="_x0000_s1033" style="position:absolute;left:0;text-align:left;margin-left:464.5pt;margin-top:8.05pt;width:75.05pt;height:8pt;z-index:251655168" o:allowincell="f" filled="f" stroked="f" strokecolor="lime" strokeweight=".25pt">
            <v:textbox inset="0,0,0,0">
              <w:txbxContent>
                <w:p w14:paraId="16CBE7D4" w14:textId="77777777" w:rsidR="00B17558" w:rsidRDefault="00B17558">
                  <w:pPr>
                    <w:spacing w:line="160" w:lineRule="exact"/>
                    <w:jc w:val="left"/>
                    <w:rPr>
                      <w:rFonts w:cs="Miriam" w:hint="cs"/>
                      <w:noProof/>
                      <w:sz w:val="18"/>
                      <w:szCs w:val="18"/>
                      <w:rtl/>
                    </w:rPr>
                  </w:pPr>
                  <w:r>
                    <w:rPr>
                      <w:rFonts w:cs="Miriam" w:hint="cs"/>
                      <w:sz w:val="18"/>
                      <w:szCs w:val="18"/>
                      <w:rtl/>
                    </w:rPr>
                    <w:t>ניגוד ענינים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יתמנה ולא יכהן כחבר המועצה הציבורית מי שעלול להימצא, במישרין או בעקיפין, באופן תדיר, במצב של ניגוד ענינים בין תפקידו כחבר המועצה לבין ענין אחר או תפקיד אחר שלו.</w:t>
      </w:r>
    </w:p>
    <w:p w14:paraId="4F206E66" w14:textId="77777777" w:rsidR="00B17558" w:rsidRDefault="00B1755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חבר המועצה הציבורית יימנע מהשתתפות בדיון שמקיימת המועצה, מהצבעה בישיבות שהנושא הנדון בהם העלול לגרום לו להימצא, במישרין או בעקיפין, במצב של חשש לניגוד ענינים בין תפקידו כחבר המועצה הציבורית לבין ענין אחר או תפקיד אחר שלו, ולא יטפל, במסגרת מילוי תפקידו במועצה, בנושא שעלול לגרום לו להימצא במצב כאמור גם מחוץ לישיבות המועצה; ואולם רשאי חבר המועצה הציבורית להביא בחשבון גם את עניניו של הגוף שהוא נציגו, ככל שהם קשורים לחוק זה, ולא יראו אותו כמצוי במצב של ניגוד ענינים בשל כך בלבד.</w:t>
      </w:r>
    </w:p>
    <w:p w14:paraId="2A381C7E" w14:textId="77777777" w:rsidR="00B17558" w:rsidRDefault="00B175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המועצה הציבורית, כי נושא הנדון בישיבה של המועצה או שהוא הופקד על טיפולו עלול לגרום לו להימצא במצב של ניגוד ענינים כאמור בסעיף קטן (ב), יודיע על כך ליושב ראש המועצה.</w:t>
      </w:r>
    </w:p>
    <w:p w14:paraId="45A9D4A8" w14:textId="77777777" w:rsidR="00B17558" w:rsidRDefault="00B1755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14:paraId="1F50046E" w14:textId="77777777" w:rsidR="00B17558" w:rsidRDefault="00B17558">
      <w:pPr>
        <w:pStyle w:val="P00"/>
        <w:spacing w:before="72"/>
        <w:ind w:left="0" w:right="1134"/>
        <w:rPr>
          <w:rStyle w:val="default"/>
          <w:rFonts w:cs="FrankRuehl" w:hint="cs"/>
          <w:rtl/>
        </w:rPr>
      </w:pPr>
      <w:r>
        <w:rPr>
          <w:rStyle w:val="default"/>
          <w:rFonts w:cs="FrankRuehl" w:hint="cs"/>
          <w:rtl/>
        </w:rPr>
        <w:tab/>
        <w:t xml:space="preserve">"ענין אחר" </w:t>
      </w:r>
      <w:r>
        <w:rPr>
          <w:rStyle w:val="default"/>
          <w:rFonts w:cs="FrankRuehl"/>
          <w:rtl/>
        </w:rPr>
        <w:t>–</w:t>
      </w:r>
      <w:r>
        <w:rPr>
          <w:rStyle w:val="default"/>
          <w:rFonts w:cs="FrankRuehl" w:hint="cs"/>
          <w:rtl/>
        </w:rPr>
        <w:t xml:space="preserve"> לרבות ענין של קרובו של חבר המועצה הציבורית או ענין של גוף שחבר המועצה או קרובו הם מנהלים או עובדים אחראים בו, או ענין של גוף שיש לכל אחד מהם חלק בהון המניות שלו, בזכות לקבל רווחים, בזכות למנות מנהל או בזכות ההצבעה;</w:t>
      </w:r>
    </w:p>
    <w:p w14:paraId="5BC6A9CE" w14:textId="77777777" w:rsidR="00B17558" w:rsidRDefault="00B17558">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צאצא, אח, אחות או אדם אחר הסמוך על שולחנו של חבר המועצה הציבורית, ובן זוגו של כל אחד מהם.</w:t>
      </w:r>
    </w:p>
    <w:p w14:paraId="6F6D265D" w14:textId="77777777" w:rsidR="00B17558" w:rsidRDefault="00B17558">
      <w:pPr>
        <w:pStyle w:val="P00"/>
        <w:spacing w:before="72"/>
        <w:ind w:left="0" w:right="1134"/>
        <w:rPr>
          <w:rStyle w:val="default"/>
          <w:rFonts w:cs="FrankRuehl" w:hint="cs"/>
          <w:rtl/>
        </w:rPr>
      </w:pPr>
      <w:bookmarkStart w:id="10" w:name="Seif8"/>
      <w:bookmarkEnd w:id="10"/>
      <w:r>
        <w:rPr>
          <w:lang w:val="he-IL"/>
        </w:rPr>
        <w:pict w14:anchorId="7CEBCFDF">
          <v:rect id="_x0000_s1034" style="position:absolute;left:0;text-align:left;margin-left:464.5pt;margin-top:8.05pt;width:75.05pt;height:16pt;z-index:251656192" o:allowincell="f" filled="f" stroked="f" strokecolor="lime" strokeweight=".25pt">
            <v:textbox inset="0,0,0,0">
              <w:txbxContent>
                <w:p w14:paraId="5FFC44F0" w14:textId="77777777" w:rsidR="00B17558" w:rsidRDefault="00B17558">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rtl/>
        </w:rPr>
        <w:t>9.</w:t>
      </w:r>
      <w:r>
        <w:rPr>
          <w:rStyle w:val="big-number"/>
          <w:rFonts w:cs="Miriam"/>
          <w:rtl/>
        </w:rPr>
        <w:tab/>
      </w:r>
      <w:r>
        <w:rPr>
          <w:rStyle w:val="default"/>
          <w:rFonts w:cs="FrankRuehl" w:hint="cs"/>
          <w:rtl/>
        </w:rPr>
        <w:t>קיום המועצה הציבורית, סמכויותיה ותוקף החלטותיה ופעולותיה לא ייפגעו מחמת שנתפנה מקומו של חבר בה או מחמת ליקוי במינויו או בהמשך כהונתו.</w:t>
      </w:r>
    </w:p>
    <w:p w14:paraId="4965B884" w14:textId="77777777" w:rsidR="00B17558" w:rsidRDefault="00B17558">
      <w:pPr>
        <w:pStyle w:val="medium2-header"/>
        <w:keepLines w:val="0"/>
        <w:spacing w:before="72"/>
        <w:ind w:left="0" w:right="1134"/>
        <w:rPr>
          <w:rFonts w:cs="FrankRuehl"/>
          <w:noProof/>
          <w:rtl/>
        </w:rPr>
      </w:pPr>
      <w:bookmarkStart w:id="11" w:name="med2"/>
      <w:bookmarkEnd w:id="11"/>
      <w:r>
        <w:rPr>
          <w:rFonts w:cs="FrankRuehl" w:hint="cs"/>
          <w:noProof/>
          <w:rtl/>
        </w:rPr>
        <w:t>פרק ג': יום זאב ז'בוטינסקי</w:t>
      </w:r>
    </w:p>
    <w:p w14:paraId="5E648E2C" w14:textId="77777777" w:rsidR="00B17558" w:rsidRDefault="00B17558">
      <w:pPr>
        <w:pStyle w:val="P00"/>
        <w:spacing w:before="72"/>
        <w:ind w:left="0" w:right="1134"/>
        <w:rPr>
          <w:rStyle w:val="default"/>
          <w:rFonts w:cs="FrankRuehl" w:hint="cs"/>
          <w:rtl/>
        </w:rPr>
      </w:pPr>
      <w:bookmarkStart w:id="12" w:name="Seif9"/>
      <w:bookmarkEnd w:id="12"/>
      <w:r>
        <w:rPr>
          <w:lang w:val="he-IL"/>
        </w:rPr>
        <w:pict w14:anchorId="7D92918C">
          <v:rect id="_x0000_s1035" style="position:absolute;left:0;text-align:left;margin-left:464.5pt;margin-top:8.05pt;width:75.05pt;height:8pt;z-index:251657216" o:allowincell="f" filled="f" stroked="f" strokecolor="lime" strokeweight=".25pt">
            <v:textbox inset="0,0,0,0">
              <w:txbxContent>
                <w:p w14:paraId="16E377DE" w14:textId="77777777" w:rsidR="00B17558" w:rsidRDefault="00B17558">
                  <w:pPr>
                    <w:spacing w:line="160" w:lineRule="exact"/>
                    <w:jc w:val="left"/>
                    <w:rPr>
                      <w:rFonts w:cs="Miriam" w:hint="cs"/>
                      <w:noProof/>
                      <w:sz w:val="18"/>
                      <w:szCs w:val="18"/>
                      <w:rtl/>
                    </w:rPr>
                  </w:pPr>
                  <w:r>
                    <w:rPr>
                      <w:rFonts w:cs="Miriam" w:hint="cs"/>
                      <w:sz w:val="18"/>
                      <w:szCs w:val="18"/>
                      <w:rtl/>
                    </w:rPr>
                    <w:t>יום זאב ז'בוטינסקי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אחת לשנה, בכ"ט בתמוז, יום פטירתו של זאב ז'בוטינסקי, יקוים יום זאב ז'בוטינסקי; ביום זה </w:t>
      </w:r>
      <w:r>
        <w:rPr>
          <w:rStyle w:val="default"/>
          <w:rFonts w:cs="FrankRuehl"/>
          <w:rtl/>
        </w:rPr>
        <w:t>–</w:t>
      </w:r>
    </w:p>
    <w:p w14:paraId="52AF0F3E" w14:textId="77777777" w:rsidR="00B17558" w:rsidRDefault="00B1755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יתקיים טקס זיכרון ממלכתי בקבר זאב ז'בוטינסקי בהר הרצל בירושלים;</w:t>
      </w:r>
    </w:p>
    <w:p w14:paraId="20E88E86" w14:textId="77777777" w:rsidR="00B17558" w:rsidRDefault="00B1755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במחנות צה"ל יוקדש זמן ללימוד פועלו וחזונו הציוני של זאב ז'בוטינסקי;</w:t>
      </w:r>
    </w:p>
    <w:p w14:paraId="14B06BB8" w14:textId="77777777" w:rsidR="00B17558" w:rsidRDefault="00B1755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יתקיים בירושלים כנס לזכרו של זאב ז'בוטינסקי; הכנס יאורגן על ידי המועצה הציבורית; בכנס יידונו נושאים מעולם הציונות ברוח חזונו של זאב ז'בוטינסקי.</w:t>
      </w:r>
    </w:p>
    <w:p w14:paraId="4F213ECB" w14:textId="77777777" w:rsidR="00B17558" w:rsidRDefault="00B17558">
      <w:pPr>
        <w:pStyle w:val="P00"/>
        <w:spacing w:before="72"/>
        <w:ind w:left="0" w:right="1134"/>
        <w:rPr>
          <w:rFonts w:cs="FrankRuehl" w:hint="cs"/>
          <w:sz w:val="26"/>
          <w:rtl/>
        </w:rPr>
      </w:pPr>
      <w:r>
        <w:rPr>
          <w:rFonts w:cs="FrankRuehl" w:hint="cs"/>
          <w:sz w:val="26"/>
          <w:rtl/>
        </w:rPr>
        <w:tab/>
        <w:t>(ב)</w:t>
      </w:r>
      <w:r>
        <w:rPr>
          <w:rFonts w:cs="FrankRuehl" w:hint="cs"/>
          <w:sz w:val="26"/>
          <w:rtl/>
        </w:rPr>
        <w:tab/>
        <w:t>הכנסת תקיים דיון מיוחד לציון יום זאב ז'בוטינסקי במועדו או במועד סמוך.</w:t>
      </w:r>
    </w:p>
    <w:p w14:paraId="4972E07D" w14:textId="77777777" w:rsidR="00B17558" w:rsidRDefault="00B1755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חל כ"ט בתמוז בשבת, יקוים יום זאב ז'בוטינסקי ביום א' שלאחריו.</w:t>
      </w:r>
    </w:p>
    <w:p w14:paraId="571B0715" w14:textId="77777777" w:rsidR="00B17558" w:rsidRDefault="00B17558">
      <w:pPr>
        <w:pStyle w:val="P00"/>
        <w:spacing w:before="72"/>
        <w:ind w:left="0" w:right="1134"/>
        <w:rPr>
          <w:rStyle w:val="default"/>
          <w:rFonts w:cs="FrankRuehl" w:hint="cs"/>
          <w:rtl/>
        </w:rPr>
      </w:pPr>
      <w:bookmarkStart w:id="13" w:name="Seif17"/>
      <w:bookmarkEnd w:id="13"/>
      <w:r>
        <w:rPr>
          <w:lang w:val="he-IL"/>
        </w:rPr>
        <w:pict w14:anchorId="7AE6ABA8">
          <v:rect id="_x0000_s1052" style="position:absolute;left:0;text-align:left;margin-left:464.5pt;margin-top:8.05pt;width:75.05pt;height:9.15pt;z-index:251666432" o:allowincell="f" filled="f" stroked="f" strokecolor="lime" strokeweight=".25pt">
            <v:textbox inset="0,0,0,0">
              <w:txbxContent>
                <w:p w14:paraId="340E1FE7" w14:textId="77777777" w:rsidR="00B17558" w:rsidRDefault="00B17558">
                  <w:pPr>
                    <w:spacing w:line="160" w:lineRule="exact"/>
                    <w:jc w:val="left"/>
                    <w:rPr>
                      <w:rFonts w:cs="Miriam" w:hint="cs"/>
                      <w:noProof/>
                      <w:sz w:val="18"/>
                      <w:szCs w:val="18"/>
                      <w:rtl/>
                    </w:rPr>
                  </w:pPr>
                  <w:r>
                    <w:rPr>
                      <w:rFonts w:cs="Miriam" w:hint="cs"/>
                      <w:sz w:val="18"/>
                      <w:szCs w:val="18"/>
                      <w:rtl/>
                    </w:rPr>
                    <w:t>ציון במערכת החינוך</w:t>
                  </w:r>
                </w:p>
              </w:txbxContent>
            </v:textbox>
            <w10:anchorlock/>
          </v:rect>
        </w:pict>
      </w:r>
      <w:r>
        <w:rPr>
          <w:rStyle w:val="big-number"/>
          <w:rFonts w:cs="Miriam"/>
          <w:rtl/>
        </w:rPr>
        <w:t>11.</w:t>
      </w:r>
      <w:r>
        <w:rPr>
          <w:rStyle w:val="big-number"/>
          <w:rFonts w:cs="Miriam"/>
          <w:rtl/>
        </w:rPr>
        <w:tab/>
      </w:r>
      <w:r>
        <w:rPr>
          <w:rStyle w:val="default"/>
          <w:rFonts w:cs="FrankRuehl" w:hint="cs"/>
          <w:rtl/>
        </w:rPr>
        <w:t>אחת לשנה, ביום י"ב בטבת יוקדש זמן בבתי הספר ללימוד פועלו וחזונו הציוני של זאב ז'בוטינסקי.</w:t>
      </w:r>
    </w:p>
    <w:p w14:paraId="42EB8B24" w14:textId="77777777" w:rsidR="00B17558" w:rsidRDefault="00B17558">
      <w:pPr>
        <w:pStyle w:val="medium2-header"/>
        <w:keepLines w:val="0"/>
        <w:spacing w:before="72"/>
        <w:ind w:left="0" w:right="1134"/>
        <w:rPr>
          <w:rFonts w:cs="FrankRuehl"/>
          <w:noProof/>
          <w:rtl/>
        </w:rPr>
      </w:pPr>
      <w:bookmarkStart w:id="14" w:name="med3"/>
      <w:bookmarkEnd w:id="14"/>
      <w:r>
        <w:rPr>
          <w:rFonts w:cs="FrankRuehl" w:hint="cs"/>
          <w:noProof/>
          <w:rtl/>
        </w:rPr>
        <w:t>פרק ד': פעולות חינוכיות-ערכיות ומלגות</w:t>
      </w:r>
    </w:p>
    <w:p w14:paraId="6145CE1A" w14:textId="77777777" w:rsidR="00B17558" w:rsidRDefault="00B17558">
      <w:pPr>
        <w:pStyle w:val="P00"/>
        <w:spacing w:before="72"/>
        <w:ind w:left="0" w:right="1134"/>
        <w:rPr>
          <w:rStyle w:val="default"/>
          <w:rFonts w:cs="FrankRuehl" w:hint="cs"/>
          <w:rtl/>
        </w:rPr>
      </w:pPr>
      <w:bookmarkStart w:id="15" w:name="Seif10"/>
      <w:bookmarkEnd w:id="15"/>
      <w:r>
        <w:rPr>
          <w:lang w:val="he-IL"/>
        </w:rPr>
        <w:pict w14:anchorId="7E543959">
          <v:rect id="_x0000_s1036" style="position:absolute;left:0;text-align:left;margin-left:464.5pt;margin-top:8.05pt;width:75.05pt;height:20pt;z-index:251658240" o:allowincell="f" filled="f" stroked="f" strokecolor="lime" strokeweight=".25pt">
            <v:textbox inset="0,0,0,0">
              <w:txbxContent>
                <w:p w14:paraId="7E1F2342" w14:textId="77777777" w:rsidR="00B17558" w:rsidRDefault="00B17558">
                  <w:pPr>
                    <w:spacing w:line="160" w:lineRule="exact"/>
                    <w:jc w:val="left"/>
                    <w:rPr>
                      <w:rFonts w:cs="Miriam" w:hint="cs"/>
                      <w:noProof/>
                      <w:sz w:val="18"/>
                      <w:szCs w:val="18"/>
                      <w:rtl/>
                    </w:rPr>
                  </w:pPr>
                  <w:r>
                    <w:rPr>
                      <w:rFonts w:cs="Miriam" w:hint="cs"/>
                      <w:sz w:val="18"/>
                      <w:szCs w:val="18"/>
                      <w:rtl/>
                    </w:rPr>
                    <w:t>פעולות חינוכיות-ערכיות</w:t>
                  </w:r>
                </w:p>
              </w:txbxContent>
            </v:textbox>
            <w10:anchorlock/>
          </v:rect>
        </w:pict>
      </w:r>
      <w:r>
        <w:rPr>
          <w:rStyle w:val="big-number"/>
          <w:rFonts w:cs="Miriam"/>
          <w:rtl/>
        </w:rPr>
        <w:t>1</w: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מוסדות המדינה, צה"ל ובתי הספר יקיימו פעולות חינוכיות-ערכיות לקידום מטרותיו של חוק זה, לרבות קיום טקסים ופעולות חינוכיות ביום זאב ז'בוטינסקי, ולענין בתי הספר ביום י"ב בטבת של כל שנה.</w:t>
      </w:r>
    </w:p>
    <w:p w14:paraId="4E00961C" w14:textId="77777777" w:rsidR="00B17558" w:rsidRDefault="00B17558">
      <w:pPr>
        <w:pStyle w:val="P00"/>
        <w:spacing w:before="72"/>
        <w:ind w:left="0" w:right="1134"/>
        <w:rPr>
          <w:rStyle w:val="default"/>
          <w:rFonts w:cs="FrankRuehl" w:hint="cs"/>
          <w:rtl/>
        </w:rPr>
      </w:pPr>
      <w:bookmarkStart w:id="16" w:name="Seif11"/>
      <w:bookmarkEnd w:id="16"/>
      <w:r>
        <w:rPr>
          <w:lang w:val="he-IL"/>
        </w:rPr>
        <w:pict w14:anchorId="00290C23">
          <v:rect id="_x0000_s1037" style="position:absolute;left:0;text-align:left;margin-left:464.5pt;margin-top:8.05pt;width:75.05pt;height:8pt;z-index:251659264" o:allowincell="f" filled="f" stroked="f" strokecolor="lime" strokeweight=".25pt">
            <v:textbox inset="0,0,0,0">
              <w:txbxContent>
                <w:p w14:paraId="7943BCEB" w14:textId="77777777" w:rsidR="00B17558" w:rsidRDefault="00B17558">
                  <w:pPr>
                    <w:spacing w:line="160" w:lineRule="exact"/>
                    <w:jc w:val="left"/>
                    <w:rPr>
                      <w:rFonts w:cs="Miriam" w:hint="cs"/>
                      <w:noProof/>
                      <w:sz w:val="18"/>
                      <w:szCs w:val="18"/>
                      <w:rtl/>
                    </w:rPr>
                  </w:pPr>
                  <w:r>
                    <w:rPr>
                      <w:rFonts w:cs="Miriam" w:hint="cs"/>
                      <w:sz w:val="18"/>
                      <w:szCs w:val="18"/>
                      <w:rtl/>
                    </w:rPr>
                    <w:t>מלגות</w:t>
                  </w:r>
                </w:p>
              </w:txbxContent>
            </v:textbox>
            <w10:anchorlock/>
          </v:rect>
        </w:pict>
      </w:r>
      <w:r>
        <w:rPr>
          <w:rStyle w:val="big-number"/>
          <w:rFonts w:cs="Miriam"/>
          <w:rtl/>
        </w:rPr>
        <w:t>1</w: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משרד החינוך התרבות והספורט יקצה מלגות לימודים במסגרת חלוקת מלגות על ידי המשרד, לצורך מחקר בנושאים הקשורים לפועלו ולחזונו הציוני של זאב ז'בוטינסקי, לפי כללים שיקבע שר החינוך התרבות והספורט.</w:t>
      </w:r>
    </w:p>
    <w:p w14:paraId="078B81C6" w14:textId="77777777" w:rsidR="00B17558" w:rsidRDefault="00B17558">
      <w:pPr>
        <w:pStyle w:val="medium2-header"/>
        <w:keepLines w:val="0"/>
        <w:spacing w:before="72"/>
        <w:ind w:left="0" w:right="1134"/>
        <w:rPr>
          <w:rFonts w:cs="FrankRuehl"/>
          <w:noProof/>
          <w:rtl/>
        </w:rPr>
      </w:pPr>
      <w:bookmarkStart w:id="17" w:name="med4"/>
      <w:bookmarkEnd w:id="17"/>
      <w:r>
        <w:rPr>
          <w:rFonts w:cs="FrankRuehl" w:hint="cs"/>
          <w:noProof/>
          <w:rtl/>
        </w:rPr>
        <w:t>פרק ה': תקציב ותמיכות</w:t>
      </w:r>
    </w:p>
    <w:p w14:paraId="0DFE34FE" w14:textId="77777777" w:rsidR="00B17558" w:rsidRDefault="00B17558">
      <w:pPr>
        <w:pStyle w:val="P00"/>
        <w:spacing w:before="72"/>
        <w:ind w:left="0" w:right="1134"/>
        <w:rPr>
          <w:rStyle w:val="default"/>
          <w:rFonts w:cs="FrankRuehl" w:hint="cs"/>
          <w:rtl/>
        </w:rPr>
      </w:pPr>
      <w:bookmarkStart w:id="18" w:name="Seif12"/>
      <w:bookmarkEnd w:id="18"/>
      <w:r>
        <w:rPr>
          <w:lang w:val="he-IL"/>
        </w:rPr>
        <w:pict w14:anchorId="41C3577B">
          <v:rect id="_x0000_s1038" style="position:absolute;left:0;text-align:left;margin-left:464.5pt;margin-top:8.05pt;width:75.05pt;height:8pt;z-index:251660288" o:allowincell="f" filled="f" stroked="f" strokecolor="lime" strokeweight=".25pt">
            <v:textbox inset="0,0,0,0">
              <w:txbxContent>
                <w:p w14:paraId="20414AC6" w14:textId="77777777" w:rsidR="00B17558" w:rsidRDefault="00B17558">
                  <w:pPr>
                    <w:spacing w:line="160" w:lineRule="exact"/>
                    <w:jc w:val="left"/>
                    <w:rPr>
                      <w:rFonts w:cs="Miriam" w:hint="cs"/>
                      <w:noProof/>
                      <w:sz w:val="18"/>
                      <w:szCs w:val="18"/>
                      <w:rtl/>
                    </w:rPr>
                  </w:pPr>
                  <w:r>
                    <w:rPr>
                      <w:rFonts w:cs="Miriam" w:hint="cs"/>
                      <w:sz w:val="18"/>
                      <w:szCs w:val="18"/>
                      <w:rtl/>
                    </w:rPr>
                    <w:t>תקציב</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השתתפות אוצר המדינה בהפעלתו של חוק זה, לרבות תקציב המלגות לפי סעיף 13 והתקציב לתמיכה במוסדות ציבור לפי סעיף קטן (ג), תיקבע בחוק התקציב השנתי כמשמעותו בחוק יסודות התקציב.</w:t>
      </w:r>
    </w:p>
    <w:p w14:paraId="6C43A041" w14:textId="77777777" w:rsidR="00B17558" w:rsidRDefault="00B175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תכין הצעת תקציב שנתי להשתתפות אוצר המדינה כאמור בסעיף קטן (א), ותגישה לראש הממשלה ולשר האוצר; ראש הממשלה ושר האוצר יאשרו את הצעת התקציב כפי שהציעה המועצה הציבורית או בשינויים שימצאו לנכון, ויביאו את הצעת התקציב המאושרת לפני הממשלה במסגרת הדיונים על חוק התקציב השנתי.</w:t>
      </w:r>
    </w:p>
    <w:p w14:paraId="7967CF5A" w14:textId="77777777" w:rsidR="00B17558" w:rsidRDefault="00B175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מתן תמיכות לפי חוק זה ייעשה על פי מבחנים לתמיכה במוסדות ציבור כאמור בסעיף 4(3) שיקבע ראש הממשלה, לאחר התייעצות עם המועצה הציבורית.</w:t>
      </w:r>
    </w:p>
    <w:p w14:paraId="1E8AA5B6" w14:textId="77777777" w:rsidR="00B17558" w:rsidRDefault="00B17558">
      <w:pPr>
        <w:pStyle w:val="medium2-header"/>
        <w:keepLines w:val="0"/>
        <w:spacing w:before="72"/>
        <w:ind w:left="0" w:right="1134"/>
        <w:rPr>
          <w:rFonts w:cs="FrankRuehl" w:hint="cs"/>
          <w:noProof/>
          <w:rtl/>
        </w:rPr>
      </w:pPr>
      <w:bookmarkStart w:id="19" w:name="med5"/>
      <w:bookmarkEnd w:id="19"/>
      <w:r>
        <w:rPr>
          <w:rFonts w:cs="FrankRuehl" w:hint="cs"/>
          <w:noProof/>
          <w:rtl/>
        </w:rPr>
        <w:t>פרק ו': שונות</w:t>
      </w:r>
    </w:p>
    <w:p w14:paraId="4803EDE4" w14:textId="77777777" w:rsidR="00B17558" w:rsidRDefault="00B17558">
      <w:pPr>
        <w:pStyle w:val="P00"/>
        <w:spacing w:before="72"/>
        <w:ind w:left="0" w:right="1134"/>
        <w:rPr>
          <w:rStyle w:val="default"/>
          <w:rFonts w:cs="FrankRuehl" w:hint="cs"/>
          <w:rtl/>
        </w:rPr>
      </w:pPr>
      <w:bookmarkStart w:id="20" w:name="Seif13"/>
      <w:bookmarkEnd w:id="20"/>
      <w:r>
        <w:rPr>
          <w:lang w:val="he-IL"/>
        </w:rPr>
        <w:pict w14:anchorId="7DFFEF6F">
          <v:rect id="_x0000_s1039" style="position:absolute;left:0;text-align:left;margin-left:464.5pt;margin-top:8.05pt;width:75.05pt;height:8pt;z-index:251661312" o:allowincell="f" filled="f" stroked="f" strokecolor="lime" strokeweight=".25pt">
            <v:textbox inset="0,0,0,0">
              <w:txbxContent>
                <w:p w14:paraId="03DB7DCA" w14:textId="77777777" w:rsidR="00B17558" w:rsidRDefault="00B17558">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w: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ראש הממשלה ממונה על ביצוע חוק זה, והוא רשאי, בהתייעצות עם המועצה הציבורית, ובאישור ועדת החינוך התרבות והספורט של הכנסת, להתקין תקנות לביצועו, לרבות בענין סדרי עבודת המועצה הציבורית.</w:t>
      </w:r>
    </w:p>
    <w:p w14:paraId="59CA1533" w14:textId="77777777" w:rsidR="00B17558" w:rsidRDefault="00B17558">
      <w:pPr>
        <w:pStyle w:val="P00"/>
        <w:spacing w:before="72"/>
        <w:ind w:left="0" w:right="1134"/>
        <w:rPr>
          <w:rStyle w:val="default"/>
          <w:rFonts w:cs="FrankRuehl" w:hint="cs"/>
          <w:rtl/>
        </w:rPr>
      </w:pPr>
      <w:r>
        <w:rPr>
          <w:lang w:val="he-IL"/>
        </w:rPr>
        <w:pict w14:anchorId="5E91772C">
          <v:rect id="_x0000_s1040" style="position:absolute;left:0;text-align:left;margin-left:464.5pt;margin-top:8.05pt;width:75.05pt;height:24.1pt;z-index:251662336" o:allowincell="f" filled="f" stroked="f" strokecolor="lime" strokeweight=".25pt">
            <v:textbox inset="0,0,0,0">
              <w:txbxContent>
                <w:p w14:paraId="2F776F43" w14:textId="77777777" w:rsidR="00B17558" w:rsidRDefault="00B17558">
                  <w:pPr>
                    <w:spacing w:line="160" w:lineRule="exact"/>
                    <w:jc w:val="left"/>
                    <w:rPr>
                      <w:rFonts w:cs="Miriam" w:hint="cs"/>
                      <w:noProof/>
                      <w:sz w:val="18"/>
                      <w:szCs w:val="18"/>
                      <w:rtl/>
                    </w:rPr>
                  </w:pPr>
                  <w:r>
                    <w:rPr>
                      <w:rFonts w:cs="Miriam" w:hint="cs"/>
                      <w:sz w:val="18"/>
                      <w:szCs w:val="18"/>
                      <w:rtl/>
                    </w:rPr>
                    <w:t xml:space="preserve">תיקון חוק החברות הממשלתיות </w:t>
                  </w:r>
                  <w:r>
                    <w:rPr>
                      <w:rFonts w:cs="Miriam"/>
                      <w:sz w:val="18"/>
                      <w:szCs w:val="18"/>
                      <w:rtl/>
                    </w:rPr>
                    <w:t>–</w:t>
                  </w:r>
                  <w:r>
                    <w:rPr>
                      <w:rFonts w:cs="Miriam" w:hint="cs"/>
                      <w:sz w:val="18"/>
                      <w:szCs w:val="18"/>
                      <w:rtl/>
                    </w:rPr>
                    <w:t xml:space="preserve"> מס' 17</w:t>
                  </w:r>
                </w:p>
              </w:txbxContent>
            </v:textbox>
            <w10:anchorlock/>
          </v:rect>
        </w:pict>
      </w:r>
      <w:r>
        <w:rPr>
          <w:rStyle w:val="big-number"/>
          <w:rFonts w:cs="Miriam"/>
          <w:rtl/>
        </w:rPr>
        <w:t>1</w: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בחוק החברות הממשלתיות, התשל"ה-1975, בתוספת, בסופה יבוא:</w:t>
      </w:r>
    </w:p>
    <w:p w14:paraId="389C2968" w14:textId="77777777" w:rsidR="00B17558" w:rsidRDefault="00B17558">
      <w:pPr>
        <w:pStyle w:val="P00"/>
        <w:spacing w:before="72"/>
        <w:ind w:left="1021" w:right="1134"/>
        <w:rPr>
          <w:rStyle w:val="default"/>
          <w:rFonts w:cs="FrankRuehl" w:hint="cs"/>
          <w:rtl/>
        </w:rPr>
      </w:pPr>
      <w:r>
        <w:rPr>
          <w:rStyle w:val="default"/>
          <w:rFonts w:cs="FrankRuehl" w:hint="cs"/>
          <w:rtl/>
        </w:rPr>
        <w:t xml:space="preserve">"20. המועצה הציבורית </w:t>
      </w:r>
      <w:r>
        <w:rPr>
          <w:rStyle w:val="default"/>
          <w:rFonts w:cs="FrankRuehl"/>
          <w:rtl/>
        </w:rPr>
        <w:t>–</w:t>
      </w:r>
      <w:r>
        <w:rPr>
          <w:rStyle w:val="default"/>
          <w:rFonts w:cs="FrankRuehl" w:hint="cs"/>
          <w:rtl/>
        </w:rPr>
        <w:t xml:space="preserve"> לפי חוק זאב ז'בוטינסקי (ציון זכרו ופועלו), התשס"ה-2005".</w:t>
      </w:r>
    </w:p>
    <w:p w14:paraId="59ED597D" w14:textId="77777777" w:rsidR="00B17558" w:rsidRDefault="00B17558">
      <w:pPr>
        <w:pStyle w:val="P00"/>
        <w:spacing w:before="72"/>
        <w:ind w:left="0" w:right="1134"/>
        <w:rPr>
          <w:rStyle w:val="default"/>
          <w:rFonts w:cs="FrankRuehl" w:hint="cs"/>
          <w:rtl/>
        </w:rPr>
      </w:pPr>
      <w:bookmarkStart w:id="21" w:name="Seif14"/>
      <w:bookmarkEnd w:id="21"/>
      <w:r>
        <w:rPr>
          <w:lang w:val="he-IL"/>
        </w:rPr>
        <w:pict w14:anchorId="0D95CAF3">
          <v:rect id="_x0000_s1041" style="position:absolute;left:0;text-align:left;margin-left:464.5pt;margin-top:8.05pt;width:75.05pt;height:8pt;z-index:251663360" o:allowincell="f" filled="f" stroked="f" strokecolor="lime" strokeweight=".25pt">
            <v:textbox inset="0,0,0,0">
              <w:txbxContent>
                <w:p w14:paraId="16470751" w14:textId="77777777" w:rsidR="00B17558" w:rsidRDefault="00B17558">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1</w: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תחילתו של חוק זה, למעט פרק ב', בתום ארבעה חודשים מיום פרסומו.</w:t>
      </w:r>
    </w:p>
    <w:p w14:paraId="018F0108" w14:textId="77777777" w:rsidR="00B17558" w:rsidRDefault="00B175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תום חודשיים מיום פרסומו של חוק זה תמנה הממשלה את המועצה הציבורית לפי סעיף 3.</w:t>
      </w:r>
    </w:p>
    <w:p w14:paraId="6627439B" w14:textId="77777777" w:rsidR="00B17558" w:rsidRDefault="00B1755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4 עד 9 מיום מינוי המועצה הציבורית כאמור בסעיף קטן (ב).</w:t>
      </w:r>
    </w:p>
    <w:p w14:paraId="0B5977E4" w14:textId="77777777" w:rsidR="00B17558" w:rsidRDefault="00B17558">
      <w:pPr>
        <w:pStyle w:val="P00"/>
        <w:spacing w:before="72"/>
        <w:ind w:left="0" w:right="1134"/>
        <w:rPr>
          <w:rStyle w:val="default"/>
          <w:rFonts w:cs="FrankRuehl" w:hint="cs"/>
          <w:rtl/>
        </w:rPr>
      </w:pPr>
      <w:bookmarkStart w:id="22" w:name="Seif15"/>
      <w:bookmarkEnd w:id="22"/>
      <w:r>
        <w:rPr>
          <w:lang w:val="he-IL"/>
        </w:rPr>
        <w:pict w14:anchorId="46977856">
          <v:rect id="_x0000_s1042" style="position:absolute;left:0;text-align:left;margin-left:464.5pt;margin-top:8.05pt;width:75.05pt;height:20.9pt;z-index:251664384" o:allowincell="f" filled="f" stroked="f" strokecolor="lime" strokeweight=".25pt">
            <v:textbox inset="0,0,0,0">
              <w:txbxContent>
                <w:p w14:paraId="48A99AF2" w14:textId="77777777" w:rsidR="00B17558" w:rsidRDefault="00B17558">
                  <w:pPr>
                    <w:spacing w:line="160" w:lineRule="exact"/>
                    <w:jc w:val="left"/>
                    <w:rPr>
                      <w:rFonts w:cs="Miriam" w:hint="cs"/>
                      <w:noProof/>
                      <w:sz w:val="18"/>
                      <w:szCs w:val="18"/>
                      <w:rtl/>
                    </w:rPr>
                  </w:pPr>
                  <w:r>
                    <w:rPr>
                      <w:rFonts w:cs="Miriam" w:hint="cs"/>
                      <w:sz w:val="18"/>
                      <w:szCs w:val="18"/>
                      <w:rtl/>
                    </w:rPr>
                    <w:t>הוראת שעה לשנת הכספים 2005</w:t>
                  </w:r>
                </w:p>
              </w:txbxContent>
            </v:textbox>
            <w10:anchorlock/>
          </v:rect>
        </w:pict>
      </w:r>
      <w:r>
        <w:rPr>
          <w:rStyle w:val="big-number"/>
          <w:rFonts w:cs="Miriam"/>
          <w:rtl/>
        </w:rPr>
        <w:t>1</w: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אוצר המדינה ישתתף בהפעלתו של חוק זה מיום תחילתו ועד תום שנת הכספים 2005 לפי הוראות כל דין והוראות סעיפים 14(א) ו-14(ב) לא יחולו.</w:t>
      </w:r>
    </w:p>
    <w:p w14:paraId="025917F6" w14:textId="77777777" w:rsidR="00B17558" w:rsidRDefault="00B17558">
      <w:pPr>
        <w:pStyle w:val="P00"/>
        <w:spacing w:before="72"/>
        <w:ind w:left="0" w:right="1134"/>
        <w:rPr>
          <w:rStyle w:val="default"/>
          <w:rFonts w:cs="FrankRuehl" w:hint="cs"/>
          <w:rtl/>
        </w:rPr>
      </w:pPr>
    </w:p>
    <w:p w14:paraId="2EF8D956" w14:textId="77777777" w:rsidR="00B17558" w:rsidRDefault="00B17558">
      <w:pPr>
        <w:pStyle w:val="P00"/>
        <w:spacing w:before="72"/>
        <w:ind w:left="0" w:right="1134"/>
        <w:rPr>
          <w:rStyle w:val="default"/>
          <w:rFonts w:cs="FrankRuehl" w:hint="cs"/>
          <w:rtl/>
        </w:rPr>
      </w:pPr>
    </w:p>
    <w:p w14:paraId="1BB68F17" w14:textId="77777777" w:rsidR="00B17558" w:rsidRDefault="00B17558">
      <w:pPr>
        <w:pStyle w:val="sig-1"/>
        <w:widowControl/>
        <w:tabs>
          <w:tab w:val="clear" w:pos="851"/>
          <w:tab w:val="clear" w:pos="2835"/>
          <w:tab w:val="clear" w:pos="4820"/>
          <w:tab w:val="center" w:pos="1701"/>
          <w:tab w:val="center" w:pos="3969"/>
          <w:tab w:val="center" w:pos="6237"/>
        </w:tabs>
        <w:ind w:left="720" w:right="1134"/>
        <w:rPr>
          <w:rFonts w:cs="FrankRuehl" w:hint="cs"/>
          <w:sz w:val="26"/>
          <w:szCs w:val="26"/>
          <w:rtl/>
        </w:rPr>
      </w:pPr>
      <w:r>
        <w:rPr>
          <w:rFonts w:cs="FrankRuehl"/>
          <w:sz w:val="26"/>
          <w:szCs w:val="26"/>
          <w:rtl/>
        </w:rPr>
        <w:tab/>
      </w:r>
      <w:r>
        <w:rPr>
          <w:rFonts w:cs="FrankRuehl" w:hint="cs"/>
          <w:sz w:val="26"/>
          <w:szCs w:val="26"/>
          <w:rtl/>
        </w:rPr>
        <w:tab/>
        <w:t>אריאל שרון</w:t>
      </w:r>
    </w:p>
    <w:p w14:paraId="459C1D7A" w14:textId="77777777" w:rsidR="00B17558" w:rsidRDefault="00B17558">
      <w:pPr>
        <w:pStyle w:val="sig-1"/>
        <w:widowControl/>
        <w:tabs>
          <w:tab w:val="clear" w:pos="851"/>
          <w:tab w:val="clear" w:pos="2835"/>
          <w:tab w:val="clear" w:pos="4820"/>
          <w:tab w:val="center" w:pos="1701"/>
          <w:tab w:val="center" w:pos="3969"/>
          <w:tab w:val="center" w:pos="6237"/>
        </w:tabs>
        <w:ind w:left="720" w:right="1134"/>
        <w:rPr>
          <w:rFonts w:cs="FrankRuehl" w:hint="cs"/>
          <w:sz w:val="22"/>
          <w:rtl/>
        </w:rPr>
      </w:pPr>
      <w:r>
        <w:rPr>
          <w:rFonts w:cs="FrankRuehl" w:hint="cs"/>
          <w:sz w:val="22"/>
          <w:rtl/>
        </w:rPr>
        <w:tab/>
      </w:r>
      <w:r>
        <w:rPr>
          <w:rFonts w:cs="FrankRuehl" w:hint="cs"/>
          <w:sz w:val="22"/>
          <w:rtl/>
        </w:rPr>
        <w:tab/>
        <w:t>ראש הממשלה</w:t>
      </w:r>
    </w:p>
    <w:p w14:paraId="1123AD09" w14:textId="77777777" w:rsidR="00B17558" w:rsidRDefault="00B17558">
      <w:pPr>
        <w:pStyle w:val="sig-1"/>
        <w:widowControl/>
        <w:tabs>
          <w:tab w:val="clear" w:pos="851"/>
          <w:tab w:val="clear" w:pos="2835"/>
          <w:tab w:val="clear" w:pos="4820"/>
          <w:tab w:val="center" w:pos="1701"/>
          <w:tab w:val="center" w:pos="3969"/>
          <w:tab w:val="center" w:pos="6237"/>
        </w:tabs>
        <w:ind w:left="72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20B1F256" w14:textId="77777777" w:rsidR="00B17558" w:rsidRDefault="00B17558">
      <w:pPr>
        <w:pStyle w:val="sig-1"/>
        <w:widowControl/>
        <w:tabs>
          <w:tab w:val="clear" w:pos="851"/>
          <w:tab w:val="clear" w:pos="2835"/>
          <w:tab w:val="clear" w:pos="4820"/>
          <w:tab w:val="center" w:pos="1701"/>
          <w:tab w:val="center" w:pos="3969"/>
          <w:tab w:val="center" w:pos="6237"/>
        </w:tabs>
        <w:ind w:left="72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65AA8C54" w14:textId="77777777" w:rsidR="00B17558" w:rsidRDefault="00B17558">
      <w:pPr>
        <w:pStyle w:val="P00"/>
        <w:spacing w:before="72"/>
        <w:ind w:left="0" w:right="1134"/>
        <w:rPr>
          <w:rStyle w:val="default"/>
          <w:rFonts w:cs="FrankRuehl" w:hint="cs"/>
          <w:rtl/>
        </w:rPr>
      </w:pPr>
      <w:bookmarkStart w:id="23" w:name="LawPartEnd"/>
      <w:bookmarkEnd w:id="23"/>
    </w:p>
    <w:p w14:paraId="5AD67078" w14:textId="77777777" w:rsidR="00B17558" w:rsidRDefault="00B17558">
      <w:pPr>
        <w:pStyle w:val="P00"/>
        <w:spacing w:before="72"/>
        <w:ind w:left="0" w:right="1134"/>
        <w:rPr>
          <w:rStyle w:val="default"/>
          <w:rFonts w:cs="FrankRuehl" w:hint="cs"/>
          <w:rtl/>
        </w:rPr>
      </w:pPr>
    </w:p>
    <w:p w14:paraId="6FA59265" w14:textId="77777777" w:rsidR="00B3011A" w:rsidRDefault="00B3011A">
      <w:pPr>
        <w:pStyle w:val="P00"/>
        <w:bidi w:val="0"/>
        <w:spacing w:before="72"/>
        <w:ind w:left="0" w:right="1134"/>
        <w:rPr>
          <w:rStyle w:val="default"/>
          <w:rFonts w:cs="FrankRuehl"/>
        </w:rPr>
      </w:pPr>
    </w:p>
    <w:p w14:paraId="3DEE0EA0" w14:textId="77777777" w:rsidR="00B3011A" w:rsidRDefault="00B3011A">
      <w:pPr>
        <w:pStyle w:val="P00"/>
        <w:bidi w:val="0"/>
        <w:spacing w:before="72"/>
        <w:ind w:left="0" w:right="1134"/>
        <w:rPr>
          <w:rStyle w:val="default"/>
          <w:rFonts w:cs="FrankRuehl"/>
        </w:rPr>
      </w:pPr>
    </w:p>
    <w:p w14:paraId="70B3D32F" w14:textId="77777777" w:rsidR="00B3011A" w:rsidRDefault="00B3011A" w:rsidP="00B3011A">
      <w:pPr>
        <w:pStyle w:val="P00"/>
        <w:bidi w:val="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DB9A1B8" w14:textId="77777777" w:rsidR="00B17558" w:rsidRPr="00B3011A" w:rsidRDefault="00B17558" w:rsidP="00B3011A">
      <w:pPr>
        <w:pStyle w:val="P00"/>
        <w:bidi w:val="0"/>
        <w:spacing w:before="72"/>
        <w:ind w:left="0" w:right="1134"/>
        <w:jc w:val="center"/>
        <w:rPr>
          <w:rStyle w:val="default"/>
          <w:rFonts w:cs="David"/>
          <w:color w:val="0000FF"/>
          <w:szCs w:val="24"/>
          <w:u w:val="single"/>
          <w:rtl/>
        </w:rPr>
      </w:pPr>
    </w:p>
    <w:sectPr w:rsidR="00B17558" w:rsidRPr="00B3011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116F1" w14:textId="77777777" w:rsidR="00130180" w:rsidRDefault="00130180">
      <w:r>
        <w:separator/>
      </w:r>
    </w:p>
  </w:endnote>
  <w:endnote w:type="continuationSeparator" w:id="0">
    <w:p w14:paraId="273A57DA" w14:textId="77777777" w:rsidR="00130180" w:rsidRDefault="00130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4EE0" w14:textId="77777777" w:rsidR="00B17558" w:rsidRDefault="00B175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98A531" w14:textId="77777777" w:rsidR="00B17558" w:rsidRDefault="00B175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061D05" w14:textId="77777777" w:rsidR="00B17558" w:rsidRDefault="00B175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011A">
      <w:rPr>
        <w:rFonts w:cs="TopType Jerushalmi"/>
        <w:noProof/>
        <w:color w:val="000000"/>
        <w:sz w:val="14"/>
        <w:szCs w:val="14"/>
      </w:rPr>
      <w:t>Z:\00000000000000000000000=2014------------------------\05-May\2014-05-28\LawsForHofit\01\999_418.doc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CDD6" w14:textId="77777777" w:rsidR="00B17558" w:rsidRDefault="00B1755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3011A">
      <w:rPr>
        <w:rFonts w:hAnsi="FrankRuehl" w:cs="FrankRuehl"/>
        <w:noProof/>
        <w:sz w:val="24"/>
        <w:szCs w:val="24"/>
        <w:rtl/>
      </w:rPr>
      <w:t>5</w:t>
    </w:r>
    <w:r>
      <w:rPr>
        <w:rFonts w:hAnsi="FrankRuehl" w:cs="FrankRuehl"/>
        <w:sz w:val="24"/>
        <w:szCs w:val="24"/>
        <w:rtl/>
      </w:rPr>
      <w:fldChar w:fldCharType="end"/>
    </w:r>
  </w:p>
  <w:p w14:paraId="0E2C89C0" w14:textId="77777777" w:rsidR="00B17558" w:rsidRDefault="00B1755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AD39BB" w14:textId="77777777" w:rsidR="00B17558" w:rsidRDefault="00B1755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3011A">
      <w:rPr>
        <w:rFonts w:cs="TopType Jerushalmi"/>
        <w:noProof/>
        <w:color w:val="000000"/>
        <w:sz w:val="14"/>
        <w:szCs w:val="14"/>
      </w:rPr>
      <w:t>Z:\00000000000000000000000=2014------------------------\05-May\2014-05-28\LawsForHofit\01\999_418.doc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4D97" w14:textId="77777777" w:rsidR="00130180" w:rsidRDefault="00130180">
      <w:r>
        <w:separator/>
      </w:r>
    </w:p>
  </w:footnote>
  <w:footnote w:type="continuationSeparator" w:id="0">
    <w:p w14:paraId="24817E4C" w14:textId="77777777" w:rsidR="00130180" w:rsidRDefault="00130180">
      <w:r>
        <w:continuationSeparator/>
      </w:r>
    </w:p>
  </w:footnote>
  <w:footnote w:id="1">
    <w:p w14:paraId="3F17F691" w14:textId="77777777" w:rsidR="00B17558" w:rsidRDefault="00B175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Cs w:val="26"/>
          <w:rtl/>
        </w:rPr>
      </w:pPr>
      <w:r>
        <w:rPr>
          <w:rFonts w:cs="FrankRuehl"/>
        </w:rPr>
        <w:t>*</w:t>
      </w:r>
      <w:r>
        <w:rPr>
          <w:rFonts w:cs="FrankRuehl" w:hint="cs"/>
          <w:rtl/>
        </w:rPr>
        <w:t xml:space="preserve"> פורסם </w:t>
      </w:r>
      <w:hyperlink r:id="rId1" w:history="1">
        <w:r>
          <w:rPr>
            <w:rStyle w:val="Hyperlink"/>
            <w:rFonts w:cs="FrankRuehl" w:hint="cs"/>
            <w:rtl/>
          </w:rPr>
          <w:t>ס"ח תשס"ה מס' 1993</w:t>
        </w:r>
      </w:hyperlink>
      <w:r>
        <w:rPr>
          <w:rFonts w:cs="FrankRuehl" w:hint="cs"/>
          <w:rtl/>
        </w:rPr>
        <w:t xml:space="preserve"> מיום 3.4.2005 עמ' 268 (</w:t>
      </w:r>
      <w:hyperlink r:id="rId2" w:history="1">
        <w:r>
          <w:rPr>
            <w:rStyle w:val="Hyperlink"/>
            <w:rFonts w:cs="FrankRuehl" w:hint="cs"/>
            <w:rtl/>
          </w:rPr>
          <w:t>ה"ח הכנסת תשס"ה מס' 73</w:t>
        </w:r>
      </w:hyperlink>
      <w:r>
        <w:rPr>
          <w:rFonts w:cs="FrankRuehl" w:hint="cs"/>
          <w:rtl/>
        </w:rPr>
        <w:t xml:space="preserve"> עמ' 124).</w:t>
      </w:r>
    </w:p>
  </w:footnote>
  <w:footnote w:id="2">
    <w:p w14:paraId="155AF7EA" w14:textId="77777777" w:rsidR="00E06E66" w:rsidRDefault="00E06E66" w:rsidP="00E06E66">
      <w:pPr>
        <w:pStyle w:val="a5"/>
        <w:spacing w:before="72" w:line="240" w:lineRule="auto"/>
        <w:ind w:right="1134"/>
        <w:rPr>
          <w:rFonts w:hint="cs"/>
          <w:rtl/>
        </w:rPr>
      </w:pPr>
      <w:r>
        <w:rPr>
          <w:rStyle w:val="a6"/>
        </w:rPr>
        <w:footnoteRef/>
      </w:r>
      <w:r w:rsidRPr="00E06E66">
        <w:rPr>
          <w:rFonts w:cs="FrankRuehl"/>
          <w:sz w:val="22"/>
          <w:szCs w:val="22"/>
          <w:rtl/>
        </w:rPr>
        <w:t xml:space="preserve"> </w:t>
      </w:r>
      <w:r w:rsidRPr="00E06E66">
        <w:rPr>
          <w:rFonts w:cs="FrankRuehl" w:hint="cs"/>
          <w:sz w:val="22"/>
          <w:szCs w:val="22"/>
          <w:rtl/>
        </w:rPr>
        <w:t xml:space="preserve">סמכותה הואצלה לראש הממשלה: </w:t>
      </w:r>
      <w:hyperlink r:id="rId3" w:history="1">
        <w:r w:rsidRPr="00E06E66">
          <w:rPr>
            <w:rStyle w:val="Hyperlink"/>
            <w:rFonts w:cs="FrankRuehl" w:hint="cs"/>
            <w:sz w:val="22"/>
            <w:szCs w:val="22"/>
            <w:rtl/>
          </w:rPr>
          <w:t>י"פ תשע"ב מס' 6400</w:t>
        </w:r>
      </w:hyperlink>
      <w:r w:rsidRPr="00E06E66">
        <w:rPr>
          <w:rFonts w:cs="FrankRuehl" w:hint="cs"/>
          <w:sz w:val="22"/>
          <w:szCs w:val="22"/>
          <w:rtl/>
        </w:rPr>
        <w:t xml:space="preserve"> מיום 3.4.2012 עמ' 3352.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D3ADA" w14:textId="77777777" w:rsidR="00B17558" w:rsidRDefault="00B175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דוד בן-גוריון, תשל"ז–1976</w:t>
    </w:r>
  </w:p>
  <w:p w14:paraId="47C77863" w14:textId="77777777" w:rsidR="00B17558" w:rsidRDefault="00B175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625AD6" w14:textId="77777777" w:rsidR="00B17558" w:rsidRDefault="00B1755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8C24" w14:textId="77777777" w:rsidR="00B17558" w:rsidRDefault="00B1755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זאב ז'בוטינסקי (ציון זכרו ופועלו), תשס"ה-2005</w:t>
    </w:r>
  </w:p>
  <w:p w14:paraId="6D24228F" w14:textId="77777777" w:rsidR="00B17558" w:rsidRDefault="00B175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4EADDB" w14:textId="77777777" w:rsidR="00B17558" w:rsidRDefault="00B1755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3035"/>
    <w:rsid w:val="00130180"/>
    <w:rsid w:val="003634F3"/>
    <w:rsid w:val="00833035"/>
    <w:rsid w:val="00B17558"/>
    <w:rsid w:val="00B3011A"/>
    <w:rsid w:val="00E06E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ECEAF0"/>
  <w15:chartTrackingRefBased/>
  <w15:docId w15:val="{E17C3EE7-1D3D-44FD-8068-45ECF9C1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6400.pdf" TargetMode="External"/><Relationship Id="rId2" Type="http://schemas.openxmlformats.org/officeDocument/2006/relationships/hyperlink" Target="http://www.nevo.co.il/Law_word/law16/KNESSET-73.pdf" TargetMode="External"/><Relationship Id="rId1" Type="http://schemas.openxmlformats.org/officeDocument/2006/relationships/hyperlink" Target="http://www.nevo.co.il/Law_word/law14/LAW-19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68</vt:lpstr>
    </vt:vector>
  </TitlesOfParts>
  <Company/>
  <LinksUpToDate>false</LinksUpToDate>
  <CharactersWithSpaces>10044</CharactersWithSpaces>
  <SharedDoc>false</SharedDoc>
  <HLinks>
    <vt:vector size="162" baseType="variant">
      <vt:variant>
        <vt:i4>393283</vt:i4>
      </vt:variant>
      <vt:variant>
        <vt:i4>138</vt:i4>
      </vt:variant>
      <vt:variant>
        <vt:i4>0</vt:i4>
      </vt:variant>
      <vt:variant>
        <vt:i4>5</vt:i4>
      </vt:variant>
      <vt:variant>
        <vt:lpwstr>http://www.nevo.co.il/advertisements/nevo-100.doc</vt:lpwstr>
      </vt:variant>
      <vt:variant>
        <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5242889</vt:i4>
      </vt:variant>
      <vt:variant>
        <vt:i4>114</vt:i4>
      </vt:variant>
      <vt:variant>
        <vt:i4>0</vt:i4>
      </vt:variant>
      <vt:variant>
        <vt:i4>5</vt:i4>
      </vt:variant>
      <vt:variant>
        <vt:lpwstr/>
      </vt:variant>
      <vt:variant>
        <vt:lpwstr>med5</vt:lpwstr>
      </vt:variant>
      <vt:variant>
        <vt:i4>3211307</vt:i4>
      </vt:variant>
      <vt:variant>
        <vt:i4>108</vt:i4>
      </vt:variant>
      <vt:variant>
        <vt:i4>0</vt:i4>
      </vt:variant>
      <vt:variant>
        <vt:i4>5</vt:i4>
      </vt:variant>
      <vt:variant>
        <vt:lpwstr/>
      </vt:variant>
      <vt:variant>
        <vt:lpwstr>Seif12</vt:lpwstr>
      </vt:variant>
      <vt:variant>
        <vt:i4>5308425</vt:i4>
      </vt:variant>
      <vt:variant>
        <vt:i4>102</vt:i4>
      </vt:variant>
      <vt:variant>
        <vt:i4>0</vt:i4>
      </vt:variant>
      <vt:variant>
        <vt:i4>5</vt:i4>
      </vt:variant>
      <vt:variant>
        <vt:lpwstr/>
      </vt:variant>
      <vt:variant>
        <vt:lpwstr>med4</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5636105</vt:i4>
      </vt:variant>
      <vt:variant>
        <vt:i4>84</vt:i4>
      </vt:variant>
      <vt:variant>
        <vt:i4>0</vt:i4>
      </vt:variant>
      <vt:variant>
        <vt:i4>5</vt:i4>
      </vt:variant>
      <vt:variant>
        <vt:lpwstr/>
      </vt:variant>
      <vt:variant>
        <vt:lpwstr>med3</vt:lpwstr>
      </vt:variant>
      <vt:variant>
        <vt:i4>3407915</vt:i4>
      </vt:variant>
      <vt:variant>
        <vt:i4>78</vt:i4>
      </vt:variant>
      <vt:variant>
        <vt:i4>0</vt:i4>
      </vt:variant>
      <vt:variant>
        <vt:i4>5</vt:i4>
      </vt:variant>
      <vt:variant>
        <vt:lpwstr/>
      </vt:variant>
      <vt:variant>
        <vt:lpwstr>Seif17</vt:lpwstr>
      </vt:variant>
      <vt:variant>
        <vt:i4>196634</vt:i4>
      </vt:variant>
      <vt:variant>
        <vt:i4>72</vt:i4>
      </vt:variant>
      <vt:variant>
        <vt:i4>0</vt:i4>
      </vt:variant>
      <vt:variant>
        <vt:i4>5</vt:i4>
      </vt:variant>
      <vt:variant>
        <vt:lpwstr/>
      </vt:variant>
      <vt:variant>
        <vt:lpwstr>Seif9</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3473451</vt:i4>
      </vt:variant>
      <vt:variant>
        <vt:i4>6</vt:i4>
      </vt:variant>
      <vt:variant>
        <vt:i4>0</vt:i4>
      </vt:variant>
      <vt:variant>
        <vt:i4>5</vt:i4>
      </vt:variant>
      <vt:variant>
        <vt:lpwstr/>
      </vt:variant>
      <vt:variant>
        <vt:lpwstr>Seif16</vt:lpwstr>
      </vt:variant>
      <vt:variant>
        <vt:i4>5570569</vt:i4>
      </vt:variant>
      <vt:variant>
        <vt:i4>0</vt:i4>
      </vt:variant>
      <vt:variant>
        <vt:i4>0</vt:i4>
      </vt:variant>
      <vt:variant>
        <vt:i4>5</vt:i4>
      </vt:variant>
      <vt:variant>
        <vt:lpwstr/>
      </vt:variant>
      <vt:variant>
        <vt:lpwstr>med0</vt:lpwstr>
      </vt:variant>
      <vt:variant>
        <vt:i4>7667719</vt:i4>
      </vt:variant>
      <vt:variant>
        <vt:i4>6</vt:i4>
      </vt:variant>
      <vt:variant>
        <vt:i4>0</vt:i4>
      </vt:variant>
      <vt:variant>
        <vt:i4>5</vt:i4>
      </vt:variant>
      <vt:variant>
        <vt:lpwstr>http://www.nevo.co.il/Law_word/law10/yalkut-6400.pdf</vt:lpwstr>
      </vt:variant>
      <vt:variant>
        <vt:lpwstr/>
      </vt:variant>
      <vt:variant>
        <vt:i4>5767203</vt:i4>
      </vt:variant>
      <vt:variant>
        <vt:i4>3</vt:i4>
      </vt:variant>
      <vt:variant>
        <vt:i4>0</vt:i4>
      </vt:variant>
      <vt:variant>
        <vt:i4>5</vt:i4>
      </vt:variant>
      <vt:variant>
        <vt:lpwstr>http://www.nevo.co.il/Law_word/law16/KNESSET-73.pdf</vt:lpwstr>
      </vt:variant>
      <vt:variant>
        <vt:lpwstr/>
      </vt:variant>
      <vt:variant>
        <vt:i4>7798787</vt:i4>
      </vt:variant>
      <vt:variant>
        <vt:i4>0</vt:i4>
      </vt:variant>
      <vt:variant>
        <vt:i4>0</vt:i4>
      </vt:variant>
      <vt:variant>
        <vt:i4>5</vt:i4>
      </vt:variant>
      <vt:variant>
        <vt:lpwstr>http://www.nevo.co.il/Law_word/law14/LAW-1993.pdf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חינוך</vt:lpwstr>
  </property>
  <property fmtid="{D5CDD505-2E9C-101B-9397-08002B2CF9AE}" pid="4" name="LAWNAME">
    <vt:lpwstr>חוק זאב ז'בוטינסקי (ציון זכרו ופועלו), תשס"ה-2005</vt:lpwstr>
  </property>
  <property fmtid="{D5CDD505-2E9C-101B-9397-08002B2CF9AE}" pid="5" name="LAWNUMBER">
    <vt:lpwstr>0418</vt:lpwstr>
  </property>
  <property fmtid="{D5CDD505-2E9C-101B-9397-08002B2CF9AE}" pid="6" name="TYPE">
    <vt:lpwstr>01</vt:lpwstr>
  </property>
  <property fmtid="{D5CDD505-2E9C-101B-9397-08002B2CF9AE}" pid="7" name="LINKK1">
    <vt:lpwstr>http://www.nevo.co.il/Law_word/law14/LAW-1993.pdf;רשומות – ספר חוקים#פורסם ס"ח תשס"ה מס' 1993#מיום 3.4.2005#עמ' 268 </vt:lpwstr>
  </property>
  <property fmtid="{D5CDD505-2E9C-101B-9397-08002B2CF9AE}" pid="8" name="LINKK2">
    <vt:lpwstr>http://www.nevo.co.il/Law_word/law16/KNESSET-73.pdf;רשומות – הצעות חוק הכנסת ודברי הסבר#ה"ח הכנסת תשס"ה מס' 73#עמ' 124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הנצחה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נכסי תרבות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תרבות, פנאי ומועדים</vt:lpwstr>
  </property>
  <property fmtid="{D5CDD505-2E9C-101B-9397-08002B2CF9AE}" pid="32" name="NOSE33">
    <vt:lpwstr>מוסדות </vt:lpwstr>
  </property>
  <property fmtid="{D5CDD505-2E9C-101B-9397-08002B2CF9AE}" pid="33" name="NOSE43">
    <vt:lpwstr>הנצחה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