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B6C5" w14:textId="77777777" w:rsidR="00D25D5C" w:rsidRDefault="000D25DC" w:rsidP="000D25DC">
      <w:pPr>
        <w:pStyle w:val="big-header"/>
        <w:ind w:left="0" w:right="1134"/>
        <w:rPr>
          <w:rFonts w:cs="FrankRuehl" w:hint="cs"/>
          <w:sz w:val="32"/>
          <w:rtl/>
        </w:rPr>
      </w:pPr>
      <w:r>
        <w:rPr>
          <w:rFonts w:cs="FrankRuehl" w:hint="cs"/>
          <w:sz w:val="32"/>
          <w:rtl/>
        </w:rPr>
        <w:t>חוק חוזה סוכנות (סוכן מסחרי וספק</w:t>
      </w:r>
      <w:r w:rsidR="00CA4437">
        <w:rPr>
          <w:rFonts w:cs="FrankRuehl" w:hint="cs"/>
          <w:sz w:val="32"/>
          <w:rtl/>
        </w:rPr>
        <w:t>)</w:t>
      </w:r>
      <w:r w:rsidR="00D25D5C">
        <w:rPr>
          <w:rFonts w:cs="FrankRuehl" w:hint="cs"/>
          <w:sz w:val="32"/>
          <w:rtl/>
        </w:rPr>
        <w:t xml:space="preserve">, </w:t>
      </w:r>
      <w:r w:rsidR="008C48A6">
        <w:rPr>
          <w:rFonts w:cs="FrankRuehl" w:hint="cs"/>
          <w:sz w:val="32"/>
          <w:rtl/>
        </w:rPr>
        <w:t>תשע"</w:t>
      </w:r>
      <w:r w:rsidR="007212DD">
        <w:rPr>
          <w:rFonts w:cs="FrankRuehl" w:hint="cs"/>
          <w:sz w:val="32"/>
          <w:rtl/>
        </w:rPr>
        <w:t>ב-2012</w:t>
      </w:r>
    </w:p>
    <w:p w14:paraId="61CD704B" w14:textId="77777777" w:rsidR="000D25DC" w:rsidRPr="000D25DC" w:rsidRDefault="000D25DC" w:rsidP="000D25DC">
      <w:pPr>
        <w:spacing w:line="320" w:lineRule="auto"/>
        <w:rPr>
          <w:rFonts w:cs="FrankRuehl"/>
          <w:szCs w:val="26"/>
          <w:rtl/>
        </w:rPr>
      </w:pPr>
    </w:p>
    <w:p w14:paraId="2159C716" w14:textId="77777777" w:rsidR="000D25DC" w:rsidRDefault="000D25DC" w:rsidP="000D25DC">
      <w:pPr>
        <w:spacing w:line="320" w:lineRule="auto"/>
        <w:rPr>
          <w:rtl/>
        </w:rPr>
      </w:pPr>
    </w:p>
    <w:p w14:paraId="0C3768AB" w14:textId="77777777" w:rsidR="000D25DC" w:rsidRDefault="000D25DC" w:rsidP="000D25DC">
      <w:pPr>
        <w:spacing w:line="320" w:lineRule="auto"/>
        <w:rPr>
          <w:rFonts w:cs="Miriam"/>
          <w:szCs w:val="22"/>
          <w:rtl/>
        </w:rPr>
      </w:pPr>
      <w:r w:rsidRPr="000D25DC">
        <w:rPr>
          <w:rFonts w:cs="Miriam"/>
          <w:szCs w:val="22"/>
          <w:rtl/>
        </w:rPr>
        <w:t>משפט פרטי וכלכלה</w:t>
      </w:r>
      <w:r w:rsidRPr="000D25DC">
        <w:rPr>
          <w:rFonts w:cs="FrankRuehl"/>
          <w:szCs w:val="26"/>
          <w:rtl/>
        </w:rPr>
        <w:t xml:space="preserve"> – חיובים – חוזים</w:t>
      </w:r>
    </w:p>
    <w:p w14:paraId="44B71B26" w14:textId="77777777" w:rsidR="000D25DC" w:rsidRPr="000D25DC" w:rsidRDefault="000D25DC" w:rsidP="000D25DC">
      <w:pPr>
        <w:spacing w:line="320" w:lineRule="auto"/>
        <w:rPr>
          <w:rFonts w:cs="Miriam" w:hint="cs"/>
          <w:szCs w:val="22"/>
          <w:rtl/>
        </w:rPr>
      </w:pPr>
      <w:r w:rsidRPr="000D25DC">
        <w:rPr>
          <w:rFonts w:cs="Miriam"/>
          <w:szCs w:val="22"/>
          <w:rtl/>
        </w:rPr>
        <w:t>משפט פרטי וכלכלה</w:t>
      </w:r>
      <w:r w:rsidRPr="000D25DC">
        <w:rPr>
          <w:rFonts w:cs="FrankRuehl"/>
          <w:szCs w:val="26"/>
          <w:rtl/>
        </w:rPr>
        <w:t xml:space="preserve"> – מסחר </w:t>
      </w:r>
    </w:p>
    <w:p w14:paraId="3F994F08"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1ECA" w:rsidRPr="00061ECA" w14:paraId="64AE5D0A" w14:textId="77777777" w:rsidTr="00061ECA">
        <w:tblPrEx>
          <w:tblCellMar>
            <w:top w:w="0" w:type="dxa"/>
            <w:bottom w:w="0" w:type="dxa"/>
          </w:tblCellMar>
        </w:tblPrEx>
        <w:tc>
          <w:tcPr>
            <w:tcW w:w="1247" w:type="dxa"/>
          </w:tcPr>
          <w:p w14:paraId="7779B1A8" w14:textId="77777777" w:rsidR="00061ECA" w:rsidRPr="00061ECA" w:rsidRDefault="00061ECA" w:rsidP="00061ECA">
            <w:pPr>
              <w:rPr>
                <w:rFonts w:cs="Frankruhel"/>
                <w:rtl/>
              </w:rPr>
            </w:pPr>
            <w:r>
              <w:rPr>
                <w:rtl/>
              </w:rPr>
              <w:t xml:space="preserve">סעיף 1 </w:t>
            </w:r>
          </w:p>
        </w:tc>
        <w:tc>
          <w:tcPr>
            <w:tcW w:w="5669" w:type="dxa"/>
          </w:tcPr>
          <w:p w14:paraId="12A16C60" w14:textId="77777777" w:rsidR="00061ECA" w:rsidRPr="00061ECA" w:rsidRDefault="00061ECA" w:rsidP="00061ECA">
            <w:pPr>
              <w:rPr>
                <w:rFonts w:cs="Frankruhel"/>
                <w:rtl/>
              </w:rPr>
            </w:pPr>
            <w:r>
              <w:rPr>
                <w:rtl/>
              </w:rPr>
              <w:t>הגדרות</w:t>
            </w:r>
          </w:p>
        </w:tc>
        <w:tc>
          <w:tcPr>
            <w:tcW w:w="567" w:type="dxa"/>
          </w:tcPr>
          <w:p w14:paraId="55C7598B" w14:textId="77777777" w:rsidR="00061ECA" w:rsidRPr="00061ECA" w:rsidRDefault="00061ECA" w:rsidP="00061ECA">
            <w:pPr>
              <w:rPr>
                <w:rStyle w:val="Hyperlink"/>
                <w:rtl/>
              </w:rPr>
            </w:pPr>
            <w:hyperlink w:anchor="Seif1" w:tooltip="הגדרות" w:history="1">
              <w:r w:rsidRPr="00061ECA">
                <w:rPr>
                  <w:rStyle w:val="Hyperlink"/>
                </w:rPr>
                <w:t>Go</w:t>
              </w:r>
            </w:hyperlink>
          </w:p>
        </w:tc>
        <w:tc>
          <w:tcPr>
            <w:tcW w:w="850" w:type="dxa"/>
          </w:tcPr>
          <w:p w14:paraId="5BC30BF3"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61ECA" w:rsidRPr="00061ECA" w14:paraId="22948D69" w14:textId="77777777" w:rsidTr="00061ECA">
        <w:tblPrEx>
          <w:tblCellMar>
            <w:top w:w="0" w:type="dxa"/>
            <w:bottom w:w="0" w:type="dxa"/>
          </w:tblCellMar>
        </w:tblPrEx>
        <w:tc>
          <w:tcPr>
            <w:tcW w:w="1247" w:type="dxa"/>
          </w:tcPr>
          <w:p w14:paraId="10343AD4" w14:textId="77777777" w:rsidR="00061ECA" w:rsidRPr="00061ECA" w:rsidRDefault="00061ECA" w:rsidP="00061ECA">
            <w:pPr>
              <w:rPr>
                <w:rFonts w:cs="Frankruhel"/>
                <w:rtl/>
              </w:rPr>
            </w:pPr>
            <w:r>
              <w:rPr>
                <w:rtl/>
              </w:rPr>
              <w:t xml:space="preserve">סעיף 2 </w:t>
            </w:r>
          </w:p>
        </w:tc>
        <w:tc>
          <w:tcPr>
            <w:tcW w:w="5669" w:type="dxa"/>
          </w:tcPr>
          <w:p w14:paraId="3EC18399" w14:textId="77777777" w:rsidR="00061ECA" w:rsidRPr="00061ECA" w:rsidRDefault="00061ECA" w:rsidP="00061ECA">
            <w:pPr>
              <w:rPr>
                <w:rFonts w:cs="Frankruhel"/>
                <w:rtl/>
              </w:rPr>
            </w:pPr>
            <w:r>
              <w:rPr>
                <w:rtl/>
              </w:rPr>
              <w:t>מהותו של חוזה סוכנות</w:t>
            </w:r>
          </w:p>
        </w:tc>
        <w:tc>
          <w:tcPr>
            <w:tcW w:w="567" w:type="dxa"/>
          </w:tcPr>
          <w:p w14:paraId="20E26158" w14:textId="77777777" w:rsidR="00061ECA" w:rsidRPr="00061ECA" w:rsidRDefault="00061ECA" w:rsidP="00061ECA">
            <w:pPr>
              <w:rPr>
                <w:rStyle w:val="Hyperlink"/>
                <w:rtl/>
              </w:rPr>
            </w:pPr>
            <w:hyperlink w:anchor="Seif2" w:tooltip="מהותו של חוזה סוכנות" w:history="1">
              <w:r w:rsidRPr="00061ECA">
                <w:rPr>
                  <w:rStyle w:val="Hyperlink"/>
                </w:rPr>
                <w:t>Go</w:t>
              </w:r>
            </w:hyperlink>
          </w:p>
        </w:tc>
        <w:tc>
          <w:tcPr>
            <w:tcW w:w="850" w:type="dxa"/>
          </w:tcPr>
          <w:p w14:paraId="27BD41DD"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61ECA" w:rsidRPr="00061ECA" w14:paraId="59089844" w14:textId="77777777" w:rsidTr="00061ECA">
        <w:tblPrEx>
          <w:tblCellMar>
            <w:top w:w="0" w:type="dxa"/>
            <w:bottom w:w="0" w:type="dxa"/>
          </w:tblCellMar>
        </w:tblPrEx>
        <w:tc>
          <w:tcPr>
            <w:tcW w:w="1247" w:type="dxa"/>
          </w:tcPr>
          <w:p w14:paraId="3801AB9E" w14:textId="77777777" w:rsidR="00061ECA" w:rsidRPr="00061ECA" w:rsidRDefault="00061ECA" w:rsidP="00061ECA">
            <w:pPr>
              <w:rPr>
                <w:rFonts w:cs="Frankruhel"/>
                <w:rtl/>
              </w:rPr>
            </w:pPr>
            <w:r>
              <w:rPr>
                <w:rtl/>
              </w:rPr>
              <w:t xml:space="preserve">סעיף 3 </w:t>
            </w:r>
          </w:p>
        </w:tc>
        <w:tc>
          <w:tcPr>
            <w:tcW w:w="5669" w:type="dxa"/>
          </w:tcPr>
          <w:p w14:paraId="3321A843" w14:textId="77777777" w:rsidR="00061ECA" w:rsidRPr="00061ECA" w:rsidRDefault="00061ECA" w:rsidP="00061ECA">
            <w:pPr>
              <w:rPr>
                <w:rFonts w:cs="Frankruhel"/>
                <w:rtl/>
              </w:rPr>
            </w:pPr>
            <w:r>
              <w:rPr>
                <w:rtl/>
              </w:rPr>
              <w:t>חובת נאמנות</w:t>
            </w:r>
          </w:p>
        </w:tc>
        <w:tc>
          <w:tcPr>
            <w:tcW w:w="567" w:type="dxa"/>
          </w:tcPr>
          <w:p w14:paraId="2D40E057" w14:textId="77777777" w:rsidR="00061ECA" w:rsidRPr="00061ECA" w:rsidRDefault="00061ECA" w:rsidP="00061ECA">
            <w:pPr>
              <w:rPr>
                <w:rStyle w:val="Hyperlink"/>
                <w:rtl/>
              </w:rPr>
            </w:pPr>
            <w:hyperlink w:anchor="Seif3" w:tooltip="חובת נאמנות" w:history="1">
              <w:r w:rsidRPr="00061ECA">
                <w:rPr>
                  <w:rStyle w:val="Hyperlink"/>
                </w:rPr>
                <w:t>Go</w:t>
              </w:r>
            </w:hyperlink>
          </w:p>
        </w:tc>
        <w:tc>
          <w:tcPr>
            <w:tcW w:w="850" w:type="dxa"/>
          </w:tcPr>
          <w:p w14:paraId="2CEB46D1"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61ECA" w:rsidRPr="00061ECA" w14:paraId="3A790568" w14:textId="77777777" w:rsidTr="00061ECA">
        <w:tblPrEx>
          <w:tblCellMar>
            <w:top w:w="0" w:type="dxa"/>
            <w:bottom w:w="0" w:type="dxa"/>
          </w:tblCellMar>
        </w:tblPrEx>
        <w:tc>
          <w:tcPr>
            <w:tcW w:w="1247" w:type="dxa"/>
          </w:tcPr>
          <w:p w14:paraId="39C64876" w14:textId="77777777" w:rsidR="00061ECA" w:rsidRPr="00061ECA" w:rsidRDefault="00061ECA" w:rsidP="00061ECA">
            <w:pPr>
              <w:rPr>
                <w:rFonts w:cs="Frankruhel"/>
                <w:rtl/>
              </w:rPr>
            </w:pPr>
            <w:r>
              <w:rPr>
                <w:rtl/>
              </w:rPr>
              <w:t xml:space="preserve">סעיף 4 </w:t>
            </w:r>
          </w:p>
        </w:tc>
        <w:tc>
          <w:tcPr>
            <w:tcW w:w="5669" w:type="dxa"/>
          </w:tcPr>
          <w:p w14:paraId="06D6B5F4" w14:textId="77777777" w:rsidR="00061ECA" w:rsidRPr="00061ECA" w:rsidRDefault="00061ECA" w:rsidP="00061ECA">
            <w:pPr>
              <w:rPr>
                <w:rFonts w:cs="Frankruhel"/>
                <w:rtl/>
              </w:rPr>
            </w:pPr>
            <w:r>
              <w:rPr>
                <w:rtl/>
              </w:rPr>
              <w:t>סיום חוזה סוכנות לתקופה בלתי קצובה</w:t>
            </w:r>
          </w:p>
        </w:tc>
        <w:tc>
          <w:tcPr>
            <w:tcW w:w="567" w:type="dxa"/>
          </w:tcPr>
          <w:p w14:paraId="760F185F" w14:textId="77777777" w:rsidR="00061ECA" w:rsidRPr="00061ECA" w:rsidRDefault="00061ECA" w:rsidP="00061ECA">
            <w:pPr>
              <w:rPr>
                <w:rStyle w:val="Hyperlink"/>
                <w:rtl/>
              </w:rPr>
            </w:pPr>
            <w:hyperlink w:anchor="Seif4" w:tooltip="סיום חוזה סוכנות לתקופה בלתי קצובה" w:history="1">
              <w:r w:rsidRPr="00061ECA">
                <w:rPr>
                  <w:rStyle w:val="Hyperlink"/>
                </w:rPr>
                <w:t>Go</w:t>
              </w:r>
            </w:hyperlink>
          </w:p>
        </w:tc>
        <w:tc>
          <w:tcPr>
            <w:tcW w:w="850" w:type="dxa"/>
          </w:tcPr>
          <w:p w14:paraId="3C26E056"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61ECA" w:rsidRPr="00061ECA" w14:paraId="2BE2B716" w14:textId="77777777" w:rsidTr="00061ECA">
        <w:tblPrEx>
          <w:tblCellMar>
            <w:top w:w="0" w:type="dxa"/>
            <w:bottom w:w="0" w:type="dxa"/>
          </w:tblCellMar>
        </w:tblPrEx>
        <w:tc>
          <w:tcPr>
            <w:tcW w:w="1247" w:type="dxa"/>
          </w:tcPr>
          <w:p w14:paraId="4FD1292B" w14:textId="77777777" w:rsidR="00061ECA" w:rsidRPr="00061ECA" w:rsidRDefault="00061ECA" w:rsidP="00061ECA">
            <w:pPr>
              <w:rPr>
                <w:rFonts w:cs="Frankruhel"/>
                <w:rtl/>
              </w:rPr>
            </w:pPr>
            <w:r>
              <w:rPr>
                <w:rtl/>
              </w:rPr>
              <w:t xml:space="preserve">סעיף 5 </w:t>
            </w:r>
          </w:p>
        </w:tc>
        <w:tc>
          <w:tcPr>
            <w:tcW w:w="5669" w:type="dxa"/>
          </w:tcPr>
          <w:p w14:paraId="26252DEA" w14:textId="77777777" w:rsidR="00061ECA" w:rsidRPr="00061ECA" w:rsidRDefault="00061ECA" w:rsidP="00061ECA">
            <w:pPr>
              <w:rPr>
                <w:rFonts w:cs="Frankruhel"/>
                <w:rtl/>
              </w:rPr>
            </w:pPr>
            <w:r>
              <w:rPr>
                <w:rtl/>
              </w:rPr>
              <w:t>פיצוי בשל סיום חוזה סוכנות</w:t>
            </w:r>
          </w:p>
        </w:tc>
        <w:tc>
          <w:tcPr>
            <w:tcW w:w="567" w:type="dxa"/>
          </w:tcPr>
          <w:p w14:paraId="7B5F34EF" w14:textId="77777777" w:rsidR="00061ECA" w:rsidRPr="00061ECA" w:rsidRDefault="00061ECA" w:rsidP="00061ECA">
            <w:pPr>
              <w:rPr>
                <w:rStyle w:val="Hyperlink"/>
                <w:rtl/>
              </w:rPr>
            </w:pPr>
            <w:hyperlink w:anchor="Seif5" w:tooltip="פיצוי בשל סיום חוזה סוכנות" w:history="1">
              <w:r w:rsidRPr="00061ECA">
                <w:rPr>
                  <w:rStyle w:val="Hyperlink"/>
                </w:rPr>
                <w:t>Go</w:t>
              </w:r>
            </w:hyperlink>
          </w:p>
        </w:tc>
        <w:tc>
          <w:tcPr>
            <w:tcW w:w="850" w:type="dxa"/>
          </w:tcPr>
          <w:p w14:paraId="0E7EA73E"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61ECA" w:rsidRPr="00061ECA" w14:paraId="7B678C7D" w14:textId="77777777" w:rsidTr="00061ECA">
        <w:tblPrEx>
          <w:tblCellMar>
            <w:top w:w="0" w:type="dxa"/>
            <w:bottom w:w="0" w:type="dxa"/>
          </w:tblCellMar>
        </w:tblPrEx>
        <w:tc>
          <w:tcPr>
            <w:tcW w:w="1247" w:type="dxa"/>
          </w:tcPr>
          <w:p w14:paraId="33969E5C" w14:textId="77777777" w:rsidR="00061ECA" w:rsidRPr="00061ECA" w:rsidRDefault="00061ECA" w:rsidP="00061ECA">
            <w:pPr>
              <w:rPr>
                <w:rFonts w:cs="Frankruhel"/>
                <w:rtl/>
              </w:rPr>
            </w:pPr>
            <w:r>
              <w:rPr>
                <w:rtl/>
              </w:rPr>
              <w:t xml:space="preserve">סעיף 6 </w:t>
            </w:r>
          </w:p>
        </w:tc>
        <w:tc>
          <w:tcPr>
            <w:tcW w:w="5669" w:type="dxa"/>
          </w:tcPr>
          <w:p w14:paraId="34460152" w14:textId="77777777" w:rsidR="00061ECA" w:rsidRPr="00061ECA" w:rsidRDefault="00061ECA" w:rsidP="00061ECA">
            <w:pPr>
              <w:rPr>
                <w:rFonts w:cs="Frankruhel"/>
                <w:rtl/>
              </w:rPr>
            </w:pPr>
            <w:r>
              <w:rPr>
                <w:rtl/>
              </w:rPr>
              <w:t>התניה   לטובת הסוכן המסחרי</w:t>
            </w:r>
          </w:p>
        </w:tc>
        <w:tc>
          <w:tcPr>
            <w:tcW w:w="567" w:type="dxa"/>
          </w:tcPr>
          <w:p w14:paraId="7CAD6EB8" w14:textId="77777777" w:rsidR="00061ECA" w:rsidRPr="00061ECA" w:rsidRDefault="00061ECA" w:rsidP="00061ECA">
            <w:pPr>
              <w:rPr>
                <w:rStyle w:val="Hyperlink"/>
                <w:rtl/>
              </w:rPr>
            </w:pPr>
            <w:hyperlink w:anchor="Seif6" w:tooltip="התניה   לטובת הסוכן המסחרי" w:history="1">
              <w:r w:rsidRPr="00061ECA">
                <w:rPr>
                  <w:rStyle w:val="Hyperlink"/>
                </w:rPr>
                <w:t>Go</w:t>
              </w:r>
            </w:hyperlink>
          </w:p>
        </w:tc>
        <w:tc>
          <w:tcPr>
            <w:tcW w:w="850" w:type="dxa"/>
          </w:tcPr>
          <w:p w14:paraId="247D7112"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61ECA" w:rsidRPr="00061ECA" w14:paraId="73BF9C1E" w14:textId="77777777" w:rsidTr="00061ECA">
        <w:tblPrEx>
          <w:tblCellMar>
            <w:top w:w="0" w:type="dxa"/>
            <w:bottom w:w="0" w:type="dxa"/>
          </w:tblCellMar>
        </w:tblPrEx>
        <w:tc>
          <w:tcPr>
            <w:tcW w:w="1247" w:type="dxa"/>
          </w:tcPr>
          <w:p w14:paraId="4E858627" w14:textId="77777777" w:rsidR="00061ECA" w:rsidRPr="00061ECA" w:rsidRDefault="00061ECA" w:rsidP="00061ECA">
            <w:pPr>
              <w:rPr>
                <w:rFonts w:cs="Frankruhel"/>
                <w:rtl/>
              </w:rPr>
            </w:pPr>
            <w:r>
              <w:rPr>
                <w:rtl/>
              </w:rPr>
              <w:t xml:space="preserve">סעיף 7 </w:t>
            </w:r>
          </w:p>
        </w:tc>
        <w:tc>
          <w:tcPr>
            <w:tcW w:w="5669" w:type="dxa"/>
          </w:tcPr>
          <w:p w14:paraId="737871FD" w14:textId="77777777" w:rsidR="00061ECA" w:rsidRPr="00061ECA" w:rsidRDefault="00061ECA" w:rsidP="00061ECA">
            <w:pPr>
              <w:rPr>
                <w:rFonts w:cs="Frankruhel"/>
                <w:rtl/>
              </w:rPr>
            </w:pPr>
            <w:r>
              <w:rPr>
                <w:rtl/>
              </w:rPr>
              <w:t>שמירת דינים</w:t>
            </w:r>
          </w:p>
        </w:tc>
        <w:tc>
          <w:tcPr>
            <w:tcW w:w="567" w:type="dxa"/>
          </w:tcPr>
          <w:p w14:paraId="6EB9DF5C" w14:textId="77777777" w:rsidR="00061ECA" w:rsidRPr="00061ECA" w:rsidRDefault="00061ECA" w:rsidP="00061ECA">
            <w:pPr>
              <w:rPr>
                <w:rStyle w:val="Hyperlink"/>
                <w:rtl/>
              </w:rPr>
            </w:pPr>
            <w:hyperlink w:anchor="Seif7" w:tooltip="שמירת דינים" w:history="1">
              <w:r w:rsidRPr="00061ECA">
                <w:rPr>
                  <w:rStyle w:val="Hyperlink"/>
                </w:rPr>
                <w:t>Go</w:t>
              </w:r>
            </w:hyperlink>
          </w:p>
        </w:tc>
        <w:tc>
          <w:tcPr>
            <w:tcW w:w="850" w:type="dxa"/>
          </w:tcPr>
          <w:p w14:paraId="6BBAAE5A"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61ECA" w:rsidRPr="00061ECA" w14:paraId="5C072FF2" w14:textId="77777777" w:rsidTr="00061ECA">
        <w:tblPrEx>
          <w:tblCellMar>
            <w:top w:w="0" w:type="dxa"/>
            <w:bottom w:w="0" w:type="dxa"/>
          </w:tblCellMar>
        </w:tblPrEx>
        <w:tc>
          <w:tcPr>
            <w:tcW w:w="1247" w:type="dxa"/>
          </w:tcPr>
          <w:p w14:paraId="18D51A9F" w14:textId="77777777" w:rsidR="00061ECA" w:rsidRPr="00061ECA" w:rsidRDefault="00061ECA" w:rsidP="00061ECA">
            <w:pPr>
              <w:rPr>
                <w:rFonts w:cs="Frankruhel"/>
                <w:rtl/>
              </w:rPr>
            </w:pPr>
            <w:r>
              <w:rPr>
                <w:rtl/>
              </w:rPr>
              <w:t xml:space="preserve">סעיף 8 </w:t>
            </w:r>
          </w:p>
        </w:tc>
        <w:tc>
          <w:tcPr>
            <w:tcW w:w="5669" w:type="dxa"/>
          </w:tcPr>
          <w:p w14:paraId="426AF2A5" w14:textId="77777777" w:rsidR="00061ECA" w:rsidRPr="00061ECA" w:rsidRDefault="00061ECA" w:rsidP="00061ECA">
            <w:pPr>
              <w:rPr>
                <w:rFonts w:cs="Frankruhel"/>
                <w:rtl/>
              </w:rPr>
            </w:pPr>
            <w:r>
              <w:rPr>
                <w:rtl/>
              </w:rPr>
              <w:t>ביצוע</w:t>
            </w:r>
          </w:p>
        </w:tc>
        <w:tc>
          <w:tcPr>
            <w:tcW w:w="567" w:type="dxa"/>
          </w:tcPr>
          <w:p w14:paraId="1BEB7637" w14:textId="77777777" w:rsidR="00061ECA" w:rsidRPr="00061ECA" w:rsidRDefault="00061ECA" w:rsidP="00061ECA">
            <w:pPr>
              <w:rPr>
                <w:rStyle w:val="Hyperlink"/>
                <w:rtl/>
              </w:rPr>
            </w:pPr>
            <w:hyperlink w:anchor="Seif8" w:tooltip="ביצוע" w:history="1">
              <w:r w:rsidRPr="00061ECA">
                <w:rPr>
                  <w:rStyle w:val="Hyperlink"/>
                </w:rPr>
                <w:t>Go</w:t>
              </w:r>
            </w:hyperlink>
          </w:p>
        </w:tc>
        <w:tc>
          <w:tcPr>
            <w:tcW w:w="850" w:type="dxa"/>
          </w:tcPr>
          <w:p w14:paraId="3322E064"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61ECA" w:rsidRPr="00061ECA" w14:paraId="1EE2FD95" w14:textId="77777777" w:rsidTr="00061ECA">
        <w:tblPrEx>
          <w:tblCellMar>
            <w:top w:w="0" w:type="dxa"/>
            <w:bottom w:w="0" w:type="dxa"/>
          </w:tblCellMar>
        </w:tblPrEx>
        <w:tc>
          <w:tcPr>
            <w:tcW w:w="1247" w:type="dxa"/>
          </w:tcPr>
          <w:p w14:paraId="1AC74C08" w14:textId="77777777" w:rsidR="00061ECA" w:rsidRPr="00061ECA" w:rsidRDefault="00061ECA" w:rsidP="00061ECA">
            <w:pPr>
              <w:rPr>
                <w:rFonts w:cs="Frankruhel"/>
                <w:rtl/>
              </w:rPr>
            </w:pPr>
            <w:r>
              <w:rPr>
                <w:rtl/>
              </w:rPr>
              <w:t xml:space="preserve">סעיף 9 </w:t>
            </w:r>
          </w:p>
        </w:tc>
        <w:tc>
          <w:tcPr>
            <w:tcW w:w="5669" w:type="dxa"/>
          </w:tcPr>
          <w:p w14:paraId="6ABC7EB5" w14:textId="77777777" w:rsidR="00061ECA" w:rsidRPr="00061ECA" w:rsidRDefault="00061ECA" w:rsidP="00061ECA">
            <w:pPr>
              <w:rPr>
                <w:rFonts w:cs="Frankruhel"/>
                <w:rtl/>
              </w:rPr>
            </w:pPr>
            <w:r>
              <w:rPr>
                <w:rtl/>
              </w:rPr>
              <w:t>תחילה</w:t>
            </w:r>
          </w:p>
        </w:tc>
        <w:tc>
          <w:tcPr>
            <w:tcW w:w="567" w:type="dxa"/>
          </w:tcPr>
          <w:p w14:paraId="5C55E19C" w14:textId="77777777" w:rsidR="00061ECA" w:rsidRPr="00061ECA" w:rsidRDefault="00061ECA" w:rsidP="00061ECA">
            <w:pPr>
              <w:rPr>
                <w:rStyle w:val="Hyperlink"/>
                <w:rtl/>
              </w:rPr>
            </w:pPr>
            <w:hyperlink w:anchor="Seif9" w:tooltip="תחילה" w:history="1">
              <w:r w:rsidRPr="00061ECA">
                <w:rPr>
                  <w:rStyle w:val="Hyperlink"/>
                </w:rPr>
                <w:t>Go</w:t>
              </w:r>
            </w:hyperlink>
          </w:p>
        </w:tc>
        <w:tc>
          <w:tcPr>
            <w:tcW w:w="850" w:type="dxa"/>
          </w:tcPr>
          <w:p w14:paraId="65BD012D" w14:textId="77777777" w:rsidR="00061ECA" w:rsidRPr="00061ECA" w:rsidRDefault="00061ECA" w:rsidP="00061EC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526F5A1" w14:textId="77777777" w:rsidR="00D25D5C" w:rsidRDefault="00D25D5C" w:rsidP="000D25DC">
      <w:pPr>
        <w:pStyle w:val="big-header"/>
        <w:ind w:left="0" w:right="1134"/>
        <w:rPr>
          <w:rFonts w:cs="FrankRuehl" w:hint="cs"/>
          <w:sz w:val="32"/>
          <w:rtl/>
        </w:rPr>
      </w:pPr>
      <w:r>
        <w:rPr>
          <w:rFonts w:cs="FrankRuehl"/>
          <w:sz w:val="32"/>
          <w:rtl/>
        </w:rPr>
        <w:br w:type="page"/>
      </w:r>
      <w:r w:rsidR="000D25DC">
        <w:rPr>
          <w:rFonts w:cs="FrankRuehl" w:hint="cs"/>
          <w:sz w:val="32"/>
          <w:rtl/>
        </w:rPr>
        <w:lastRenderedPageBreak/>
        <w:t>חוק חוזה סוכנות (סוכן מסחרי וספק), תשע"ב-2012</w:t>
      </w:r>
      <w:r>
        <w:rPr>
          <w:rStyle w:val="default"/>
          <w:sz w:val="22"/>
          <w:szCs w:val="22"/>
          <w:rtl/>
        </w:rPr>
        <w:footnoteReference w:customMarkFollows="1" w:id="1"/>
        <w:t>*</w:t>
      </w:r>
    </w:p>
    <w:p w14:paraId="42A9D351" w14:textId="77777777" w:rsidR="00D25D5C" w:rsidRDefault="00D25D5C" w:rsidP="000D25DC">
      <w:pPr>
        <w:pStyle w:val="P00"/>
        <w:spacing w:before="72"/>
        <w:ind w:left="0" w:right="1134"/>
        <w:rPr>
          <w:rStyle w:val="default"/>
          <w:rFonts w:cs="FrankRuehl" w:hint="cs"/>
          <w:rtl/>
        </w:rPr>
      </w:pPr>
      <w:bookmarkStart w:id="0" w:name="Seif1"/>
      <w:bookmarkEnd w:id="0"/>
      <w:r>
        <w:rPr>
          <w:rFonts w:cs="Miriam"/>
          <w:lang w:val="he-IL"/>
        </w:rPr>
        <w:pict w14:anchorId="64B64DDA">
          <v:rect id="_x0000_s1026" style="position:absolute;left:0;text-align:left;margin-left:464.5pt;margin-top:8.05pt;width:75.05pt;height:9.5pt;z-index:251653632" o:allowincell="f" filled="f" stroked="f" strokecolor="lime" strokeweight=".25pt">
            <v:textbox inset="0,0,0,0">
              <w:txbxContent>
                <w:p w14:paraId="3DA51A44" w14:textId="77777777" w:rsidR="001A3986" w:rsidRDefault="0090271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D25DC">
        <w:rPr>
          <w:rStyle w:val="default"/>
          <w:rFonts w:cs="FrankRuehl" w:hint="cs"/>
          <w:rtl/>
        </w:rPr>
        <w:t>בחוק ז</w:t>
      </w:r>
      <w:r w:rsidR="00902718">
        <w:rPr>
          <w:rStyle w:val="default"/>
          <w:rFonts w:cs="FrankRuehl" w:hint="cs"/>
          <w:rtl/>
        </w:rPr>
        <w:t xml:space="preserve">ה </w:t>
      </w:r>
      <w:r w:rsidR="00902718">
        <w:rPr>
          <w:rStyle w:val="default"/>
          <w:rFonts w:cs="FrankRuehl"/>
          <w:rtl/>
        </w:rPr>
        <w:t>–</w:t>
      </w:r>
    </w:p>
    <w:p w14:paraId="081C9C40" w14:textId="77777777" w:rsidR="000D25DC" w:rsidRDefault="000D25DC" w:rsidP="000D25DC">
      <w:pPr>
        <w:pStyle w:val="P00"/>
        <w:spacing w:before="72"/>
        <w:ind w:left="0" w:right="1134"/>
        <w:rPr>
          <w:rStyle w:val="default"/>
          <w:rFonts w:cs="FrankRuehl" w:hint="cs"/>
          <w:rtl/>
        </w:rPr>
      </w:pPr>
      <w:r>
        <w:rPr>
          <w:rStyle w:val="default"/>
          <w:rFonts w:cs="FrankRuehl" w:hint="cs"/>
          <w:rtl/>
        </w:rPr>
        <w:tab/>
        <w:t xml:space="preserve">"טובין" </w:t>
      </w:r>
      <w:r>
        <w:rPr>
          <w:rStyle w:val="default"/>
          <w:rFonts w:cs="FrankRuehl"/>
          <w:rtl/>
        </w:rPr>
        <w:t>–</w:t>
      </w:r>
      <w:r>
        <w:rPr>
          <w:rStyle w:val="default"/>
          <w:rFonts w:cs="FrankRuehl" w:hint="cs"/>
          <w:rtl/>
        </w:rPr>
        <w:t xml:space="preserve"> נכס מוחשי שאינו מקרקעין;</w:t>
      </w:r>
    </w:p>
    <w:p w14:paraId="4CA30436" w14:textId="77777777" w:rsidR="000D25DC" w:rsidRDefault="000D25DC" w:rsidP="000D25DC">
      <w:pPr>
        <w:pStyle w:val="P00"/>
        <w:spacing w:before="72"/>
        <w:ind w:left="0" w:right="1134"/>
        <w:rPr>
          <w:rStyle w:val="default"/>
          <w:rFonts w:cs="FrankRuehl" w:hint="cs"/>
          <w:rtl/>
        </w:rPr>
      </w:pPr>
      <w:r>
        <w:rPr>
          <w:rStyle w:val="default"/>
          <w:rFonts w:cs="FrankRuehl" w:hint="cs"/>
          <w:rtl/>
        </w:rPr>
        <w:tab/>
        <w:t xml:space="preserve">"סוכן מסחרי" </w:t>
      </w:r>
      <w:r>
        <w:rPr>
          <w:rStyle w:val="default"/>
          <w:rFonts w:cs="FrankRuehl"/>
          <w:rtl/>
        </w:rPr>
        <w:t>–</w:t>
      </w:r>
      <w:r>
        <w:rPr>
          <w:rStyle w:val="default"/>
          <w:rFonts w:cs="FrankRuehl" w:hint="cs"/>
          <w:rtl/>
        </w:rPr>
        <w:t xml:space="preserve"> מי שעיסוקו באיתור לקוחות או בפעילות, שמטרתם להביא להתקשרות בחוזה בין לקוח לספק בקשר לרכישת טובין המשווקים על ידי הספק;</w:t>
      </w:r>
    </w:p>
    <w:p w14:paraId="24E577F7" w14:textId="77777777" w:rsidR="000D25DC" w:rsidRDefault="000D25DC" w:rsidP="000D25DC">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יצרן טובין או בעל זכות להשתמש במוניטין ובסימני מסחר הקשורים לטובין, המשווק את אותם טובין; לעניין זה, "סימן מסחר" </w:t>
      </w:r>
      <w:r>
        <w:rPr>
          <w:rStyle w:val="default"/>
          <w:rFonts w:cs="FrankRuehl"/>
          <w:rtl/>
        </w:rPr>
        <w:t>–</w:t>
      </w:r>
      <w:r>
        <w:rPr>
          <w:rStyle w:val="default"/>
          <w:rFonts w:cs="FrankRuehl" w:hint="cs"/>
          <w:rtl/>
        </w:rPr>
        <w:t xml:space="preserve"> בין רשום ובין שאינו רשום.</w:t>
      </w:r>
    </w:p>
    <w:p w14:paraId="12380B3C" w14:textId="77777777" w:rsidR="000D25DC" w:rsidRDefault="00D25D5C" w:rsidP="000D25DC">
      <w:pPr>
        <w:pStyle w:val="P00"/>
        <w:spacing w:before="72"/>
        <w:ind w:left="0" w:right="1134"/>
        <w:rPr>
          <w:rStyle w:val="default"/>
          <w:rFonts w:cs="FrankRuehl" w:hint="cs"/>
          <w:rtl/>
        </w:rPr>
      </w:pPr>
      <w:bookmarkStart w:id="1" w:name="Seif2"/>
      <w:bookmarkEnd w:id="1"/>
      <w:r>
        <w:rPr>
          <w:rFonts w:cs="Miriam"/>
          <w:lang w:val="he-IL"/>
        </w:rPr>
        <w:pict w14:anchorId="40D595B6">
          <v:rect id="_x0000_s1032" style="position:absolute;left:0;text-align:left;margin-left:464.5pt;margin-top:8.05pt;width:75.05pt;height:17.9pt;z-index:251654656" o:allowincell="f" filled="f" stroked="f" strokecolor="lime" strokeweight=".25pt">
            <v:textbox style="mso-next-textbox:#_x0000_s1032" inset="0,0,0,0">
              <w:txbxContent>
                <w:p w14:paraId="56518744" w14:textId="77777777" w:rsidR="001A3986" w:rsidRDefault="000D25DC" w:rsidP="00902718">
                  <w:pPr>
                    <w:pStyle w:val="a7"/>
                    <w:rPr>
                      <w:rFonts w:hint="cs"/>
                      <w:noProof/>
                      <w:rtl/>
                    </w:rPr>
                  </w:pPr>
                  <w:r>
                    <w:rPr>
                      <w:rFonts w:hint="cs"/>
                      <w:rtl/>
                    </w:rPr>
                    <w:t>מהותו של חוזה סוכנות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0D25DC">
        <w:rPr>
          <w:rStyle w:val="default"/>
          <w:rFonts w:cs="FrankRuehl" w:hint="cs"/>
          <w:rtl/>
        </w:rPr>
        <w:t>חוזה סוכנות הוא חוזה בתמורה בין ספק ובין סוכן מסחרי, שבו הספק מייפה את כוחו של הסוכן המסחרי בהרשאה מתמשכת לאיתור לקוחות חדשים או להתקשרות נוספת עם לקוחות קיימים, לשם רכישת טובין המשווקים על ידי הספק, בלי שמתקיימים בין הצדדים יחסי עובד ומעביד או קשרי שותפות</w:t>
      </w:r>
      <w:r w:rsidR="00902718">
        <w:rPr>
          <w:rStyle w:val="default"/>
          <w:rFonts w:cs="FrankRuehl" w:hint="cs"/>
          <w:rtl/>
        </w:rPr>
        <w:t>.</w:t>
      </w:r>
    </w:p>
    <w:p w14:paraId="0B13C1BC" w14:textId="77777777" w:rsidR="00D25D5C" w:rsidRDefault="00D25D5C" w:rsidP="000D25DC">
      <w:pPr>
        <w:pStyle w:val="P00"/>
        <w:spacing w:before="72"/>
        <w:ind w:left="0" w:right="1134"/>
        <w:rPr>
          <w:rStyle w:val="default"/>
          <w:rFonts w:cs="FrankRuehl" w:hint="cs"/>
          <w:rtl/>
        </w:rPr>
      </w:pPr>
      <w:bookmarkStart w:id="2" w:name="Seif3"/>
      <w:bookmarkEnd w:id="2"/>
      <w:r>
        <w:rPr>
          <w:rFonts w:cs="Miriam"/>
          <w:lang w:val="he-IL"/>
        </w:rPr>
        <w:pict w14:anchorId="5CDD4813">
          <v:rect id="_x0000_s1036" style="position:absolute;left:0;text-align:left;margin-left:464.5pt;margin-top:8.05pt;width:75.05pt;height:12.95pt;z-index:251655680" o:allowincell="f" filled="f" stroked="f" strokecolor="lime" strokeweight=".25pt">
            <v:textbox style="mso-next-textbox:#_x0000_s1036" inset="0,0,0,0">
              <w:txbxContent>
                <w:p w14:paraId="13FBAD5E" w14:textId="77777777" w:rsidR="001A3986" w:rsidRDefault="000D25DC">
                  <w:pPr>
                    <w:spacing w:line="160" w:lineRule="exact"/>
                    <w:rPr>
                      <w:rFonts w:cs="Miriam" w:hint="cs"/>
                      <w:sz w:val="18"/>
                      <w:szCs w:val="18"/>
                      <w:rtl/>
                    </w:rPr>
                  </w:pPr>
                  <w:r>
                    <w:rPr>
                      <w:rFonts w:cs="Miriam" w:hint="cs"/>
                      <w:sz w:val="18"/>
                      <w:szCs w:val="18"/>
                      <w:rtl/>
                    </w:rPr>
                    <w:t>חובת נאמנות</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0D25DC">
        <w:rPr>
          <w:rStyle w:val="default"/>
          <w:rFonts w:cs="FrankRuehl" w:hint="cs"/>
          <w:rtl/>
        </w:rPr>
        <w:t>הצדדים לחוזה סוכנות חייבים לפעול זה כלפי זה בנאמנות.</w:t>
      </w:r>
    </w:p>
    <w:p w14:paraId="0FFC00F9" w14:textId="77777777" w:rsidR="00D25D5C" w:rsidRDefault="00D25D5C" w:rsidP="000D25DC">
      <w:pPr>
        <w:pStyle w:val="P00"/>
        <w:spacing w:before="72"/>
        <w:ind w:left="0" w:right="1134"/>
        <w:rPr>
          <w:rStyle w:val="default"/>
          <w:rFonts w:cs="FrankRuehl" w:hint="cs"/>
          <w:rtl/>
        </w:rPr>
      </w:pPr>
      <w:bookmarkStart w:id="3" w:name="Seif4"/>
      <w:bookmarkEnd w:id="3"/>
      <w:r>
        <w:rPr>
          <w:rFonts w:cs="Miriam"/>
          <w:szCs w:val="32"/>
          <w:rtl/>
          <w:lang w:val="he-IL"/>
        </w:rPr>
        <w:pict w14:anchorId="3022DC64">
          <v:shapetype id="_x0000_t202" coordsize="21600,21600" o:spt="202" path="m,l,21600r21600,l21600,xe">
            <v:stroke joinstyle="miter"/>
            <v:path gradientshapeok="t" o:connecttype="rect"/>
          </v:shapetype>
          <v:shape id="_x0000_s1054" type="#_x0000_t202" style="position:absolute;left:0;text-align:left;margin-left:467.2pt;margin-top:7.1pt;width:75.1pt;height:30pt;z-index:251656704" filled="f" stroked="f">
            <v:textbox inset="1mm,0,1mm,0">
              <w:txbxContent>
                <w:p w14:paraId="240847D2" w14:textId="77777777" w:rsidR="001A3986" w:rsidRDefault="000D25DC" w:rsidP="00E55779">
                  <w:pPr>
                    <w:pStyle w:val="a7"/>
                    <w:rPr>
                      <w:rFonts w:hint="cs"/>
                      <w:rtl/>
                    </w:rPr>
                  </w:pPr>
                  <w:r>
                    <w:rPr>
                      <w:rFonts w:hint="cs"/>
                      <w:rtl/>
                    </w:rPr>
                    <w:t>סיום חוזה סוכנות לתקופה בלתי קצובה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sidR="00550879">
        <w:rPr>
          <w:rStyle w:val="default"/>
          <w:rFonts w:cs="FrankRuehl" w:hint="cs"/>
          <w:rtl/>
        </w:rPr>
        <w:t>(א)</w:t>
      </w:r>
      <w:r w:rsidR="00550879">
        <w:rPr>
          <w:rStyle w:val="default"/>
          <w:rFonts w:cs="FrankRuehl" w:hint="cs"/>
          <w:rtl/>
        </w:rPr>
        <w:tab/>
      </w:r>
      <w:r w:rsidR="000D25DC">
        <w:rPr>
          <w:rStyle w:val="default"/>
          <w:rFonts w:cs="FrankRuehl" w:hint="cs"/>
          <w:rtl/>
        </w:rPr>
        <w:t>צד לחוזה סוכנות לתקופה בלתי קצובה רשאי לסיימו בהודעה מוקדמת לצד האחר בתוך זמן סביר מראש ובכתב, ובלבד שתקופת ההודעה המוקדמת לא תפחת מאלה, לפי העניין:</w:t>
      </w:r>
    </w:p>
    <w:p w14:paraId="51BE025C" w14:textId="77777777" w:rsidR="000D25DC" w:rsidRDefault="000D25DC" w:rsidP="000D25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במהלך ששת החודשים הראשונים מיום תחילת החוזה </w:t>
      </w:r>
      <w:r>
        <w:rPr>
          <w:rStyle w:val="default"/>
          <w:rFonts w:cs="FrankRuehl"/>
          <w:rtl/>
        </w:rPr>
        <w:t>–</w:t>
      </w:r>
      <w:r>
        <w:rPr>
          <w:rStyle w:val="default"/>
          <w:rFonts w:cs="FrankRuehl" w:hint="cs"/>
          <w:rtl/>
        </w:rPr>
        <w:t xml:space="preserve"> שבועיים;</w:t>
      </w:r>
    </w:p>
    <w:p w14:paraId="016D5C37" w14:textId="77777777" w:rsidR="000D25DC" w:rsidRDefault="000D25DC" w:rsidP="000D25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במהלך התקופה שתחילתה בחודש השביעי מיום תחילת החוזה עד תום השנה הראשונה מאותו מועד </w:t>
      </w:r>
      <w:r>
        <w:rPr>
          <w:rStyle w:val="default"/>
          <w:rFonts w:cs="FrankRuehl"/>
          <w:rtl/>
        </w:rPr>
        <w:t>–</w:t>
      </w:r>
      <w:r>
        <w:rPr>
          <w:rStyle w:val="default"/>
          <w:rFonts w:cs="FrankRuehl" w:hint="cs"/>
          <w:rtl/>
        </w:rPr>
        <w:t xml:space="preserve"> חודש;</w:t>
      </w:r>
    </w:p>
    <w:p w14:paraId="5B7766D2" w14:textId="77777777" w:rsidR="000D25DC" w:rsidRDefault="000D25DC" w:rsidP="000D25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במהלך השנה השנייה מיום תחילת החוזה </w:t>
      </w:r>
      <w:r>
        <w:rPr>
          <w:rStyle w:val="default"/>
          <w:rFonts w:cs="FrankRuehl"/>
          <w:rtl/>
        </w:rPr>
        <w:t>–</w:t>
      </w:r>
      <w:r>
        <w:rPr>
          <w:rStyle w:val="default"/>
          <w:rFonts w:cs="FrankRuehl" w:hint="cs"/>
          <w:rtl/>
        </w:rPr>
        <w:t xml:space="preserve"> חודשיים;</w:t>
      </w:r>
    </w:p>
    <w:p w14:paraId="0EB07304" w14:textId="77777777" w:rsidR="000D25DC" w:rsidRDefault="000D25DC" w:rsidP="000D25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במהלך השנה השלישית מיום תחילת החוזה </w:t>
      </w:r>
      <w:r>
        <w:rPr>
          <w:rStyle w:val="default"/>
          <w:rFonts w:cs="FrankRuehl"/>
          <w:rtl/>
        </w:rPr>
        <w:t>–</w:t>
      </w:r>
      <w:r>
        <w:rPr>
          <w:rStyle w:val="default"/>
          <w:rFonts w:cs="FrankRuehl" w:hint="cs"/>
          <w:rtl/>
        </w:rPr>
        <w:t xml:space="preserve"> שלושה חודשים;</w:t>
      </w:r>
    </w:p>
    <w:p w14:paraId="22390E89" w14:textId="77777777" w:rsidR="000D25DC" w:rsidRDefault="000D25DC" w:rsidP="000D25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במהלך השנה הרביעית מיום תחילת החוזה </w:t>
      </w:r>
      <w:r>
        <w:rPr>
          <w:rStyle w:val="default"/>
          <w:rFonts w:cs="FrankRuehl"/>
          <w:rtl/>
        </w:rPr>
        <w:t>–</w:t>
      </w:r>
      <w:r>
        <w:rPr>
          <w:rStyle w:val="default"/>
          <w:rFonts w:cs="FrankRuehl" w:hint="cs"/>
          <w:rtl/>
        </w:rPr>
        <w:t xml:space="preserve"> ארבעה חודשים;</w:t>
      </w:r>
    </w:p>
    <w:p w14:paraId="01EF6C73" w14:textId="77777777" w:rsidR="000D25DC" w:rsidRDefault="000D25DC" w:rsidP="000D25D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במהלך השנה החמישית מיום תחילת החוזה </w:t>
      </w:r>
      <w:r>
        <w:rPr>
          <w:rStyle w:val="default"/>
          <w:rFonts w:cs="FrankRuehl"/>
          <w:rtl/>
        </w:rPr>
        <w:t>–</w:t>
      </w:r>
      <w:r>
        <w:rPr>
          <w:rStyle w:val="default"/>
          <w:rFonts w:cs="FrankRuehl" w:hint="cs"/>
          <w:rtl/>
        </w:rPr>
        <w:t xml:space="preserve"> חמישה חודשים;</w:t>
      </w:r>
    </w:p>
    <w:p w14:paraId="5920209D" w14:textId="77777777" w:rsidR="000D25DC" w:rsidRDefault="000D25DC" w:rsidP="000D25D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במהלך השנה השישית מיום תחילת החוזה ואילך </w:t>
      </w:r>
      <w:r>
        <w:rPr>
          <w:rStyle w:val="default"/>
          <w:rFonts w:cs="FrankRuehl"/>
          <w:rtl/>
        </w:rPr>
        <w:t>–</w:t>
      </w:r>
      <w:r>
        <w:rPr>
          <w:rStyle w:val="default"/>
          <w:rFonts w:cs="FrankRuehl" w:hint="cs"/>
          <w:rtl/>
        </w:rPr>
        <w:t xml:space="preserve"> שישה חודשים.</w:t>
      </w:r>
    </w:p>
    <w:p w14:paraId="409000A7" w14:textId="77777777" w:rsidR="000D25DC" w:rsidRDefault="000D25DC" w:rsidP="000D25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363B8">
        <w:rPr>
          <w:rStyle w:val="default"/>
          <w:rFonts w:cs="FrankRuehl" w:hint="cs"/>
          <w:rtl/>
        </w:rPr>
        <w:t>קבעו צדדים לחוזה סוכנות תקופות הודעה מוקדמת ארוכות מאלה הקבועות בסעיף קטן (א), לא תפחת תקופת ההודעה המוקדמת שתחול על סיום החוזה על ידי הספק מתקופת ההודעה המוקדמת שתחול על סיום החוזה על ידי הסוכן המסחרי.</w:t>
      </w:r>
    </w:p>
    <w:p w14:paraId="6F75DA6F" w14:textId="77777777" w:rsidR="008363B8" w:rsidRDefault="008363B8" w:rsidP="008363B8">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מסר אחד הצדדים הודעה מוקדמת על סיום חוזה הסוכנות, רשאי הספק להורות לסוכן המסחרי להפסיק לאלתר לפעול בעבורו כסוכן; הורה ספק לסוכן המסחרי כאמור, ישלם לו פיצוי כאמור בפסקה (2) בעד התקופה שלגביה יפסיק הסוכן לפעול בעבורו (בסעיף קטן זה </w:t>
      </w:r>
      <w:r>
        <w:rPr>
          <w:rStyle w:val="default"/>
          <w:rFonts w:cs="FrankRuehl"/>
          <w:rtl/>
        </w:rPr>
        <w:t>–</w:t>
      </w:r>
      <w:r>
        <w:rPr>
          <w:rStyle w:val="default"/>
          <w:rFonts w:cs="FrankRuehl" w:hint="cs"/>
          <w:rtl/>
        </w:rPr>
        <w:t xml:space="preserve"> דמי הודעה מוקדמת);</w:t>
      </w:r>
    </w:p>
    <w:p w14:paraId="1749D760" w14:textId="77777777" w:rsidR="008363B8" w:rsidRDefault="008363B8" w:rsidP="008363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דמי הודעה מוקדמת יהיו בסכום השווה למכפלה של תקופת ההודעה המוקדמת בממוצע של רווחי הסוכן המסחרי במחצית השנה שקדמה לסיום חוזה הסוכנות או במחצית השנייה של תקופת החוזה, לפי התקופה הקצרה; ואולם בית המשפט רשאי, מטעמים מיוחדים, לקבוע דמי הודעה מוקדמת בסכום שונה אם מצא כי בנסיבות העניין צודק ונכון לעשות כן, בהתחשב בשינויים שחלו בתנאי השוק או בענף שבו פעל הסוכן המסחרי.</w:t>
      </w:r>
    </w:p>
    <w:p w14:paraId="06D84BE1" w14:textId="77777777" w:rsidR="008363B8" w:rsidRDefault="008363B8" w:rsidP="008363B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חוזה סוכנות לתקופה קצובה שהסתיים והוארך על ידי הצדדים בלי שקבעו מועד לסיומו, ייחשב לעניין סעיף זה כחוזה סוכנות לתקופה בלתי קצובה, ותקופת ההודעה המוקדמת תחושב לפי תקופת החוזה מיום תחילתו.</w:t>
      </w:r>
    </w:p>
    <w:p w14:paraId="32E3AD96" w14:textId="77777777" w:rsidR="00D25D5C" w:rsidRDefault="00D25D5C" w:rsidP="008363B8">
      <w:pPr>
        <w:pStyle w:val="P00"/>
        <w:spacing w:before="72"/>
        <w:ind w:left="0" w:right="1134"/>
        <w:rPr>
          <w:rStyle w:val="default"/>
          <w:rFonts w:cs="FrankRuehl" w:hint="cs"/>
          <w:rtl/>
        </w:rPr>
      </w:pPr>
      <w:bookmarkStart w:id="4" w:name="Seif5"/>
      <w:bookmarkEnd w:id="4"/>
      <w:r>
        <w:rPr>
          <w:rFonts w:cs="Miriam"/>
          <w:szCs w:val="32"/>
          <w:rtl/>
          <w:lang w:val="he-IL"/>
        </w:rPr>
        <w:pict w14:anchorId="446DB9DA">
          <v:shape id="_x0000_s1055" type="#_x0000_t202" style="position:absolute;left:0;text-align:left;margin-left:468pt;margin-top:7.1pt;width:76.5pt;height:16.85pt;z-index:251657728" filled="f" stroked="f">
            <v:textbox inset="1mm,0,1mm,0">
              <w:txbxContent>
                <w:p w14:paraId="53DE5FDA" w14:textId="77777777" w:rsidR="001A3986" w:rsidRDefault="008363B8">
                  <w:pPr>
                    <w:spacing w:line="160" w:lineRule="exact"/>
                    <w:rPr>
                      <w:rFonts w:cs="Miriam" w:hint="cs"/>
                      <w:sz w:val="18"/>
                      <w:szCs w:val="18"/>
                      <w:rtl/>
                    </w:rPr>
                  </w:pPr>
                  <w:r>
                    <w:rPr>
                      <w:rFonts w:cs="Miriam" w:hint="cs"/>
                      <w:sz w:val="18"/>
                      <w:szCs w:val="18"/>
                      <w:rtl/>
                    </w:rPr>
                    <w:t>פיצוי בשל סיום חוזה סוכנות</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r>
      <w:r w:rsidR="00902718">
        <w:rPr>
          <w:rStyle w:val="default"/>
          <w:rFonts w:cs="FrankRuehl" w:hint="cs"/>
          <w:rtl/>
        </w:rPr>
        <w:t>(א)</w:t>
      </w:r>
      <w:r w:rsidR="00902718">
        <w:rPr>
          <w:rStyle w:val="default"/>
          <w:rFonts w:cs="FrankRuehl" w:hint="cs"/>
          <w:rtl/>
        </w:rPr>
        <w:tab/>
      </w:r>
      <w:r w:rsidR="008363B8">
        <w:rPr>
          <w:rStyle w:val="default"/>
          <w:rFonts w:cs="FrankRuehl" w:hint="cs"/>
          <w:rtl/>
        </w:rPr>
        <w:t>הסתיים חוזה סוכנות על ידי אחד הצדדים, יהיה סוכן מסחרי זכאי לפיצוי מהספק בשל התקשרויות של הספק עם לקוחות חדשים או בשל גידול משמעותי בהיקף עסקיו של הספק עם לקוחות קיימים, ובלבד שהתקיימו כל אלה</w:t>
      </w:r>
      <w:r w:rsidR="00351AC9">
        <w:rPr>
          <w:rStyle w:val="default"/>
          <w:rFonts w:cs="FrankRuehl" w:hint="cs"/>
          <w:rtl/>
        </w:rPr>
        <w:t>:</w:t>
      </w:r>
    </w:p>
    <w:p w14:paraId="63872BD5" w14:textId="77777777" w:rsidR="008363B8" w:rsidRDefault="008363B8" w:rsidP="008363B8">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חוזה הסוכנות היה בתוקף שנה לפחות;</w:t>
      </w:r>
    </w:p>
    <w:p w14:paraId="53A96A23" w14:textId="77777777" w:rsidR="008363B8" w:rsidRDefault="008363B8" w:rsidP="008363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בתקופת חוזה הסוכנות, הסוכן המסחרי היה הגורם היעיל להתקשרויות או לגידול בהיקף העסקים כאמור;</w:t>
      </w:r>
    </w:p>
    <w:p w14:paraId="25599FCD" w14:textId="77777777" w:rsidR="008363B8" w:rsidRDefault="008363B8" w:rsidP="008363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ההתקשרויות או הגידול בהיקף העסקים כאמור מניבים פירות לספק גם לאחר תום תקופת חוזה הסוכנות.</w:t>
      </w:r>
    </w:p>
    <w:p w14:paraId="7A544234" w14:textId="77777777" w:rsidR="008363B8" w:rsidRDefault="008363B8" w:rsidP="008363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E02DA">
        <w:rPr>
          <w:rStyle w:val="default"/>
          <w:rFonts w:cs="FrankRuehl" w:hint="cs"/>
          <w:rtl/>
        </w:rPr>
        <w:t xml:space="preserve">סכום הפיצוי לפי סעיף קטן (א) יהיה שווה לרווח החודשי הממוצע בעד כל שנה שבה היה חוזה הסוכנות בתוקף, עד לתקרה של 12 חודשים; בסעיף קטן זה </w:t>
      </w:r>
      <w:r w:rsidR="004E02DA">
        <w:rPr>
          <w:rStyle w:val="default"/>
          <w:rFonts w:cs="FrankRuehl"/>
          <w:rtl/>
        </w:rPr>
        <w:t>–</w:t>
      </w:r>
    </w:p>
    <w:p w14:paraId="0D7CB0B7" w14:textId="77777777" w:rsidR="004E02DA" w:rsidRDefault="004E02DA" w:rsidP="008363B8">
      <w:pPr>
        <w:pStyle w:val="P00"/>
        <w:spacing w:before="72"/>
        <w:ind w:left="0" w:right="1134"/>
        <w:rPr>
          <w:rStyle w:val="default"/>
          <w:rFonts w:cs="FrankRuehl" w:hint="cs"/>
          <w:rtl/>
        </w:rPr>
      </w:pPr>
      <w:r>
        <w:rPr>
          <w:rStyle w:val="default"/>
          <w:rFonts w:cs="FrankRuehl" w:hint="cs"/>
          <w:rtl/>
        </w:rPr>
        <w:tab/>
        <w:t xml:space="preserve">"הרווח החודשי הממוצע" </w:t>
      </w:r>
      <w:r>
        <w:rPr>
          <w:rStyle w:val="default"/>
          <w:rFonts w:cs="FrankRuehl"/>
          <w:rtl/>
        </w:rPr>
        <w:t>–</w:t>
      </w:r>
      <w:r>
        <w:rPr>
          <w:rStyle w:val="default"/>
          <w:rFonts w:cs="FrankRuehl" w:hint="cs"/>
          <w:rtl/>
        </w:rPr>
        <w:t xml:space="preserve"> ממוצע הרווח העודף החודשי שצמח לסוכן המסחרי בשלוש השנים שקדמו לסיום חוזה הסוכנות או בתקופה שבה היה החוזה בתוקף, לפי התקופה הקצרה;</w:t>
      </w:r>
    </w:p>
    <w:p w14:paraId="03941EA5" w14:textId="77777777" w:rsidR="004E02DA" w:rsidRDefault="004E02DA" w:rsidP="008363B8">
      <w:pPr>
        <w:pStyle w:val="P00"/>
        <w:spacing w:before="72"/>
        <w:ind w:left="0" w:right="1134"/>
        <w:rPr>
          <w:rStyle w:val="default"/>
          <w:rFonts w:cs="FrankRuehl" w:hint="cs"/>
          <w:rtl/>
        </w:rPr>
      </w:pPr>
      <w:r>
        <w:rPr>
          <w:rStyle w:val="default"/>
          <w:rFonts w:cs="FrankRuehl" w:hint="cs"/>
          <w:rtl/>
        </w:rPr>
        <w:tab/>
        <w:t xml:space="preserve">"רווח עודף" </w:t>
      </w:r>
      <w:r>
        <w:rPr>
          <w:rStyle w:val="default"/>
          <w:rFonts w:cs="FrankRuehl"/>
          <w:rtl/>
        </w:rPr>
        <w:t>–</w:t>
      </w:r>
      <w:r>
        <w:rPr>
          <w:rStyle w:val="default"/>
          <w:rFonts w:cs="FrankRuehl" w:hint="cs"/>
          <w:rtl/>
        </w:rPr>
        <w:t xml:space="preserve"> רווח עקב התקשרויות של הספק עם לקוחות חדשים או עקב גידול משמעותי בהיקף עסקיו של הספק עם לקוחות קיימים, שהסוכן המסחרי היה הגורם היעיל ליצירתם.</w:t>
      </w:r>
    </w:p>
    <w:p w14:paraId="64686253" w14:textId="77777777" w:rsidR="004E02DA" w:rsidRDefault="004E02DA" w:rsidP="004E02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ספק לא יהיה חייב בפיצוי אם חוזה הסוכנות בוטל על ידיו כדין בשל הפרת החוזה על ידי הסוכן המסחרי.</w:t>
      </w:r>
    </w:p>
    <w:p w14:paraId="139107CF" w14:textId="77777777" w:rsidR="004E02DA" w:rsidRDefault="004E02DA" w:rsidP="004E02D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המשפט רשאי להפחית את סכום הפיצוי לפי סעיף זה או לקבוע כי לא יינתן פיצוי כאמור, אם מצא כי בנסיבות העניין צודק ונכון לעשות כן.</w:t>
      </w:r>
    </w:p>
    <w:p w14:paraId="3DE55B21" w14:textId="77777777" w:rsidR="00D25D5C" w:rsidRDefault="00D25D5C" w:rsidP="004E02DA">
      <w:pPr>
        <w:pStyle w:val="P00"/>
        <w:spacing w:before="72"/>
        <w:ind w:left="0" w:right="1134"/>
        <w:rPr>
          <w:rStyle w:val="default"/>
          <w:rFonts w:cs="FrankRuehl" w:hint="cs"/>
          <w:rtl/>
        </w:rPr>
      </w:pPr>
      <w:bookmarkStart w:id="5" w:name="Seif6"/>
      <w:bookmarkEnd w:id="5"/>
      <w:r>
        <w:rPr>
          <w:rFonts w:cs="Miriam"/>
          <w:szCs w:val="32"/>
          <w:rtl/>
          <w:lang w:val="he-IL"/>
        </w:rPr>
        <w:pict w14:anchorId="407FABA6">
          <v:shape id="_x0000_s1056" type="#_x0000_t202" style="position:absolute;left:0;text-align:left;margin-left:468pt;margin-top:7.1pt;width:76.5pt;height:20.75pt;z-index:251658752" filled="f" stroked="f">
            <v:textbox inset="1mm,0,1mm,0">
              <w:txbxContent>
                <w:p w14:paraId="5A3F5C78" w14:textId="77777777" w:rsidR="001A3986" w:rsidRDefault="004E02DA">
                  <w:pPr>
                    <w:spacing w:line="160" w:lineRule="exact"/>
                    <w:rPr>
                      <w:rFonts w:cs="Miriam" w:hint="cs"/>
                      <w:sz w:val="18"/>
                      <w:szCs w:val="18"/>
                      <w:rtl/>
                    </w:rPr>
                  </w:pPr>
                  <w:r>
                    <w:rPr>
                      <w:rFonts w:cs="Miriam" w:hint="cs"/>
                      <w:sz w:val="18"/>
                      <w:szCs w:val="18"/>
                      <w:rtl/>
                    </w:rPr>
                    <w:t xml:space="preserve">התניה </w:t>
                  </w:r>
                  <w:r>
                    <w:rPr>
                      <w:rFonts w:cs="Miriam"/>
                      <w:sz w:val="18"/>
                      <w:szCs w:val="18"/>
                      <w:rtl/>
                    </w:rPr>
                    <w:t>–</w:t>
                  </w:r>
                  <w:r>
                    <w:rPr>
                      <w:rFonts w:cs="Miriam" w:hint="cs"/>
                      <w:sz w:val="18"/>
                      <w:szCs w:val="18"/>
                      <w:rtl/>
                    </w:rPr>
                    <w:t xml:space="preserve"> לטובת הסוכן המסחרי</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r>
      <w:r w:rsidR="004E02DA">
        <w:rPr>
          <w:rStyle w:val="default"/>
          <w:rFonts w:cs="FrankRuehl" w:hint="cs"/>
          <w:rtl/>
        </w:rPr>
        <w:t>אין להתנות על הוראות חוק זה, אלא לטובת הסוכן המסחרי.</w:t>
      </w:r>
    </w:p>
    <w:p w14:paraId="22E5CD0B" w14:textId="77777777" w:rsidR="00D25D5C" w:rsidRDefault="00D25D5C" w:rsidP="004E02DA">
      <w:pPr>
        <w:pStyle w:val="P00"/>
        <w:spacing w:before="72"/>
        <w:ind w:left="0" w:right="1134"/>
        <w:rPr>
          <w:rStyle w:val="default"/>
          <w:rFonts w:cs="FrankRuehl" w:hint="cs"/>
          <w:rtl/>
        </w:rPr>
      </w:pPr>
      <w:bookmarkStart w:id="6" w:name="Seif7"/>
      <w:bookmarkEnd w:id="6"/>
      <w:r>
        <w:rPr>
          <w:rFonts w:cs="Miriam"/>
          <w:szCs w:val="32"/>
          <w:rtl/>
          <w:lang w:val="he-IL"/>
        </w:rPr>
        <w:pict w14:anchorId="7CE8D5C5">
          <v:shape id="_x0000_s1057" type="#_x0000_t202" style="position:absolute;left:0;text-align:left;margin-left:466.35pt;margin-top:7.1pt;width:76.35pt;height:9.9pt;z-index:251659776" filled="f" stroked="f">
            <v:textbox inset="1mm,0,1mm,0">
              <w:txbxContent>
                <w:p w14:paraId="4358E0F0" w14:textId="77777777" w:rsidR="001A3986" w:rsidRDefault="004E02DA" w:rsidP="0089792E">
                  <w:pPr>
                    <w:spacing w:line="160" w:lineRule="exact"/>
                    <w:rPr>
                      <w:rFonts w:cs="Miriam" w:hint="cs"/>
                      <w:sz w:val="18"/>
                      <w:szCs w:val="18"/>
                      <w:rtl/>
                    </w:rPr>
                  </w:pPr>
                  <w:r>
                    <w:rPr>
                      <w:rFonts w:cs="Miriam" w:hint="cs"/>
                      <w:sz w:val="18"/>
                      <w:szCs w:val="18"/>
                      <w:rtl/>
                    </w:rPr>
                    <w:t>שמירת דינים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r>
      <w:r w:rsidR="004E02DA">
        <w:rPr>
          <w:rStyle w:val="default"/>
          <w:rFonts w:cs="FrankRuehl" w:hint="cs"/>
          <w:rtl/>
        </w:rPr>
        <w:t>אין בהוראות חוק זה כדי לגרוע מהוראות כל דין</w:t>
      </w:r>
      <w:r>
        <w:rPr>
          <w:rStyle w:val="default"/>
          <w:rFonts w:cs="FrankRuehl"/>
          <w:rtl/>
        </w:rPr>
        <w:t>.</w:t>
      </w:r>
    </w:p>
    <w:p w14:paraId="64F7E07B" w14:textId="77777777" w:rsidR="000D25DC" w:rsidRDefault="000D25DC" w:rsidP="004E02DA">
      <w:pPr>
        <w:pStyle w:val="P00"/>
        <w:spacing w:before="72"/>
        <w:ind w:left="0" w:right="1134"/>
        <w:rPr>
          <w:rStyle w:val="default"/>
          <w:rFonts w:cs="FrankRuehl" w:hint="cs"/>
          <w:rtl/>
        </w:rPr>
      </w:pPr>
      <w:bookmarkStart w:id="7" w:name="Seif8"/>
      <w:bookmarkEnd w:id="7"/>
      <w:r>
        <w:rPr>
          <w:rFonts w:cs="Miriam"/>
          <w:szCs w:val="32"/>
          <w:rtl/>
          <w:lang w:val="he-IL"/>
        </w:rPr>
        <w:pict w14:anchorId="0B5DD7F0">
          <v:shape id="_x0000_s1153" type="#_x0000_t202" style="position:absolute;left:0;text-align:left;margin-left:466.35pt;margin-top:7.1pt;width:76.35pt;height:9.9pt;z-index:251660800" filled="f" stroked="f">
            <v:textbox inset="1mm,0,1mm,0">
              <w:txbxContent>
                <w:p w14:paraId="7E3B6FB6" w14:textId="77777777" w:rsidR="000D25DC" w:rsidRDefault="004E02DA" w:rsidP="000D25DC">
                  <w:pPr>
                    <w:spacing w:line="160" w:lineRule="exact"/>
                    <w:rPr>
                      <w:rFonts w:cs="Miriam" w:hint="cs"/>
                      <w:sz w:val="18"/>
                      <w:szCs w:val="18"/>
                      <w:rtl/>
                    </w:rPr>
                  </w:pPr>
                  <w:r>
                    <w:rPr>
                      <w:rFonts w:cs="Miriam" w:hint="cs"/>
                      <w:sz w:val="18"/>
                      <w:szCs w:val="18"/>
                      <w:rtl/>
                    </w:rPr>
                    <w:t>ביצוע</w:t>
                  </w:r>
                </w:p>
              </w:txbxContent>
            </v:textbox>
            <w10:anchorlock/>
          </v:shape>
        </w:pict>
      </w:r>
      <w:r w:rsidR="004E02DA">
        <w:rPr>
          <w:rStyle w:val="default"/>
          <w:rFonts w:cs="Miriam" w:hint="cs"/>
          <w:sz w:val="32"/>
          <w:szCs w:val="32"/>
          <w:rtl/>
        </w:rPr>
        <w:t>8</w:t>
      </w:r>
      <w:r>
        <w:rPr>
          <w:rStyle w:val="default"/>
          <w:rFonts w:cs="FrankRuehl" w:hint="cs"/>
          <w:rtl/>
        </w:rPr>
        <w:t>.</w:t>
      </w:r>
      <w:r>
        <w:rPr>
          <w:rStyle w:val="default"/>
          <w:rFonts w:cs="FrankRuehl" w:hint="cs"/>
          <w:rtl/>
        </w:rPr>
        <w:tab/>
      </w:r>
      <w:r w:rsidR="004E02DA">
        <w:rPr>
          <w:rStyle w:val="default"/>
          <w:rFonts w:cs="FrankRuehl" w:hint="cs"/>
          <w:rtl/>
        </w:rPr>
        <w:t>שר המשפטים ממונה על ביצוע חוק זה</w:t>
      </w:r>
      <w:r>
        <w:rPr>
          <w:rStyle w:val="default"/>
          <w:rFonts w:cs="FrankRuehl"/>
          <w:rtl/>
        </w:rPr>
        <w:t>.</w:t>
      </w:r>
    </w:p>
    <w:p w14:paraId="146BC573" w14:textId="77777777" w:rsidR="000D25DC" w:rsidRDefault="000D25DC" w:rsidP="004E02DA">
      <w:pPr>
        <w:pStyle w:val="P00"/>
        <w:spacing w:before="72"/>
        <w:ind w:left="0" w:right="1134"/>
        <w:rPr>
          <w:rStyle w:val="default"/>
          <w:rFonts w:cs="FrankRuehl" w:hint="cs"/>
          <w:rtl/>
        </w:rPr>
      </w:pPr>
      <w:bookmarkStart w:id="8" w:name="Seif9"/>
      <w:bookmarkEnd w:id="8"/>
      <w:r>
        <w:rPr>
          <w:rFonts w:cs="Miriam"/>
          <w:szCs w:val="32"/>
          <w:rtl/>
          <w:lang w:val="he-IL"/>
        </w:rPr>
        <w:pict w14:anchorId="2A31BEEC">
          <v:shape id="_x0000_s1154" type="#_x0000_t202" style="position:absolute;left:0;text-align:left;margin-left:466.35pt;margin-top:7.1pt;width:76.35pt;height:9.9pt;z-index:251661824" filled="f" stroked="f">
            <v:textbox inset="1mm,0,1mm,0">
              <w:txbxContent>
                <w:p w14:paraId="4E86C170" w14:textId="77777777" w:rsidR="000D25DC" w:rsidRDefault="000D25DC" w:rsidP="000D25DC">
                  <w:pPr>
                    <w:spacing w:line="160" w:lineRule="exact"/>
                    <w:rPr>
                      <w:rFonts w:cs="Miriam" w:hint="cs"/>
                      <w:sz w:val="18"/>
                      <w:szCs w:val="18"/>
                      <w:rtl/>
                    </w:rPr>
                  </w:pPr>
                  <w:r>
                    <w:rPr>
                      <w:rFonts w:cs="Miriam" w:hint="cs"/>
                      <w:sz w:val="18"/>
                      <w:szCs w:val="18"/>
                      <w:rtl/>
                    </w:rPr>
                    <w:t>תחילה</w:t>
                  </w:r>
                </w:p>
              </w:txbxContent>
            </v:textbox>
            <w10:anchorlock/>
          </v:shape>
        </w:pict>
      </w:r>
      <w:r w:rsidR="004E02DA">
        <w:rPr>
          <w:rStyle w:val="default"/>
          <w:rFonts w:cs="Miriam" w:hint="cs"/>
          <w:sz w:val="32"/>
          <w:szCs w:val="32"/>
          <w:rtl/>
        </w:rPr>
        <w:t>9</w:t>
      </w:r>
      <w:r>
        <w:rPr>
          <w:rStyle w:val="default"/>
          <w:rFonts w:cs="FrankRuehl" w:hint="cs"/>
          <w:rtl/>
        </w:rPr>
        <w:t>.</w:t>
      </w:r>
      <w:r>
        <w:rPr>
          <w:rStyle w:val="default"/>
          <w:rFonts w:cs="FrankRuehl" w:hint="cs"/>
          <w:rtl/>
        </w:rPr>
        <w:tab/>
      </w:r>
      <w:r w:rsidR="004E02DA">
        <w:rPr>
          <w:rStyle w:val="default"/>
          <w:rFonts w:cs="FrankRuehl" w:hint="cs"/>
          <w:rtl/>
        </w:rPr>
        <w:t>תחילתו של חוק זה שישים ימים מיום פרסומו</w:t>
      </w:r>
      <w:r>
        <w:rPr>
          <w:rStyle w:val="default"/>
          <w:rFonts w:cs="FrankRuehl"/>
          <w:rtl/>
        </w:rPr>
        <w:t>.</w:t>
      </w:r>
    </w:p>
    <w:p w14:paraId="05827C70" w14:textId="77777777" w:rsidR="00D25D5C" w:rsidRDefault="00D25D5C">
      <w:pPr>
        <w:pStyle w:val="P00"/>
        <w:spacing w:before="72"/>
        <w:ind w:left="0" w:right="1134"/>
        <w:rPr>
          <w:rStyle w:val="default"/>
          <w:rFonts w:cs="FrankRuehl" w:hint="cs"/>
          <w:rtl/>
        </w:rPr>
      </w:pPr>
    </w:p>
    <w:p w14:paraId="79EC75E1" w14:textId="77777777" w:rsidR="00D25D5C" w:rsidRDefault="00D25D5C" w:rsidP="00431CAA">
      <w:pPr>
        <w:pStyle w:val="P00"/>
        <w:spacing w:before="72"/>
        <w:ind w:left="0" w:right="1134"/>
        <w:rPr>
          <w:rStyle w:val="default"/>
          <w:rFonts w:cs="FrankRuehl"/>
          <w:rtl/>
        </w:rPr>
      </w:pPr>
    </w:p>
    <w:p w14:paraId="7F73247B" w14:textId="77777777" w:rsidR="004E02DA" w:rsidRDefault="004E02DA" w:rsidP="004E02DA">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בנימין נתניהו</w:t>
      </w:r>
      <w:r>
        <w:rPr>
          <w:rFonts w:cs="FrankRuehl" w:hint="cs"/>
          <w:sz w:val="26"/>
          <w:rtl/>
        </w:rPr>
        <w:tab/>
      </w:r>
      <w:r>
        <w:rPr>
          <w:rFonts w:cs="FrankRuehl"/>
          <w:sz w:val="26"/>
          <w:rtl/>
        </w:rPr>
        <w:tab/>
      </w:r>
      <w:r>
        <w:rPr>
          <w:rFonts w:cs="FrankRuehl" w:hint="cs"/>
          <w:sz w:val="26"/>
          <w:rtl/>
        </w:rPr>
        <w:t>יעקב נאמן</w:t>
      </w:r>
    </w:p>
    <w:p w14:paraId="7F4B8AAD" w14:textId="77777777" w:rsidR="004E02DA" w:rsidRDefault="004E02DA" w:rsidP="004E02DA">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המשפטים</w:t>
      </w:r>
    </w:p>
    <w:p w14:paraId="101402C4" w14:textId="77777777" w:rsidR="00D25D5C" w:rsidRDefault="004E02DA" w:rsidP="004E02DA">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שמעון פרס</w:t>
      </w:r>
      <w:r>
        <w:rPr>
          <w:rFonts w:cs="FrankRuehl" w:hint="cs"/>
          <w:sz w:val="26"/>
          <w:rtl/>
        </w:rPr>
        <w:tab/>
      </w:r>
      <w:r w:rsidR="00D25D5C">
        <w:rPr>
          <w:rFonts w:cs="FrankRuehl"/>
          <w:sz w:val="26"/>
          <w:rtl/>
        </w:rPr>
        <w:tab/>
      </w:r>
      <w:r>
        <w:rPr>
          <w:rFonts w:cs="FrankRuehl" w:hint="cs"/>
          <w:sz w:val="26"/>
          <w:rtl/>
        </w:rPr>
        <w:t>ראובן ריבלין</w:t>
      </w:r>
    </w:p>
    <w:p w14:paraId="6ABACCAD" w14:textId="77777777" w:rsidR="00D25D5C" w:rsidRDefault="004E02DA" w:rsidP="004E02DA">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sidR="00D25D5C">
        <w:rPr>
          <w:rFonts w:cs="FrankRuehl" w:hint="cs"/>
          <w:sz w:val="22"/>
          <w:rtl/>
        </w:rPr>
        <w:tab/>
      </w:r>
      <w:r>
        <w:rPr>
          <w:rFonts w:cs="FrankRuehl" w:hint="cs"/>
          <w:sz w:val="22"/>
          <w:rtl/>
        </w:rPr>
        <w:t>יושב ראש הכנסת</w:t>
      </w:r>
    </w:p>
    <w:p w14:paraId="1B4B00E3" w14:textId="77777777" w:rsidR="000D25DC" w:rsidRDefault="000D25DC" w:rsidP="00927A15">
      <w:pPr>
        <w:pStyle w:val="P00"/>
        <w:spacing w:before="72"/>
        <w:ind w:left="0" w:right="1134"/>
        <w:rPr>
          <w:rStyle w:val="default"/>
          <w:rFonts w:cs="FrankRuehl" w:hint="cs"/>
          <w:rtl/>
        </w:rPr>
      </w:pPr>
    </w:p>
    <w:p w14:paraId="276DB77E" w14:textId="77777777" w:rsidR="007212DD" w:rsidRDefault="007212DD" w:rsidP="00927A15">
      <w:pPr>
        <w:pStyle w:val="P00"/>
        <w:spacing w:before="72"/>
        <w:ind w:left="0" w:right="1134"/>
        <w:rPr>
          <w:rStyle w:val="default"/>
          <w:rFonts w:cs="FrankRuehl" w:hint="cs"/>
          <w:rtl/>
        </w:rPr>
      </w:pPr>
    </w:p>
    <w:p w14:paraId="37252B00" w14:textId="77777777" w:rsidR="00927A15" w:rsidRDefault="00927A15" w:rsidP="00927A15">
      <w:pPr>
        <w:pStyle w:val="P00"/>
        <w:spacing w:before="72"/>
        <w:ind w:left="0" w:right="1134"/>
        <w:rPr>
          <w:rStyle w:val="default"/>
          <w:rFonts w:cs="FrankRuehl" w:hint="cs"/>
          <w:rtl/>
        </w:rPr>
      </w:pPr>
    </w:p>
    <w:p w14:paraId="27EF6AC1" w14:textId="77777777" w:rsidR="00061ECA" w:rsidRDefault="00061ECA" w:rsidP="00927A15">
      <w:pPr>
        <w:pStyle w:val="P00"/>
        <w:spacing w:before="72"/>
        <w:ind w:left="0" w:right="1134"/>
        <w:rPr>
          <w:rStyle w:val="default"/>
          <w:rFonts w:cs="FrankRuehl"/>
          <w:rtl/>
        </w:rPr>
      </w:pPr>
    </w:p>
    <w:p w14:paraId="26DF3A18" w14:textId="77777777" w:rsidR="00061ECA" w:rsidRDefault="00061ECA" w:rsidP="00927A15">
      <w:pPr>
        <w:pStyle w:val="P00"/>
        <w:spacing w:before="72"/>
        <w:ind w:left="0" w:right="1134"/>
        <w:rPr>
          <w:rStyle w:val="default"/>
          <w:rFonts w:cs="FrankRuehl"/>
          <w:rtl/>
        </w:rPr>
      </w:pPr>
    </w:p>
    <w:p w14:paraId="5CC4653C" w14:textId="77777777" w:rsidR="00061ECA" w:rsidRDefault="00061ECA" w:rsidP="00061ECA">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56CA9AD" w14:textId="77777777" w:rsidR="00EA43B5" w:rsidRPr="00061ECA" w:rsidRDefault="00EA43B5" w:rsidP="00061ECA">
      <w:pPr>
        <w:pStyle w:val="P00"/>
        <w:spacing w:before="72"/>
        <w:ind w:left="0" w:right="1134"/>
        <w:jc w:val="center"/>
        <w:rPr>
          <w:rStyle w:val="default"/>
          <w:rFonts w:cs="David"/>
          <w:color w:val="0000FF"/>
          <w:szCs w:val="24"/>
          <w:u w:val="single"/>
          <w:rtl/>
        </w:rPr>
      </w:pPr>
    </w:p>
    <w:sectPr w:rsidR="00EA43B5" w:rsidRPr="00061EC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145D0" w14:textId="77777777" w:rsidR="002703AC" w:rsidRDefault="002703AC">
      <w:r>
        <w:separator/>
      </w:r>
    </w:p>
  </w:endnote>
  <w:endnote w:type="continuationSeparator" w:id="0">
    <w:p w14:paraId="57820F45" w14:textId="77777777" w:rsidR="002703AC" w:rsidRDefault="0027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91446" w14:textId="77777777" w:rsidR="001A3986" w:rsidRDefault="001A39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6B90A2" w14:textId="77777777" w:rsidR="001A3986" w:rsidRDefault="001A39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984A1B" w14:textId="77777777" w:rsidR="001A3986" w:rsidRDefault="001A39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Z:\000-law\yael\2011\11-06-19\tav\500_493.doc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AF28" w14:textId="77777777" w:rsidR="001A3986" w:rsidRDefault="001A39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1ECA">
      <w:rPr>
        <w:rFonts w:hAnsi="FrankRuehl" w:cs="FrankRuehl"/>
        <w:noProof/>
        <w:sz w:val="24"/>
        <w:szCs w:val="24"/>
        <w:rtl/>
      </w:rPr>
      <w:t>3</w:t>
    </w:r>
    <w:r>
      <w:rPr>
        <w:rFonts w:hAnsi="FrankRuehl" w:cs="FrankRuehl"/>
        <w:sz w:val="24"/>
        <w:szCs w:val="24"/>
        <w:rtl/>
      </w:rPr>
      <w:fldChar w:fldCharType="end"/>
    </w:r>
  </w:p>
  <w:p w14:paraId="1C8F5EA3" w14:textId="77777777" w:rsidR="001A3986" w:rsidRDefault="001A39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2E432B" w14:textId="77777777" w:rsidR="001A3986" w:rsidRDefault="001A39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Z:\000-law\yael\2011\11-06-19\tav\500_493.doc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2811" w14:textId="77777777" w:rsidR="002703AC" w:rsidRDefault="002703AC">
      <w:pPr>
        <w:spacing w:before="60"/>
        <w:ind w:right="1134"/>
      </w:pPr>
      <w:r>
        <w:separator/>
      </w:r>
    </w:p>
  </w:footnote>
  <w:footnote w:type="continuationSeparator" w:id="0">
    <w:p w14:paraId="45DCB5AC" w14:textId="77777777" w:rsidR="002703AC" w:rsidRDefault="002703AC">
      <w:pPr>
        <w:spacing w:before="60"/>
        <w:ind w:right="1134"/>
      </w:pPr>
      <w:r>
        <w:separator/>
      </w:r>
    </w:p>
  </w:footnote>
  <w:footnote w:id="1">
    <w:p w14:paraId="422F2B87" w14:textId="77777777" w:rsidR="00014F78" w:rsidRDefault="001A3986" w:rsidP="00014F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0D25DC">
        <w:rPr>
          <w:rFonts w:cs="FrankRuehl" w:hint="cs"/>
          <w:rtl/>
        </w:rPr>
        <w:t>ם</w:t>
      </w:r>
      <w:r>
        <w:rPr>
          <w:rFonts w:cs="FrankRuehl" w:hint="cs"/>
          <w:rtl/>
        </w:rPr>
        <w:t xml:space="preserve"> </w:t>
      </w:r>
      <w:hyperlink r:id="rId1" w:history="1">
        <w:r w:rsidR="000D25DC" w:rsidRPr="00014F78">
          <w:rPr>
            <w:rStyle w:val="Hyperlink"/>
            <w:rFonts w:cs="FrankRuehl" w:hint="cs"/>
            <w:rtl/>
          </w:rPr>
          <w:t>ס"ח</w:t>
        </w:r>
        <w:r w:rsidRPr="00014F78">
          <w:rPr>
            <w:rStyle w:val="Hyperlink"/>
            <w:rFonts w:cs="FrankRuehl" w:hint="cs"/>
            <w:rtl/>
          </w:rPr>
          <w:t xml:space="preserve"> תשע"ב מס' </w:t>
        </w:r>
        <w:r w:rsidR="000D25DC" w:rsidRPr="00014F78">
          <w:rPr>
            <w:rStyle w:val="Hyperlink"/>
            <w:rFonts w:cs="FrankRuehl" w:hint="cs"/>
            <w:rtl/>
          </w:rPr>
          <w:t>2338</w:t>
        </w:r>
      </w:hyperlink>
      <w:r>
        <w:rPr>
          <w:rFonts w:cs="FrankRuehl" w:hint="cs"/>
          <w:rtl/>
        </w:rPr>
        <w:t xml:space="preserve"> מיום </w:t>
      </w:r>
      <w:r w:rsidR="000D25DC">
        <w:rPr>
          <w:rFonts w:cs="FrankRuehl" w:hint="cs"/>
          <w:rtl/>
        </w:rPr>
        <w:t>27</w:t>
      </w:r>
      <w:r>
        <w:rPr>
          <w:rFonts w:cs="FrankRuehl" w:hint="cs"/>
          <w:rtl/>
        </w:rPr>
        <w:t xml:space="preserve">.2.2012 עמ' </w:t>
      </w:r>
      <w:r w:rsidR="000D25DC">
        <w:rPr>
          <w:rFonts w:cs="FrankRuehl" w:hint="cs"/>
          <w:rtl/>
        </w:rPr>
        <w:t>174 (</w:t>
      </w:r>
      <w:hyperlink r:id="rId2" w:history="1">
        <w:r w:rsidR="000D25DC" w:rsidRPr="000D25DC">
          <w:rPr>
            <w:rStyle w:val="Hyperlink"/>
            <w:rFonts w:cs="FrankRuehl" w:hint="cs"/>
            <w:rtl/>
          </w:rPr>
          <w:t>ה"ח הכנסת תשע"א מס' 404</w:t>
        </w:r>
      </w:hyperlink>
      <w:r w:rsidR="000D25DC">
        <w:rPr>
          <w:rFonts w:cs="FrankRuehl" w:hint="cs"/>
          <w:rtl/>
        </w:rPr>
        <w:t xml:space="preserve"> עמ' 230)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E5E5" w14:textId="77777777" w:rsidR="001A3986" w:rsidRDefault="001A398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4907104" w14:textId="77777777" w:rsidR="001A3986" w:rsidRDefault="001A39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4C4C5E" w14:textId="77777777" w:rsidR="001A3986" w:rsidRDefault="001A398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0089" w14:textId="77777777" w:rsidR="001A3986" w:rsidRDefault="005A120E" w:rsidP="00CA581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חוזה סוכנות (סוכן מסחרי וספק</w:t>
    </w:r>
    <w:r w:rsidR="001A3986">
      <w:rPr>
        <w:rFonts w:hAnsi="FrankRuehl" w:cs="FrankRuehl" w:hint="cs"/>
        <w:color w:val="000000"/>
        <w:sz w:val="28"/>
        <w:szCs w:val="28"/>
        <w:rtl/>
      </w:rPr>
      <w:t>), תשע"ב-2012</w:t>
    </w:r>
  </w:p>
  <w:p w14:paraId="7422388C" w14:textId="77777777" w:rsidR="001A3986" w:rsidRDefault="001A39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E03636" w14:textId="77777777" w:rsidR="001A3986" w:rsidRDefault="001A398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0090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14F78"/>
    <w:rsid w:val="00061ECA"/>
    <w:rsid w:val="00067970"/>
    <w:rsid w:val="000D25DC"/>
    <w:rsid w:val="000E5C4C"/>
    <w:rsid w:val="00112119"/>
    <w:rsid w:val="0011589B"/>
    <w:rsid w:val="00121BB2"/>
    <w:rsid w:val="001275F0"/>
    <w:rsid w:val="00130DA7"/>
    <w:rsid w:val="00131EFD"/>
    <w:rsid w:val="00177F1D"/>
    <w:rsid w:val="001A0EA7"/>
    <w:rsid w:val="001A3986"/>
    <w:rsid w:val="001C33D1"/>
    <w:rsid w:val="001C4AB6"/>
    <w:rsid w:val="001C6F5C"/>
    <w:rsid w:val="001D278A"/>
    <w:rsid w:val="001E0FA8"/>
    <w:rsid w:val="00214091"/>
    <w:rsid w:val="002140D5"/>
    <w:rsid w:val="00231FC8"/>
    <w:rsid w:val="0025253F"/>
    <w:rsid w:val="002538D4"/>
    <w:rsid w:val="0026246E"/>
    <w:rsid w:val="002703AC"/>
    <w:rsid w:val="002A1AB6"/>
    <w:rsid w:val="002C7187"/>
    <w:rsid w:val="00335131"/>
    <w:rsid w:val="00341FFB"/>
    <w:rsid w:val="00342521"/>
    <w:rsid w:val="00351AC9"/>
    <w:rsid w:val="003648E8"/>
    <w:rsid w:val="00380E1C"/>
    <w:rsid w:val="003A229A"/>
    <w:rsid w:val="003A23D8"/>
    <w:rsid w:val="003E74D6"/>
    <w:rsid w:val="00431CAA"/>
    <w:rsid w:val="00490DC0"/>
    <w:rsid w:val="004C3C1F"/>
    <w:rsid w:val="004C52D4"/>
    <w:rsid w:val="004E02DA"/>
    <w:rsid w:val="004F13B6"/>
    <w:rsid w:val="00506AB9"/>
    <w:rsid w:val="00550879"/>
    <w:rsid w:val="00577B89"/>
    <w:rsid w:val="005A120E"/>
    <w:rsid w:val="00606340"/>
    <w:rsid w:val="00635CB5"/>
    <w:rsid w:val="00664FA1"/>
    <w:rsid w:val="00683A9D"/>
    <w:rsid w:val="00694C5D"/>
    <w:rsid w:val="006A7478"/>
    <w:rsid w:val="006B0C1E"/>
    <w:rsid w:val="006B15C2"/>
    <w:rsid w:val="006D4F2F"/>
    <w:rsid w:val="006E412C"/>
    <w:rsid w:val="006F6959"/>
    <w:rsid w:val="00711F1A"/>
    <w:rsid w:val="007212DD"/>
    <w:rsid w:val="0073120F"/>
    <w:rsid w:val="007364BA"/>
    <w:rsid w:val="0076254E"/>
    <w:rsid w:val="00790632"/>
    <w:rsid w:val="007A6C73"/>
    <w:rsid w:val="008363B8"/>
    <w:rsid w:val="00852A6C"/>
    <w:rsid w:val="0086107A"/>
    <w:rsid w:val="008941A9"/>
    <w:rsid w:val="0089792E"/>
    <w:rsid w:val="008C0AD6"/>
    <w:rsid w:val="008C48A6"/>
    <w:rsid w:val="008C7291"/>
    <w:rsid w:val="00902718"/>
    <w:rsid w:val="00910B00"/>
    <w:rsid w:val="00916355"/>
    <w:rsid w:val="0091785D"/>
    <w:rsid w:val="00927A15"/>
    <w:rsid w:val="00974AF2"/>
    <w:rsid w:val="00991F7F"/>
    <w:rsid w:val="009F197E"/>
    <w:rsid w:val="00A10AE2"/>
    <w:rsid w:val="00A25E6A"/>
    <w:rsid w:val="00A6482A"/>
    <w:rsid w:val="00AA6E95"/>
    <w:rsid w:val="00AB6120"/>
    <w:rsid w:val="00B17AF7"/>
    <w:rsid w:val="00B36769"/>
    <w:rsid w:val="00B62BCF"/>
    <w:rsid w:val="00B8400A"/>
    <w:rsid w:val="00BA2921"/>
    <w:rsid w:val="00BB312B"/>
    <w:rsid w:val="00C75264"/>
    <w:rsid w:val="00CA4437"/>
    <w:rsid w:val="00CA5816"/>
    <w:rsid w:val="00CD6719"/>
    <w:rsid w:val="00D05EDA"/>
    <w:rsid w:val="00D10BBD"/>
    <w:rsid w:val="00D25D5C"/>
    <w:rsid w:val="00D51527"/>
    <w:rsid w:val="00D909F6"/>
    <w:rsid w:val="00DE4F61"/>
    <w:rsid w:val="00E55779"/>
    <w:rsid w:val="00E64BFF"/>
    <w:rsid w:val="00E73AE1"/>
    <w:rsid w:val="00EA43B5"/>
    <w:rsid w:val="00EE70B6"/>
    <w:rsid w:val="00F104B3"/>
    <w:rsid w:val="00F15551"/>
    <w:rsid w:val="00F3415D"/>
    <w:rsid w:val="00F365A0"/>
    <w:rsid w:val="00F52ED5"/>
    <w:rsid w:val="00F6127C"/>
    <w:rsid w:val="00F67F6D"/>
    <w:rsid w:val="00FB54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5527D2E0"/>
  <w15:chartTrackingRefBased/>
  <w15:docId w15:val="{CDBDA17D-1F77-48CD-B676-1C493A8D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paragraph" w:customStyle="1" w:styleId="header-2">
    <w:name w:val="header-2"/>
    <w:basedOn w:val="P00"/>
    <w:rsid w:val="00991F7F"/>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404.pdf" TargetMode="External"/><Relationship Id="rId1" Type="http://schemas.openxmlformats.org/officeDocument/2006/relationships/hyperlink" Target="http://www.nevo.co.il/law_word/law14/law-23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4891</CharactersWithSpaces>
  <SharedDoc>false</SharedDoc>
  <HLinks>
    <vt:vector size="72"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3342362</vt:i4>
      </vt:variant>
      <vt:variant>
        <vt:i4>3</vt:i4>
      </vt:variant>
      <vt:variant>
        <vt:i4>0</vt:i4>
      </vt:variant>
      <vt:variant>
        <vt:i4>5</vt:i4>
      </vt:variant>
      <vt:variant>
        <vt:lpwstr>http://www.nevo.co.il/Law_word/law16/knesset-404.pdf</vt:lpwstr>
      </vt:variant>
      <vt:variant>
        <vt:lpwstr/>
      </vt:variant>
      <vt:variant>
        <vt:i4>8257538</vt:i4>
      </vt:variant>
      <vt:variant>
        <vt:i4>0</vt:i4>
      </vt:variant>
      <vt:variant>
        <vt:i4>0</vt:i4>
      </vt:variant>
      <vt:variant>
        <vt:i4>5</vt:i4>
      </vt:variant>
      <vt:variant>
        <vt:lpwstr>http://www.nevo.co.il/law_word/law14/law-2338.PDF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חוזה סוכנות (סוכן מסחרי וספק), תשע"ב-2012</vt:lpwstr>
  </property>
  <property fmtid="{D5CDD505-2E9C-101B-9397-08002B2CF9AE}" pid="4" name="LAWNUMBER">
    <vt:lpwstr>0647</vt:lpwstr>
  </property>
  <property fmtid="{D5CDD505-2E9C-101B-9397-08002B2CF9AE}" pid="5" name="TYPE">
    <vt:lpwstr>01</vt:lpwstr>
  </property>
  <property fmtid="{D5CDD505-2E9C-101B-9397-08002B2CF9AE}" pid="6" name="CHNAME">
    <vt:lpwstr>חוזים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משפט פרטי וכלכלה</vt:lpwstr>
  </property>
  <property fmtid="{D5CDD505-2E9C-101B-9397-08002B2CF9AE}" pid="24" name="NOSE21">
    <vt:lpwstr>חיובים</vt:lpwstr>
  </property>
  <property fmtid="{D5CDD505-2E9C-101B-9397-08002B2CF9AE}" pid="25" name="NOSE31">
    <vt:lpwstr>חוזים</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מסחר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http://www.nevo.co.il/law_word/law14/law-2338.PDF;‎רשומות - ספר חוקים#פורסם ס"ח תשע"ב ‏מס' 2338 #מיום 27.2.2012 עמ' 174‏</vt:lpwstr>
  </property>
</Properties>
</file>