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73E1" w14:textId="77777777" w:rsidR="00333C3C" w:rsidRDefault="00333C3C" w:rsidP="00257A9D">
      <w:pPr>
        <w:pStyle w:val="big-header"/>
        <w:ind w:left="0" w:right="1134"/>
        <w:rPr>
          <w:rFonts w:cs="FrankRuehl"/>
          <w:sz w:val="32"/>
        </w:rPr>
      </w:pPr>
      <w:r>
        <w:rPr>
          <w:rFonts w:cs="FrankRuehl"/>
          <w:sz w:val="32"/>
          <w:rtl/>
        </w:rPr>
        <w:t>חוק חסינויות וזכויות (הכוח הרב-לאומי), תשמ"ב</w:t>
      </w:r>
      <w:r w:rsidR="00257A9D">
        <w:rPr>
          <w:rFonts w:cs="FrankRuehl" w:hint="cs"/>
          <w:sz w:val="32"/>
          <w:rtl/>
        </w:rPr>
        <w:t>-</w:t>
      </w:r>
      <w:r>
        <w:rPr>
          <w:rFonts w:cs="FrankRuehl"/>
          <w:sz w:val="32"/>
          <w:rtl/>
        </w:rPr>
        <w:t>1982</w:t>
      </w:r>
    </w:p>
    <w:p w14:paraId="3F584C24" w14:textId="77777777" w:rsidR="002B61C5" w:rsidRPr="002B61C5" w:rsidRDefault="002B61C5" w:rsidP="002B61C5">
      <w:pPr>
        <w:spacing w:line="320" w:lineRule="auto"/>
        <w:jc w:val="left"/>
        <w:rPr>
          <w:rFonts w:cs="FrankRuehl"/>
          <w:szCs w:val="26"/>
          <w:rtl/>
        </w:rPr>
      </w:pPr>
    </w:p>
    <w:p w14:paraId="396DCCE8" w14:textId="77777777" w:rsidR="002B61C5" w:rsidRDefault="002B61C5" w:rsidP="002B61C5">
      <w:pPr>
        <w:spacing w:line="320" w:lineRule="auto"/>
        <w:jc w:val="left"/>
        <w:rPr>
          <w:rtl/>
        </w:rPr>
      </w:pPr>
    </w:p>
    <w:p w14:paraId="445AB33A" w14:textId="77777777" w:rsidR="002B61C5" w:rsidRPr="002B61C5" w:rsidRDefault="002B61C5" w:rsidP="002B61C5">
      <w:pPr>
        <w:spacing w:line="320" w:lineRule="auto"/>
        <w:jc w:val="left"/>
        <w:rPr>
          <w:rFonts w:cs="Miriam"/>
          <w:szCs w:val="22"/>
          <w:rtl/>
        </w:rPr>
      </w:pPr>
      <w:r w:rsidRPr="002B61C5">
        <w:rPr>
          <w:rFonts w:cs="Miriam"/>
          <w:szCs w:val="22"/>
          <w:rtl/>
        </w:rPr>
        <w:t>משפט בינ"ל פומבי</w:t>
      </w:r>
      <w:r w:rsidRPr="002B61C5">
        <w:rPr>
          <w:rFonts w:cs="FrankRuehl"/>
          <w:szCs w:val="26"/>
          <w:rtl/>
        </w:rPr>
        <w:t xml:space="preserve"> – ארגונים בין-לאומיים – חסינויות וזכויות</w:t>
      </w:r>
    </w:p>
    <w:p w14:paraId="669A94D4" w14:textId="77777777" w:rsidR="00333C3C" w:rsidRDefault="00333C3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33C3C" w14:paraId="3A8E5710" w14:textId="77777777">
        <w:tblPrEx>
          <w:tblCellMar>
            <w:top w:w="0" w:type="dxa"/>
            <w:bottom w:w="0" w:type="dxa"/>
          </w:tblCellMar>
        </w:tblPrEx>
        <w:tc>
          <w:tcPr>
            <w:tcW w:w="850" w:type="dxa"/>
          </w:tcPr>
          <w:p w14:paraId="534C8446" w14:textId="77777777" w:rsidR="00333C3C" w:rsidRDefault="00333C3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C584F">
              <w:rPr>
                <w:noProof/>
                <w:sz w:val="24"/>
                <w:rtl/>
              </w:rPr>
              <w:t>2</w:t>
            </w:r>
            <w:r>
              <w:rPr>
                <w:sz w:val="24"/>
                <w:rtl/>
              </w:rPr>
              <w:fldChar w:fldCharType="end"/>
            </w:r>
          </w:p>
        </w:tc>
        <w:tc>
          <w:tcPr>
            <w:tcW w:w="567" w:type="dxa"/>
          </w:tcPr>
          <w:p w14:paraId="397B438D" w14:textId="77777777" w:rsidR="00333C3C" w:rsidRDefault="00333C3C">
            <w:pPr>
              <w:spacing w:line="240" w:lineRule="auto"/>
              <w:rPr>
                <w:sz w:val="24"/>
              </w:rPr>
            </w:pPr>
            <w:hyperlink w:anchor="Seif0" w:tooltip="הגדרות" w:history="1">
              <w:r>
                <w:rPr>
                  <w:rStyle w:val="Hyperlink"/>
                </w:rPr>
                <w:t>Go</w:t>
              </w:r>
            </w:hyperlink>
          </w:p>
        </w:tc>
        <w:tc>
          <w:tcPr>
            <w:tcW w:w="5669" w:type="dxa"/>
          </w:tcPr>
          <w:p w14:paraId="48DB550F" w14:textId="77777777" w:rsidR="00333C3C" w:rsidRDefault="00333C3C">
            <w:pPr>
              <w:spacing w:line="240" w:lineRule="auto"/>
              <w:rPr>
                <w:sz w:val="24"/>
                <w:rtl/>
              </w:rPr>
            </w:pPr>
            <w:r>
              <w:rPr>
                <w:sz w:val="24"/>
                <w:rtl/>
              </w:rPr>
              <w:t>הגדרות</w:t>
            </w:r>
          </w:p>
        </w:tc>
        <w:tc>
          <w:tcPr>
            <w:tcW w:w="1247" w:type="dxa"/>
          </w:tcPr>
          <w:p w14:paraId="215AFC50" w14:textId="77777777" w:rsidR="00333C3C" w:rsidRDefault="00333C3C">
            <w:pPr>
              <w:spacing w:line="240" w:lineRule="auto"/>
              <w:rPr>
                <w:sz w:val="24"/>
              </w:rPr>
            </w:pPr>
            <w:r>
              <w:rPr>
                <w:sz w:val="24"/>
                <w:rtl/>
              </w:rPr>
              <w:t xml:space="preserve">סעיף 1 </w:t>
            </w:r>
          </w:p>
        </w:tc>
      </w:tr>
      <w:tr w:rsidR="00333C3C" w14:paraId="582655F0" w14:textId="77777777">
        <w:tblPrEx>
          <w:tblCellMar>
            <w:top w:w="0" w:type="dxa"/>
            <w:bottom w:w="0" w:type="dxa"/>
          </w:tblCellMar>
        </w:tblPrEx>
        <w:tc>
          <w:tcPr>
            <w:tcW w:w="850" w:type="dxa"/>
          </w:tcPr>
          <w:p w14:paraId="01AEDE07" w14:textId="77777777" w:rsidR="00333C3C" w:rsidRDefault="00333C3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C584F">
              <w:rPr>
                <w:noProof/>
                <w:sz w:val="24"/>
                <w:rtl/>
              </w:rPr>
              <w:t>2</w:t>
            </w:r>
            <w:r>
              <w:rPr>
                <w:sz w:val="24"/>
                <w:rtl/>
              </w:rPr>
              <w:fldChar w:fldCharType="end"/>
            </w:r>
          </w:p>
        </w:tc>
        <w:tc>
          <w:tcPr>
            <w:tcW w:w="567" w:type="dxa"/>
          </w:tcPr>
          <w:p w14:paraId="2C886486" w14:textId="77777777" w:rsidR="00333C3C" w:rsidRDefault="00333C3C">
            <w:pPr>
              <w:spacing w:line="240" w:lineRule="auto"/>
              <w:rPr>
                <w:sz w:val="24"/>
              </w:rPr>
            </w:pPr>
            <w:hyperlink w:anchor="Seif1" w:tooltip="צו בדבר חסינויות וזכויות" w:history="1">
              <w:r>
                <w:rPr>
                  <w:rStyle w:val="Hyperlink"/>
                </w:rPr>
                <w:t>Go</w:t>
              </w:r>
            </w:hyperlink>
          </w:p>
        </w:tc>
        <w:tc>
          <w:tcPr>
            <w:tcW w:w="5669" w:type="dxa"/>
          </w:tcPr>
          <w:p w14:paraId="07852215" w14:textId="77777777" w:rsidR="00333C3C" w:rsidRDefault="00333C3C">
            <w:pPr>
              <w:spacing w:line="240" w:lineRule="auto"/>
              <w:rPr>
                <w:sz w:val="24"/>
                <w:rtl/>
              </w:rPr>
            </w:pPr>
            <w:r>
              <w:rPr>
                <w:sz w:val="24"/>
                <w:rtl/>
              </w:rPr>
              <w:t>צו בדבר חסינויות וזכויות</w:t>
            </w:r>
          </w:p>
        </w:tc>
        <w:tc>
          <w:tcPr>
            <w:tcW w:w="1247" w:type="dxa"/>
          </w:tcPr>
          <w:p w14:paraId="197928FE" w14:textId="77777777" w:rsidR="00333C3C" w:rsidRDefault="00333C3C">
            <w:pPr>
              <w:spacing w:line="240" w:lineRule="auto"/>
              <w:rPr>
                <w:sz w:val="24"/>
              </w:rPr>
            </w:pPr>
            <w:r>
              <w:rPr>
                <w:sz w:val="24"/>
                <w:rtl/>
              </w:rPr>
              <w:t xml:space="preserve">סעיף 2 </w:t>
            </w:r>
          </w:p>
        </w:tc>
      </w:tr>
      <w:tr w:rsidR="00333C3C" w14:paraId="4B44A108" w14:textId="77777777">
        <w:tblPrEx>
          <w:tblCellMar>
            <w:top w:w="0" w:type="dxa"/>
            <w:bottom w:w="0" w:type="dxa"/>
          </w:tblCellMar>
        </w:tblPrEx>
        <w:tc>
          <w:tcPr>
            <w:tcW w:w="850" w:type="dxa"/>
          </w:tcPr>
          <w:p w14:paraId="51BBC4D5" w14:textId="77777777" w:rsidR="00333C3C" w:rsidRDefault="00333C3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C584F">
              <w:rPr>
                <w:noProof/>
                <w:sz w:val="24"/>
                <w:rtl/>
              </w:rPr>
              <w:t>2</w:t>
            </w:r>
            <w:r>
              <w:rPr>
                <w:sz w:val="24"/>
                <w:rtl/>
              </w:rPr>
              <w:fldChar w:fldCharType="end"/>
            </w:r>
          </w:p>
        </w:tc>
        <w:tc>
          <w:tcPr>
            <w:tcW w:w="567" w:type="dxa"/>
          </w:tcPr>
          <w:p w14:paraId="2B7B07C1" w14:textId="77777777" w:rsidR="00333C3C" w:rsidRDefault="00333C3C">
            <w:pPr>
              <w:spacing w:line="240" w:lineRule="auto"/>
              <w:rPr>
                <w:sz w:val="24"/>
              </w:rPr>
            </w:pPr>
            <w:hyperlink w:anchor="Seif2" w:tooltip="צו בדבר חסינויות וזכויות — הוראת שעה" w:history="1">
              <w:r>
                <w:rPr>
                  <w:rStyle w:val="Hyperlink"/>
                </w:rPr>
                <w:t>Go</w:t>
              </w:r>
            </w:hyperlink>
          </w:p>
        </w:tc>
        <w:tc>
          <w:tcPr>
            <w:tcW w:w="5669" w:type="dxa"/>
          </w:tcPr>
          <w:p w14:paraId="29E551EE" w14:textId="77777777" w:rsidR="00333C3C" w:rsidRDefault="00333C3C">
            <w:pPr>
              <w:spacing w:line="240" w:lineRule="auto"/>
              <w:rPr>
                <w:sz w:val="24"/>
                <w:rtl/>
              </w:rPr>
            </w:pPr>
            <w:r>
              <w:rPr>
                <w:sz w:val="24"/>
                <w:rtl/>
              </w:rPr>
              <w:t>צו בדבר חסינויות וזכויות — הוראת שעה</w:t>
            </w:r>
          </w:p>
        </w:tc>
        <w:tc>
          <w:tcPr>
            <w:tcW w:w="1247" w:type="dxa"/>
          </w:tcPr>
          <w:p w14:paraId="5D84D0A1" w14:textId="77777777" w:rsidR="00333C3C" w:rsidRDefault="00333C3C">
            <w:pPr>
              <w:spacing w:line="240" w:lineRule="auto"/>
              <w:rPr>
                <w:sz w:val="24"/>
              </w:rPr>
            </w:pPr>
            <w:r>
              <w:rPr>
                <w:sz w:val="24"/>
                <w:rtl/>
              </w:rPr>
              <w:t xml:space="preserve">סעיף 3 </w:t>
            </w:r>
          </w:p>
        </w:tc>
      </w:tr>
      <w:tr w:rsidR="00333C3C" w14:paraId="6B86E56B" w14:textId="77777777">
        <w:tblPrEx>
          <w:tblCellMar>
            <w:top w:w="0" w:type="dxa"/>
            <w:bottom w:w="0" w:type="dxa"/>
          </w:tblCellMar>
        </w:tblPrEx>
        <w:tc>
          <w:tcPr>
            <w:tcW w:w="850" w:type="dxa"/>
          </w:tcPr>
          <w:p w14:paraId="22E28301" w14:textId="77777777" w:rsidR="00333C3C" w:rsidRDefault="00333C3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C584F">
              <w:rPr>
                <w:noProof/>
                <w:sz w:val="24"/>
                <w:rtl/>
              </w:rPr>
              <w:t>2</w:t>
            </w:r>
            <w:r>
              <w:rPr>
                <w:sz w:val="24"/>
                <w:rtl/>
              </w:rPr>
              <w:fldChar w:fldCharType="end"/>
            </w:r>
          </w:p>
        </w:tc>
        <w:tc>
          <w:tcPr>
            <w:tcW w:w="567" w:type="dxa"/>
          </w:tcPr>
          <w:p w14:paraId="66C881B2" w14:textId="77777777" w:rsidR="00333C3C" w:rsidRDefault="00333C3C">
            <w:pPr>
              <w:spacing w:line="240" w:lineRule="auto"/>
              <w:rPr>
                <w:sz w:val="24"/>
              </w:rPr>
            </w:pPr>
            <w:hyperlink w:anchor="Seif3" w:tooltip="אישור צווים המעניקים פטור ממסים" w:history="1">
              <w:r>
                <w:rPr>
                  <w:rStyle w:val="Hyperlink"/>
                </w:rPr>
                <w:t>Go</w:t>
              </w:r>
            </w:hyperlink>
          </w:p>
        </w:tc>
        <w:tc>
          <w:tcPr>
            <w:tcW w:w="5669" w:type="dxa"/>
          </w:tcPr>
          <w:p w14:paraId="35247CAE" w14:textId="77777777" w:rsidR="00333C3C" w:rsidRDefault="00333C3C">
            <w:pPr>
              <w:spacing w:line="240" w:lineRule="auto"/>
              <w:rPr>
                <w:sz w:val="24"/>
                <w:rtl/>
              </w:rPr>
            </w:pPr>
            <w:r>
              <w:rPr>
                <w:sz w:val="24"/>
                <w:rtl/>
              </w:rPr>
              <w:t>אישור צווים המעניקים פטור ממסים</w:t>
            </w:r>
          </w:p>
        </w:tc>
        <w:tc>
          <w:tcPr>
            <w:tcW w:w="1247" w:type="dxa"/>
          </w:tcPr>
          <w:p w14:paraId="53CFF215" w14:textId="77777777" w:rsidR="00333C3C" w:rsidRDefault="00333C3C">
            <w:pPr>
              <w:spacing w:line="240" w:lineRule="auto"/>
              <w:rPr>
                <w:sz w:val="24"/>
              </w:rPr>
            </w:pPr>
            <w:r>
              <w:rPr>
                <w:sz w:val="24"/>
                <w:rtl/>
              </w:rPr>
              <w:t xml:space="preserve">סעיף 4 </w:t>
            </w:r>
          </w:p>
        </w:tc>
      </w:tr>
      <w:tr w:rsidR="00333C3C" w14:paraId="5EB41C26" w14:textId="77777777">
        <w:tblPrEx>
          <w:tblCellMar>
            <w:top w:w="0" w:type="dxa"/>
            <w:bottom w:w="0" w:type="dxa"/>
          </w:tblCellMar>
        </w:tblPrEx>
        <w:tc>
          <w:tcPr>
            <w:tcW w:w="850" w:type="dxa"/>
          </w:tcPr>
          <w:p w14:paraId="311C3940" w14:textId="77777777" w:rsidR="00333C3C" w:rsidRDefault="00333C3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C584F">
              <w:rPr>
                <w:noProof/>
                <w:sz w:val="24"/>
                <w:rtl/>
              </w:rPr>
              <w:t>2</w:t>
            </w:r>
            <w:r>
              <w:rPr>
                <w:sz w:val="24"/>
                <w:rtl/>
              </w:rPr>
              <w:fldChar w:fldCharType="end"/>
            </w:r>
          </w:p>
        </w:tc>
        <w:tc>
          <w:tcPr>
            <w:tcW w:w="567" w:type="dxa"/>
          </w:tcPr>
          <w:p w14:paraId="22CD1E00" w14:textId="77777777" w:rsidR="00333C3C" w:rsidRDefault="00333C3C">
            <w:pPr>
              <w:spacing w:line="240" w:lineRule="auto"/>
              <w:rPr>
                <w:sz w:val="24"/>
              </w:rPr>
            </w:pPr>
            <w:hyperlink w:anchor="Seif4" w:tooltip="אישור צווים" w:history="1">
              <w:r>
                <w:rPr>
                  <w:rStyle w:val="Hyperlink"/>
                </w:rPr>
                <w:t>Go</w:t>
              </w:r>
            </w:hyperlink>
          </w:p>
        </w:tc>
        <w:tc>
          <w:tcPr>
            <w:tcW w:w="5669" w:type="dxa"/>
          </w:tcPr>
          <w:p w14:paraId="32049FFF" w14:textId="77777777" w:rsidR="00333C3C" w:rsidRDefault="00333C3C">
            <w:pPr>
              <w:spacing w:line="240" w:lineRule="auto"/>
              <w:rPr>
                <w:sz w:val="24"/>
                <w:rtl/>
              </w:rPr>
            </w:pPr>
            <w:r>
              <w:rPr>
                <w:sz w:val="24"/>
                <w:rtl/>
              </w:rPr>
              <w:t>אישור צווים</w:t>
            </w:r>
          </w:p>
        </w:tc>
        <w:tc>
          <w:tcPr>
            <w:tcW w:w="1247" w:type="dxa"/>
          </w:tcPr>
          <w:p w14:paraId="767AC3BD" w14:textId="77777777" w:rsidR="00333C3C" w:rsidRDefault="00333C3C">
            <w:pPr>
              <w:spacing w:line="240" w:lineRule="auto"/>
              <w:rPr>
                <w:sz w:val="24"/>
              </w:rPr>
            </w:pPr>
            <w:r>
              <w:rPr>
                <w:sz w:val="24"/>
                <w:rtl/>
              </w:rPr>
              <w:t xml:space="preserve">סעיף 5 </w:t>
            </w:r>
          </w:p>
        </w:tc>
      </w:tr>
      <w:tr w:rsidR="00333C3C" w14:paraId="29040EAC" w14:textId="77777777">
        <w:tblPrEx>
          <w:tblCellMar>
            <w:top w:w="0" w:type="dxa"/>
            <w:bottom w:w="0" w:type="dxa"/>
          </w:tblCellMar>
        </w:tblPrEx>
        <w:tc>
          <w:tcPr>
            <w:tcW w:w="850" w:type="dxa"/>
          </w:tcPr>
          <w:p w14:paraId="3EA8CCA0" w14:textId="77777777" w:rsidR="00333C3C" w:rsidRDefault="00333C3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C584F">
              <w:rPr>
                <w:noProof/>
                <w:sz w:val="24"/>
                <w:rtl/>
              </w:rPr>
              <w:t>2</w:t>
            </w:r>
            <w:r>
              <w:rPr>
                <w:sz w:val="24"/>
                <w:rtl/>
              </w:rPr>
              <w:fldChar w:fldCharType="end"/>
            </w:r>
          </w:p>
        </w:tc>
        <w:tc>
          <w:tcPr>
            <w:tcW w:w="567" w:type="dxa"/>
          </w:tcPr>
          <w:p w14:paraId="6CBEE266" w14:textId="77777777" w:rsidR="00333C3C" w:rsidRDefault="00333C3C">
            <w:pPr>
              <w:spacing w:line="240" w:lineRule="auto"/>
              <w:rPr>
                <w:sz w:val="24"/>
              </w:rPr>
            </w:pPr>
            <w:hyperlink w:anchor="Seif5" w:tooltip="ביצוע" w:history="1">
              <w:r>
                <w:rPr>
                  <w:rStyle w:val="Hyperlink"/>
                </w:rPr>
                <w:t>Go</w:t>
              </w:r>
            </w:hyperlink>
          </w:p>
        </w:tc>
        <w:tc>
          <w:tcPr>
            <w:tcW w:w="5669" w:type="dxa"/>
          </w:tcPr>
          <w:p w14:paraId="72005FCF" w14:textId="77777777" w:rsidR="00333C3C" w:rsidRDefault="00333C3C">
            <w:pPr>
              <w:spacing w:line="240" w:lineRule="auto"/>
              <w:rPr>
                <w:sz w:val="24"/>
                <w:rtl/>
              </w:rPr>
            </w:pPr>
            <w:r>
              <w:rPr>
                <w:sz w:val="24"/>
                <w:rtl/>
              </w:rPr>
              <w:t>ביצוע</w:t>
            </w:r>
          </w:p>
        </w:tc>
        <w:tc>
          <w:tcPr>
            <w:tcW w:w="1247" w:type="dxa"/>
          </w:tcPr>
          <w:p w14:paraId="136872AD" w14:textId="77777777" w:rsidR="00333C3C" w:rsidRDefault="00333C3C">
            <w:pPr>
              <w:spacing w:line="240" w:lineRule="auto"/>
              <w:rPr>
                <w:sz w:val="24"/>
              </w:rPr>
            </w:pPr>
            <w:r>
              <w:rPr>
                <w:sz w:val="24"/>
                <w:rtl/>
              </w:rPr>
              <w:t xml:space="preserve">סעיף 6 </w:t>
            </w:r>
          </w:p>
        </w:tc>
      </w:tr>
    </w:tbl>
    <w:p w14:paraId="1BB39C53" w14:textId="77777777" w:rsidR="00333C3C" w:rsidRDefault="00333C3C">
      <w:pPr>
        <w:pStyle w:val="big-header"/>
        <w:ind w:left="0" w:right="1134"/>
        <w:rPr>
          <w:rFonts w:cs="FrankRuehl"/>
          <w:sz w:val="32"/>
          <w:rtl/>
        </w:rPr>
      </w:pPr>
    </w:p>
    <w:p w14:paraId="5480ECB3" w14:textId="77777777" w:rsidR="00333C3C" w:rsidRDefault="00333C3C" w:rsidP="002B61C5">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חסינויות וזכויות (הכוח הרב-לאומי), תשמ"ב</w:t>
      </w:r>
      <w:r w:rsidR="00257A9D">
        <w:rPr>
          <w:rFonts w:cs="FrankRuehl" w:hint="cs"/>
          <w:sz w:val="32"/>
          <w:rtl/>
        </w:rPr>
        <w:t>-</w:t>
      </w:r>
      <w:r>
        <w:rPr>
          <w:rFonts w:cs="FrankRuehl"/>
          <w:sz w:val="32"/>
          <w:rtl/>
        </w:rPr>
        <w:t>1982</w:t>
      </w:r>
      <w:r w:rsidR="00257A9D">
        <w:rPr>
          <w:rStyle w:val="a6"/>
          <w:rFonts w:cs="FrankRuehl"/>
          <w:sz w:val="32"/>
          <w:rtl/>
        </w:rPr>
        <w:footnoteReference w:customMarkFollows="1" w:id="1"/>
        <w:t>*</w:t>
      </w:r>
    </w:p>
    <w:p w14:paraId="710572FB" w14:textId="77777777" w:rsidR="00333C3C" w:rsidRDefault="00333C3C">
      <w:pPr>
        <w:pStyle w:val="P00"/>
        <w:spacing w:before="72"/>
        <w:ind w:left="0" w:right="1134"/>
        <w:rPr>
          <w:rStyle w:val="default"/>
          <w:rFonts w:cs="FrankRuehl" w:hint="cs"/>
          <w:rtl/>
        </w:rPr>
      </w:pPr>
      <w:bookmarkStart w:id="0" w:name="Seif0"/>
      <w:bookmarkEnd w:id="0"/>
      <w:r>
        <w:rPr>
          <w:lang w:val="he-IL"/>
        </w:rPr>
        <w:pict w14:anchorId="0162AB4D">
          <v:rect id="_x0000_s1026" style="position:absolute;left:0;text-align:left;margin-left:464.5pt;margin-top:8.05pt;width:75.05pt;height:12.6pt;z-index:251655168" o:allowincell="f" filled="f" stroked="f" strokecolor="lime" strokeweight=".25pt">
            <v:textbox inset="0,0,0,0">
              <w:txbxContent>
                <w:p w14:paraId="123D3993" w14:textId="77777777" w:rsidR="00333C3C" w:rsidRDefault="00333C3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9C584F">
        <w:rPr>
          <w:rStyle w:val="default"/>
          <w:rFonts w:cs="FrankRuehl"/>
          <w:rtl/>
        </w:rPr>
        <w:t>–</w:t>
      </w:r>
    </w:p>
    <w:p w14:paraId="7918ECDC" w14:textId="77777777" w:rsidR="00333C3C" w:rsidRDefault="00333C3C" w:rsidP="009C584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הסכם" </w:t>
      </w:r>
      <w:r w:rsidR="009C584F">
        <w:rPr>
          <w:rStyle w:val="default"/>
          <w:rFonts w:cs="FrankRuehl" w:hint="cs"/>
          <w:rtl/>
        </w:rPr>
        <w:t>-</w:t>
      </w:r>
      <w:r>
        <w:rPr>
          <w:rStyle w:val="default"/>
          <w:rFonts w:cs="FrankRuehl"/>
          <w:rtl/>
        </w:rPr>
        <w:t xml:space="preserve"> </w:t>
      </w:r>
      <w:r>
        <w:rPr>
          <w:rStyle w:val="default"/>
          <w:rFonts w:cs="FrankRuehl" w:hint="cs"/>
          <w:rtl/>
        </w:rPr>
        <w:t>הפרוטוקול בין מדינת ישראל ובין הרפובליקה הערבית של מצרים בדבר הקמתם והחזקתם של הכוח והמשקיפים הרב-לאומיים, שנחתם ביום ג' באב תשמ"א (3 ב</w:t>
      </w:r>
      <w:r>
        <w:rPr>
          <w:rStyle w:val="default"/>
          <w:rFonts w:cs="FrankRuehl"/>
          <w:rtl/>
        </w:rPr>
        <w:t>או</w:t>
      </w:r>
      <w:r>
        <w:rPr>
          <w:rStyle w:val="default"/>
          <w:rFonts w:cs="FrankRuehl" w:hint="cs"/>
          <w:rtl/>
        </w:rPr>
        <w:t>גוסט 1981), והמסמכים הנלווים אליו, שפורסמו בכתבי אמנה 896, כרך 26, עמ' 631;</w:t>
      </w:r>
    </w:p>
    <w:p w14:paraId="4C43A07E" w14:textId="77777777" w:rsidR="00333C3C" w:rsidRDefault="00333C3C" w:rsidP="009C584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סינויות וזכויות" </w:t>
      </w:r>
      <w:r w:rsidR="009C584F">
        <w:rPr>
          <w:rStyle w:val="default"/>
          <w:rFonts w:cs="FrankRuehl" w:hint="cs"/>
          <w:rtl/>
        </w:rPr>
        <w:t>-</w:t>
      </w:r>
      <w:r>
        <w:rPr>
          <w:rStyle w:val="default"/>
          <w:rFonts w:cs="FrankRuehl"/>
          <w:rtl/>
        </w:rPr>
        <w:t xml:space="preserve"> </w:t>
      </w:r>
      <w:r>
        <w:rPr>
          <w:rStyle w:val="default"/>
          <w:rFonts w:cs="FrankRuehl" w:hint="cs"/>
          <w:rtl/>
        </w:rPr>
        <w:t>חסינויות וזכויות על פי הוראה בהסכם שענינה סמכות השיפוט של בית המשפט או של רשות שיפוטית אחרת בישראל, אם לשלילתה, להגבלתה או לסיוגה, או המעניקה חסינות בפני מע</w:t>
      </w:r>
      <w:r>
        <w:rPr>
          <w:rStyle w:val="default"/>
          <w:rFonts w:cs="FrankRuehl"/>
          <w:rtl/>
        </w:rPr>
        <w:t>צר</w:t>
      </w:r>
      <w:r>
        <w:rPr>
          <w:rStyle w:val="default"/>
          <w:rFonts w:cs="FrankRuehl" w:hint="cs"/>
          <w:rtl/>
        </w:rPr>
        <w:t>, חיפוש, מאסר או פעולת אכיפה של פ</w:t>
      </w:r>
      <w:r>
        <w:rPr>
          <w:rStyle w:val="default"/>
          <w:rFonts w:cs="FrankRuehl"/>
          <w:rtl/>
        </w:rPr>
        <w:t>ס</w:t>
      </w:r>
      <w:r>
        <w:rPr>
          <w:rStyle w:val="default"/>
          <w:rFonts w:cs="FrankRuehl" w:hint="cs"/>
          <w:rtl/>
        </w:rPr>
        <w:t xml:space="preserve">ק דין או של צו של בית משפט או של רשות שיפוטית אחרת, או המעניקה פטור ממסים או מתשלומי חובה אחרים, או המשחררת מחובת היתר על פי דין או המעניקה זכות יתר כלשהי; </w:t>
      </w:r>
    </w:p>
    <w:p w14:paraId="5970E341" w14:textId="77777777" w:rsidR="00333C3C" w:rsidRDefault="00333C3C" w:rsidP="009C584F">
      <w:pPr>
        <w:pStyle w:val="P00"/>
        <w:spacing w:before="72"/>
        <w:ind w:left="0" w:right="1134"/>
        <w:rPr>
          <w:rFonts w:cs="FrankRuehl"/>
          <w:sz w:val="26"/>
          <w:rtl/>
        </w:rPr>
      </w:pPr>
      <w:r>
        <w:rPr>
          <w:rFonts w:cs="FrankRuehl"/>
          <w:sz w:val="26"/>
          <w:rtl/>
        </w:rPr>
        <w:tab/>
        <w:t>"</w:t>
      </w:r>
      <w:r>
        <w:rPr>
          <w:rFonts w:cs="FrankRuehl" w:hint="cs"/>
          <w:sz w:val="26"/>
          <w:rtl/>
        </w:rPr>
        <w:t xml:space="preserve">הכוח הרב-לאומי" </w:t>
      </w:r>
      <w:r w:rsidR="009C584F">
        <w:rPr>
          <w:rFonts w:cs="FrankRuehl" w:hint="cs"/>
          <w:sz w:val="26"/>
          <w:rtl/>
        </w:rPr>
        <w:t>-</w:t>
      </w:r>
      <w:r>
        <w:rPr>
          <w:rFonts w:cs="FrankRuehl"/>
          <w:sz w:val="26"/>
          <w:rtl/>
        </w:rPr>
        <w:t xml:space="preserve"> </w:t>
      </w:r>
      <w:r>
        <w:rPr>
          <w:rFonts w:cs="FrankRuehl" w:hint="cs"/>
          <w:sz w:val="26"/>
          <w:rtl/>
        </w:rPr>
        <w:t>הכוח והמשקיפים הרב-לאומיים</w:t>
      </w:r>
      <w:r>
        <w:rPr>
          <w:rFonts w:cs="FrankRuehl"/>
          <w:sz w:val="26"/>
          <w:rtl/>
        </w:rPr>
        <w:t xml:space="preserve"> כ</w:t>
      </w:r>
      <w:r>
        <w:rPr>
          <w:rFonts w:cs="FrankRuehl" w:hint="cs"/>
          <w:sz w:val="26"/>
          <w:rtl/>
        </w:rPr>
        <w:t>משמעותם בהסכ</w:t>
      </w:r>
      <w:r>
        <w:rPr>
          <w:rFonts w:cs="FrankRuehl"/>
          <w:sz w:val="26"/>
          <w:rtl/>
        </w:rPr>
        <w:t>ם;</w:t>
      </w:r>
    </w:p>
    <w:p w14:paraId="5ACB1A84" w14:textId="77777777" w:rsidR="00333C3C" w:rsidRDefault="00333C3C" w:rsidP="009C584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נשי הכוח הרב-לאומי" </w:t>
      </w:r>
      <w:r w:rsidR="009C584F">
        <w:rPr>
          <w:rStyle w:val="default"/>
          <w:rFonts w:cs="FrankRuehl" w:hint="cs"/>
          <w:rtl/>
        </w:rPr>
        <w:t>-</w:t>
      </w:r>
      <w:r>
        <w:rPr>
          <w:rStyle w:val="default"/>
          <w:rFonts w:cs="FrankRuehl"/>
          <w:rtl/>
        </w:rPr>
        <w:t xml:space="preserve"> </w:t>
      </w:r>
      <w:r>
        <w:rPr>
          <w:rStyle w:val="default"/>
          <w:rFonts w:cs="FrankRuehl" w:hint="cs"/>
          <w:rtl/>
        </w:rPr>
        <w:t>חברי הכ</w:t>
      </w:r>
      <w:r>
        <w:rPr>
          <w:rStyle w:val="default"/>
          <w:rFonts w:cs="FrankRuehl"/>
          <w:rtl/>
        </w:rPr>
        <w:t>ו</w:t>
      </w:r>
      <w:r>
        <w:rPr>
          <w:rStyle w:val="default"/>
          <w:rFonts w:cs="FrankRuehl" w:hint="cs"/>
          <w:rtl/>
        </w:rPr>
        <w:t>ח הרב-לאומי כמשמעותם בהסכם.</w:t>
      </w:r>
    </w:p>
    <w:p w14:paraId="3CC514FE" w14:textId="77777777" w:rsidR="00333C3C" w:rsidRDefault="00333C3C">
      <w:pPr>
        <w:pStyle w:val="P00"/>
        <w:spacing w:before="72"/>
        <w:ind w:left="0" w:right="1134"/>
        <w:rPr>
          <w:rStyle w:val="default"/>
          <w:rFonts w:cs="FrankRuehl"/>
          <w:rtl/>
        </w:rPr>
      </w:pPr>
      <w:bookmarkStart w:id="1" w:name="Seif1"/>
      <w:bookmarkEnd w:id="1"/>
      <w:r>
        <w:rPr>
          <w:lang w:val="he-IL"/>
        </w:rPr>
        <w:pict w14:anchorId="41525721">
          <v:rect id="_x0000_s1027" style="position:absolute;left:0;text-align:left;margin-left:464.5pt;margin-top:8.05pt;width:75.05pt;height:19.75pt;z-index:251656192" o:allowincell="f" filled="f" stroked="f" strokecolor="lime" strokeweight=".25pt">
            <v:textbox inset="0,0,0,0">
              <w:txbxContent>
                <w:p w14:paraId="28E56F8D" w14:textId="77777777" w:rsidR="00333C3C" w:rsidRDefault="00333C3C" w:rsidP="009C584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בדבר</w:t>
                  </w:r>
                  <w:r w:rsidR="009C584F">
                    <w:rPr>
                      <w:rFonts w:cs="Miriam" w:hint="cs"/>
                      <w:sz w:val="18"/>
                      <w:szCs w:val="18"/>
                      <w:rtl/>
                    </w:rPr>
                    <w:t xml:space="preserve"> </w:t>
                  </w:r>
                  <w:r>
                    <w:rPr>
                      <w:rFonts w:cs="Miriam"/>
                      <w:sz w:val="18"/>
                      <w:szCs w:val="18"/>
                      <w:rtl/>
                    </w:rPr>
                    <w:t>חס</w:t>
                  </w:r>
                  <w:r>
                    <w:rPr>
                      <w:rFonts w:cs="Miriam" w:hint="cs"/>
                      <w:sz w:val="18"/>
                      <w:szCs w:val="18"/>
                      <w:rtl/>
                    </w:rPr>
                    <w:t>ינויות וזכויות</w:t>
                  </w:r>
                </w:p>
              </w:txbxContent>
            </v:textbox>
            <w10:anchorlock/>
          </v:rect>
        </w:pict>
      </w:r>
      <w:r>
        <w:rPr>
          <w:rStyle w:val="big-number"/>
          <w:rFonts w:cs="Miriam"/>
          <w:rtl/>
        </w:rPr>
        <w:t>2.</w:t>
      </w:r>
      <w:r>
        <w:rPr>
          <w:rStyle w:val="big-number"/>
          <w:rFonts w:cs="Miriam"/>
          <w:rtl/>
        </w:rPr>
        <w:tab/>
      </w:r>
      <w:r>
        <w:rPr>
          <w:rStyle w:val="default"/>
          <w:rFonts w:cs="FrankRuehl"/>
          <w:rtl/>
        </w:rPr>
        <w:t>שר</w:t>
      </w:r>
      <w:r>
        <w:rPr>
          <w:rStyle w:val="default"/>
          <w:rFonts w:cs="FrankRuehl" w:hint="cs"/>
          <w:rtl/>
        </w:rPr>
        <w:t xml:space="preserve"> החוץ ושר המשפטים כאחד רשאים לקבוע בצו חסינויות וזכויות שיוענקו לכוח הרב-לאומי ולאנשי הכוח הרב-לאומי.</w:t>
      </w:r>
    </w:p>
    <w:p w14:paraId="6FC32259" w14:textId="77777777" w:rsidR="00333C3C" w:rsidRDefault="00333C3C">
      <w:pPr>
        <w:pStyle w:val="P00"/>
        <w:spacing w:before="72"/>
        <w:ind w:left="0" w:right="1134"/>
        <w:rPr>
          <w:rStyle w:val="default"/>
          <w:rFonts w:cs="FrankRuehl"/>
          <w:rtl/>
        </w:rPr>
      </w:pPr>
      <w:bookmarkStart w:id="2" w:name="Seif2"/>
      <w:bookmarkEnd w:id="2"/>
      <w:r>
        <w:rPr>
          <w:lang w:val="he-IL"/>
        </w:rPr>
        <w:pict w14:anchorId="0EE562A3">
          <v:rect id="_x0000_s1028" style="position:absolute;left:0;text-align:left;margin-left:464.5pt;margin-top:8.05pt;width:75.05pt;height:32pt;z-index:251657216" o:allowincell="f" filled="f" stroked="f" strokecolor="lime" strokeweight=".25pt">
            <v:textbox inset="0,0,0,0">
              <w:txbxContent>
                <w:p w14:paraId="5119D4FC" w14:textId="77777777" w:rsidR="00333C3C" w:rsidRDefault="00333C3C" w:rsidP="009C584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בדבר</w:t>
                  </w:r>
                  <w:r w:rsidR="009C584F">
                    <w:rPr>
                      <w:rFonts w:cs="Miriam" w:hint="cs"/>
                      <w:sz w:val="18"/>
                      <w:szCs w:val="18"/>
                      <w:rtl/>
                    </w:rPr>
                    <w:t xml:space="preserve"> </w:t>
                  </w:r>
                  <w:r>
                    <w:rPr>
                      <w:rFonts w:cs="Miriam"/>
                      <w:sz w:val="18"/>
                      <w:szCs w:val="18"/>
                      <w:rtl/>
                    </w:rPr>
                    <w:t>חס</w:t>
                  </w:r>
                  <w:r>
                    <w:rPr>
                      <w:rFonts w:cs="Miriam" w:hint="cs"/>
                      <w:sz w:val="18"/>
                      <w:szCs w:val="18"/>
                      <w:rtl/>
                    </w:rPr>
                    <w:t>ינויות</w:t>
                  </w:r>
                  <w:r w:rsidR="009C584F">
                    <w:rPr>
                      <w:rFonts w:cs="Miriam" w:hint="cs"/>
                      <w:sz w:val="18"/>
                      <w:szCs w:val="18"/>
                      <w:rtl/>
                    </w:rPr>
                    <w:t xml:space="preserve"> </w:t>
                  </w:r>
                  <w:r>
                    <w:rPr>
                      <w:rFonts w:cs="Miriam"/>
                      <w:sz w:val="18"/>
                      <w:szCs w:val="18"/>
                      <w:rtl/>
                    </w:rPr>
                    <w:t>וז</w:t>
                  </w:r>
                  <w:r>
                    <w:rPr>
                      <w:rFonts w:cs="Miriam" w:hint="cs"/>
                      <w:sz w:val="18"/>
                      <w:szCs w:val="18"/>
                      <w:rtl/>
                    </w:rPr>
                    <w:t xml:space="preserve">כויות </w:t>
                  </w:r>
                  <w:r w:rsidR="009C584F">
                    <w:rPr>
                      <w:rFonts w:cs="Miriam"/>
                      <w:sz w:val="18"/>
                      <w:szCs w:val="18"/>
                      <w:rtl/>
                    </w:rPr>
                    <w:t>–</w:t>
                  </w:r>
                  <w:r w:rsidR="009C584F">
                    <w:rPr>
                      <w:rFonts w:cs="Miriam" w:hint="cs"/>
                      <w:sz w:val="18"/>
                      <w:szCs w:val="18"/>
                      <w:rtl/>
                    </w:rPr>
                    <w:t xml:space="preserve"> </w:t>
                  </w:r>
                  <w:r>
                    <w:rPr>
                      <w:rFonts w:cs="Miriam"/>
                      <w:sz w:val="18"/>
                      <w:szCs w:val="18"/>
                      <w:rtl/>
                    </w:rPr>
                    <w:t>הו</w:t>
                  </w:r>
                  <w:r>
                    <w:rPr>
                      <w:rFonts w:cs="Miriam" w:hint="cs"/>
                      <w:sz w:val="18"/>
                      <w:szCs w:val="18"/>
                      <w:rtl/>
                    </w:rPr>
                    <w:t>ראת שעה</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החוץ ושר המשפטים כאחד רשאים לקבוע בצו חסינויות וזכויות שיוענקו לאנשים ולגופים</w:t>
      </w:r>
      <w:r>
        <w:rPr>
          <w:rStyle w:val="default"/>
          <w:rFonts w:cs="FrankRuehl"/>
          <w:rtl/>
        </w:rPr>
        <w:t xml:space="preserve"> ש</w:t>
      </w:r>
      <w:r>
        <w:rPr>
          <w:rStyle w:val="default"/>
          <w:rFonts w:cs="FrankRuehl" w:hint="cs"/>
          <w:rtl/>
        </w:rPr>
        <w:t>יצויינו בצו, הפועלים למען כינון הכוח הרב-לאומי; צו כאמור יעמוד בתקפו שנה מיום תחילתו זולת אם בוטל קודם לכן.</w:t>
      </w:r>
    </w:p>
    <w:p w14:paraId="2C099483" w14:textId="77777777" w:rsidR="00333C3C" w:rsidRDefault="00333C3C">
      <w:pPr>
        <w:pStyle w:val="P00"/>
        <w:spacing w:before="72"/>
        <w:ind w:left="0" w:right="1134"/>
        <w:rPr>
          <w:rStyle w:val="default"/>
          <w:rFonts w:cs="FrankRuehl"/>
          <w:rtl/>
        </w:rPr>
      </w:pPr>
      <w:bookmarkStart w:id="3" w:name="Seif3"/>
      <w:bookmarkEnd w:id="3"/>
      <w:r>
        <w:rPr>
          <w:lang w:val="he-IL"/>
        </w:rPr>
        <w:pict w14:anchorId="1105B766">
          <v:rect id="_x0000_s1029" style="position:absolute;left:0;text-align:left;margin-left:464.5pt;margin-top:8.05pt;width:75.05pt;height:30.5pt;z-index:251658240" o:allowincell="f" filled="f" stroked="f" strokecolor="lime" strokeweight=".25pt">
            <v:textbox inset="0,0,0,0">
              <w:txbxContent>
                <w:p w14:paraId="6BDA1626" w14:textId="77777777" w:rsidR="00333C3C" w:rsidRDefault="00333C3C" w:rsidP="009C584F">
                  <w:pPr>
                    <w:spacing w:line="160" w:lineRule="exact"/>
                    <w:jc w:val="left"/>
                    <w:rPr>
                      <w:rFonts w:cs="Miriam"/>
                      <w:noProof/>
                      <w:sz w:val="18"/>
                      <w:szCs w:val="18"/>
                      <w:rtl/>
                    </w:rPr>
                  </w:pPr>
                  <w:r>
                    <w:rPr>
                      <w:rFonts w:cs="Miriam"/>
                      <w:sz w:val="18"/>
                      <w:szCs w:val="18"/>
                      <w:rtl/>
                    </w:rPr>
                    <w:t>אי</w:t>
                  </w:r>
                  <w:r>
                    <w:rPr>
                      <w:rFonts w:cs="Miriam" w:hint="cs"/>
                      <w:sz w:val="18"/>
                      <w:szCs w:val="18"/>
                      <w:rtl/>
                    </w:rPr>
                    <w:t>שור צווים</w:t>
                  </w:r>
                  <w:r w:rsidR="009C584F">
                    <w:rPr>
                      <w:rFonts w:cs="Miriam" w:hint="cs"/>
                      <w:sz w:val="18"/>
                      <w:szCs w:val="18"/>
                      <w:rtl/>
                    </w:rPr>
                    <w:t xml:space="preserve"> </w:t>
                  </w:r>
                  <w:r>
                    <w:rPr>
                      <w:rFonts w:cs="Miriam"/>
                      <w:sz w:val="18"/>
                      <w:szCs w:val="18"/>
                      <w:rtl/>
                    </w:rPr>
                    <w:t>המ</w:t>
                  </w:r>
                  <w:r>
                    <w:rPr>
                      <w:rFonts w:cs="Miriam" w:hint="cs"/>
                      <w:sz w:val="18"/>
                      <w:szCs w:val="18"/>
                      <w:rtl/>
                    </w:rPr>
                    <w:t>עניקים פטור</w:t>
                  </w:r>
                  <w:r w:rsidR="009C584F">
                    <w:rPr>
                      <w:rFonts w:cs="Miriam" w:hint="cs"/>
                      <w:sz w:val="18"/>
                      <w:szCs w:val="18"/>
                      <w:rtl/>
                    </w:rPr>
                    <w:t xml:space="preserve"> </w:t>
                  </w:r>
                  <w:r>
                    <w:rPr>
                      <w:rFonts w:cs="Miriam"/>
                      <w:sz w:val="18"/>
                      <w:szCs w:val="18"/>
                      <w:rtl/>
                    </w:rPr>
                    <w:t>ממ</w:t>
                  </w:r>
                  <w:r>
                    <w:rPr>
                      <w:rFonts w:cs="Miriam" w:hint="cs"/>
                      <w:sz w:val="18"/>
                      <w:szCs w:val="18"/>
                      <w:rtl/>
                    </w:rPr>
                    <w:t>ס</w:t>
                  </w:r>
                  <w:r>
                    <w:rPr>
                      <w:rFonts w:cs="Miriam"/>
                      <w:sz w:val="18"/>
                      <w:szCs w:val="18"/>
                      <w:rtl/>
                    </w:rPr>
                    <w:t>ים</w:t>
                  </w:r>
                </w:p>
              </w:txbxContent>
            </v:textbox>
            <w10:anchorlock/>
          </v:rect>
        </w:pict>
      </w:r>
      <w:r>
        <w:rPr>
          <w:rStyle w:val="big-number"/>
          <w:rFonts w:cs="Miriam"/>
          <w:rtl/>
        </w:rPr>
        <w:t>4.</w:t>
      </w:r>
      <w:r>
        <w:rPr>
          <w:rStyle w:val="big-number"/>
          <w:rFonts w:cs="Miriam"/>
          <w:rtl/>
        </w:rPr>
        <w:tab/>
      </w:r>
      <w:r>
        <w:rPr>
          <w:rStyle w:val="default"/>
          <w:rFonts w:cs="FrankRuehl"/>
          <w:rtl/>
        </w:rPr>
        <w:t>צו</w:t>
      </w:r>
      <w:r>
        <w:rPr>
          <w:rStyle w:val="default"/>
          <w:rFonts w:cs="FrankRuehl" w:hint="cs"/>
          <w:rtl/>
        </w:rPr>
        <w:t>וים לפי סעיפים 2 ו-3 המעניקים פטור ממסים או מתשלומי חובה אחרים, יהיו בהסכמת</w:t>
      </w:r>
      <w:r>
        <w:rPr>
          <w:rStyle w:val="default"/>
          <w:rFonts w:cs="FrankRuehl"/>
          <w:rtl/>
        </w:rPr>
        <w:t xml:space="preserve"> </w:t>
      </w:r>
      <w:r>
        <w:rPr>
          <w:rStyle w:val="default"/>
          <w:rFonts w:cs="FrankRuehl" w:hint="cs"/>
          <w:rtl/>
        </w:rPr>
        <w:t>שר האוצר.</w:t>
      </w:r>
    </w:p>
    <w:p w14:paraId="069339E3" w14:textId="77777777" w:rsidR="00333C3C" w:rsidRDefault="00333C3C">
      <w:pPr>
        <w:pStyle w:val="P00"/>
        <w:spacing w:before="72"/>
        <w:ind w:left="0" w:right="1134"/>
        <w:rPr>
          <w:rStyle w:val="default"/>
          <w:rFonts w:cs="FrankRuehl"/>
          <w:rtl/>
        </w:rPr>
      </w:pPr>
      <w:bookmarkStart w:id="4" w:name="Seif4"/>
      <w:bookmarkEnd w:id="4"/>
      <w:r>
        <w:rPr>
          <w:lang w:val="he-IL"/>
        </w:rPr>
        <w:pict w14:anchorId="23596FAA">
          <v:rect id="_x0000_s1030" style="position:absolute;left:0;text-align:left;margin-left:464.5pt;margin-top:8.05pt;width:75.05pt;height:14.35pt;z-index:251659264" o:allowincell="f" filled="f" stroked="f" strokecolor="lime" strokeweight=".25pt">
            <v:textbox inset="0,0,0,0">
              <w:txbxContent>
                <w:p w14:paraId="517DD151" w14:textId="77777777" w:rsidR="00333C3C" w:rsidRDefault="00333C3C">
                  <w:pPr>
                    <w:spacing w:line="160" w:lineRule="exact"/>
                    <w:jc w:val="left"/>
                    <w:rPr>
                      <w:rFonts w:cs="Miriam"/>
                      <w:noProof/>
                      <w:sz w:val="18"/>
                      <w:szCs w:val="18"/>
                      <w:rtl/>
                    </w:rPr>
                  </w:pPr>
                  <w:r>
                    <w:rPr>
                      <w:rFonts w:cs="Miriam"/>
                      <w:sz w:val="18"/>
                      <w:szCs w:val="18"/>
                      <w:rtl/>
                    </w:rPr>
                    <w:t>אי</w:t>
                  </w:r>
                  <w:r>
                    <w:rPr>
                      <w:rFonts w:cs="Miriam" w:hint="cs"/>
                      <w:sz w:val="18"/>
                      <w:szCs w:val="18"/>
                      <w:rtl/>
                    </w:rPr>
                    <w:t>שור צווים</w:t>
                  </w:r>
                </w:p>
              </w:txbxContent>
            </v:textbox>
            <w10:anchorlock/>
          </v:rect>
        </w:pict>
      </w:r>
      <w:r>
        <w:rPr>
          <w:rStyle w:val="big-number"/>
          <w:rFonts w:cs="Miriam"/>
          <w:rtl/>
        </w:rPr>
        <w:t>5.</w:t>
      </w:r>
      <w:r>
        <w:rPr>
          <w:rStyle w:val="big-number"/>
          <w:rFonts w:cs="Miriam"/>
          <w:rtl/>
        </w:rPr>
        <w:tab/>
      </w:r>
      <w:r>
        <w:rPr>
          <w:rStyle w:val="default"/>
          <w:rFonts w:cs="FrankRuehl"/>
          <w:rtl/>
        </w:rPr>
        <w:t>צו</w:t>
      </w:r>
      <w:r>
        <w:rPr>
          <w:rStyle w:val="default"/>
          <w:rFonts w:cs="FrankRuehl" w:hint="cs"/>
          <w:rtl/>
        </w:rPr>
        <w:t>וים לפי סעיפים 2 ו-3 יהיו באישור ועדה משותפת של ועדת החוקה, חוק ומשפט ושל ועדת החוץ והבטחון של הכנסת.</w:t>
      </w:r>
    </w:p>
    <w:p w14:paraId="59207A34" w14:textId="77777777" w:rsidR="00333C3C" w:rsidRDefault="00333C3C">
      <w:pPr>
        <w:pStyle w:val="P00"/>
        <w:spacing w:before="72"/>
        <w:ind w:left="0" w:right="1134"/>
        <w:rPr>
          <w:rStyle w:val="default"/>
          <w:rFonts w:cs="FrankRuehl"/>
          <w:rtl/>
        </w:rPr>
      </w:pPr>
      <w:bookmarkStart w:id="5" w:name="Seif5"/>
      <w:bookmarkEnd w:id="5"/>
      <w:r>
        <w:rPr>
          <w:lang w:val="he-IL"/>
        </w:rPr>
        <w:pict w14:anchorId="391D9BA8">
          <v:rect id="_x0000_s1031" style="position:absolute;left:0;text-align:left;margin-left:464.5pt;margin-top:8.05pt;width:75.05pt;height:15.05pt;z-index:251660288" o:allowincell="f" filled="f" stroked="f" strokecolor="lime" strokeweight=".25pt">
            <v:textbox inset="0,0,0,0">
              <w:txbxContent>
                <w:p w14:paraId="79DFC111" w14:textId="77777777" w:rsidR="00333C3C" w:rsidRDefault="00333C3C">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6.</w:t>
      </w:r>
      <w:r>
        <w:rPr>
          <w:rStyle w:val="big-number"/>
          <w:rFonts w:cs="Miriam"/>
          <w:rtl/>
        </w:rPr>
        <w:tab/>
      </w:r>
      <w:r>
        <w:rPr>
          <w:rStyle w:val="default"/>
          <w:rFonts w:cs="FrankRuehl"/>
          <w:rtl/>
        </w:rPr>
        <w:t>שר</w:t>
      </w:r>
      <w:r>
        <w:rPr>
          <w:rStyle w:val="default"/>
          <w:rFonts w:cs="FrankRuehl" w:hint="cs"/>
          <w:rtl/>
        </w:rPr>
        <w:t xml:space="preserve"> החוץ ממונה על ביצוע חוק זה.</w:t>
      </w:r>
    </w:p>
    <w:p w14:paraId="4DFCF455" w14:textId="77777777" w:rsidR="00333C3C" w:rsidRDefault="00333C3C">
      <w:pPr>
        <w:pStyle w:val="P00"/>
        <w:spacing w:before="72"/>
        <w:ind w:left="0" w:right="1134"/>
        <w:rPr>
          <w:rStyle w:val="default"/>
          <w:rFonts w:cs="FrankRuehl"/>
          <w:rtl/>
        </w:rPr>
      </w:pPr>
    </w:p>
    <w:p w14:paraId="7C3639BE" w14:textId="77777777" w:rsidR="00333C3C" w:rsidRDefault="00333C3C">
      <w:pPr>
        <w:pStyle w:val="P00"/>
        <w:spacing w:before="72"/>
        <w:ind w:left="0" w:right="1134"/>
        <w:rPr>
          <w:rStyle w:val="default"/>
          <w:rFonts w:cs="FrankRuehl"/>
          <w:rtl/>
        </w:rPr>
      </w:pPr>
    </w:p>
    <w:p w14:paraId="47521832" w14:textId="77777777" w:rsidR="00333C3C" w:rsidRPr="009C584F" w:rsidRDefault="00333C3C" w:rsidP="009C584F">
      <w:pPr>
        <w:pStyle w:val="sig-1"/>
        <w:widowControl/>
        <w:spacing w:before="72"/>
        <w:ind w:left="0" w:right="1134"/>
        <w:rPr>
          <w:rFonts w:cs="FrankRuehl"/>
          <w:sz w:val="26"/>
          <w:szCs w:val="26"/>
          <w:rtl/>
        </w:rPr>
      </w:pPr>
      <w:r w:rsidRPr="009C584F">
        <w:rPr>
          <w:rFonts w:cs="FrankRuehl"/>
          <w:sz w:val="26"/>
          <w:szCs w:val="26"/>
          <w:rtl/>
        </w:rPr>
        <w:tab/>
        <w:t>י</w:t>
      </w:r>
      <w:r w:rsidRPr="009C584F">
        <w:rPr>
          <w:rFonts w:cs="FrankRuehl" w:hint="cs"/>
          <w:sz w:val="26"/>
          <w:szCs w:val="26"/>
          <w:rtl/>
        </w:rPr>
        <w:t>צחק נבון</w:t>
      </w:r>
      <w:r w:rsidRPr="009C584F">
        <w:rPr>
          <w:rFonts w:cs="FrankRuehl"/>
          <w:sz w:val="26"/>
          <w:szCs w:val="26"/>
          <w:rtl/>
        </w:rPr>
        <w:tab/>
        <w:t>מ</w:t>
      </w:r>
      <w:r w:rsidRPr="009C584F">
        <w:rPr>
          <w:rFonts w:cs="FrankRuehl" w:hint="cs"/>
          <w:sz w:val="26"/>
          <w:szCs w:val="26"/>
          <w:rtl/>
        </w:rPr>
        <w:t>נחם בגין</w:t>
      </w:r>
      <w:r w:rsidRPr="009C584F">
        <w:rPr>
          <w:rFonts w:cs="FrankRuehl"/>
          <w:sz w:val="26"/>
          <w:szCs w:val="26"/>
          <w:rtl/>
        </w:rPr>
        <w:tab/>
        <w:t>י</w:t>
      </w:r>
      <w:r w:rsidRPr="009C584F">
        <w:rPr>
          <w:rFonts w:cs="FrankRuehl" w:hint="cs"/>
          <w:sz w:val="26"/>
          <w:szCs w:val="26"/>
          <w:rtl/>
        </w:rPr>
        <w:t>צחק שמיר</w:t>
      </w:r>
    </w:p>
    <w:p w14:paraId="33771ED7" w14:textId="77777777" w:rsidR="00333C3C" w:rsidRDefault="00333C3C">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w:t>
      </w:r>
      <w:r>
        <w:rPr>
          <w:rFonts w:cs="FrankRuehl"/>
          <w:sz w:val="22"/>
          <w:rtl/>
        </w:rPr>
        <w:t xml:space="preserve"> ה</w:t>
      </w:r>
      <w:r>
        <w:rPr>
          <w:rFonts w:cs="FrankRuehl" w:hint="cs"/>
          <w:sz w:val="22"/>
          <w:rtl/>
        </w:rPr>
        <w:t>ממשלה</w:t>
      </w:r>
      <w:r>
        <w:rPr>
          <w:rFonts w:cs="FrankRuehl"/>
          <w:sz w:val="22"/>
          <w:rtl/>
        </w:rPr>
        <w:tab/>
        <w:t>ש</w:t>
      </w:r>
      <w:r>
        <w:rPr>
          <w:rFonts w:cs="FrankRuehl" w:hint="cs"/>
          <w:sz w:val="22"/>
          <w:rtl/>
        </w:rPr>
        <w:t>ר החוץ</w:t>
      </w:r>
    </w:p>
    <w:p w14:paraId="7BE6EE6D" w14:textId="77777777" w:rsidR="00333C3C" w:rsidRPr="009C584F" w:rsidRDefault="00333C3C" w:rsidP="009C584F">
      <w:pPr>
        <w:pStyle w:val="P00"/>
        <w:spacing w:before="72"/>
        <w:ind w:left="0" w:right="1134"/>
        <w:rPr>
          <w:rStyle w:val="default"/>
          <w:rFonts w:cs="FrankRuehl"/>
          <w:rtl/>
        </w:rPr>
      </w:pPr>
    </w:p>
    <w:p w14:paraId="6555C102" w14:textId="77777777" w:rsidR="00333C3C" w:rsidRPr="009C584F" w:rsidRDefault="00333C3C" w:rsidP="009C584F">
      <w:pPr>
        <w:pStyle w:val="P00"/>
        <w:spacing w:before="72"/>
        <w:ind w:left="0" w:right="1134"/>
        <w:rPr>
          <w:rStyle w:val="default"/>
          <w:rFonts w:cs="FrankRuehl"/>
          <w:rtl/>
        </w:rPr>
      </w:pPr>
    </w:p>
    <w:p w14:paraId="25DA5BD8" w14:textId="77777777" w:rsidR="00333C3C" w:rsidRPr="009C584F" w:rsidRDefault="00333C3C" w:rsidP="009C584F">
      <w:pPr>
        <w:pStyle w:val="P00"/>
        <w:spacing w:before="72"/>
        <w:ind w:left="0" w:right="1134"/>
        <w:rPr>
          <w:rStyle w:val="default"/>
          <w:rFonts w:cs="FrankRuehl"/>
          <w:rtl/>
        </w:rPr>
      </w:pPr>
      <w:bookmarkStart w:id="6" w:name="LawPartEnd"/>
    </w:p>
    <w:bookmarkEnd w:id="6"/>
    <w:p w14:paraId="45023972" w14:textId="77777777" w:rsidR="00333C3C" w:rsidRPr="009C584F" w:rsidRDefault="00333C3C" w:rsidP="009C584F">
      <w:pPr>
        <w:pStyle w:val="P00"/>
        <w:spacing w:before="72"/>
        <w:ind w:left="0" w:right="1134"/>
        <w:rPr>
          <w:rStyle w:val="default"/>
          <w:rFonts w:cs="FrankRuehl"/>
          <w:rtl/>
        </w:rPr>
      </w:pPr>
    </w:p>
    <w:sectPr w:rsidR="00333C3C" w:rsidRPr="009C584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240D" w14:textId="77777777" w:rsidR="00F23D88" w:rsidRDefault="00F23D88">
      <w:r>
        <w:separator/>
      </w:r>
    </w:p>
  </w:endnote>
  <w:endnote w:type="continuationSeparator" w:id="0">
    <w:p w14:paraId="34F01097" w14:textId="77777777" w:rsidR="00F23D88" w:rsidRDefault="00F2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8627" w14:textId="77777777" w:rsidR="00333C3C" w:rsidRDefault="00333C3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92733B9" w14:textId="77777777" w:rsidR="00333C3C" w:rsidRDefault="00333C3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F82AD6" w14:textId="77777777" w:rsidR="00333C3C" w:rsidRDefault="00333C3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84F">
      <w:rPr>
        <w:rFonts w:cs="TopType Jerushalmi"/>
        <w:noProof/>
        <w:color w:val="000000"/>
        <w:sz w:val="14"/>
        <w:szCs w:val="14"/>
      </w:rPr>
      <w:t>D:\Yael\hakika\Revadim\156_001.doc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EFC1A" w14:textId="77777777" w:rsidR="00333C3C" w:rsidRDefault="00333C3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61C5">
      <w:rPr>
        <w:rFonts w:hAnsi="FrankRuehl" w:cs="FrankRuehl"/>
        <w:noProof/>
        <w:sz w:val="24"/>
        <w:szCs w:val="24"/>
        <w:rtl/>
      </w:rPr>
      <w:t>2</w:t>
    </w:r>
    <w:r>
      <w:rPr>
        <w:rFonts w:hAnsi="FrankRuehl" w:cs="FrankRuehl"/>
        <w:sz w:val="24"/>
        <w:szCs w:val="24"/>
        <w:rtl/>
      </w:rPr>
      <w:fldChar w:fldCharType="end"/>
    </w:r>
  </w:p>
  <w:p w14:paraId="737A47AF" w14:textId="77777777" w:rsidR="00333C3C" w:rsidRDefault="00333C3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1D0766" w14:textId="77777777" w:rsidR="00333C3C" w:rsidRDefault="00333C3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84F">
      <w:rPr>
        <w:rFonts w:cs="TopType Jerushalmi"/>
        <w:noProof/>
        <w:color w:val="000000"/>
        <w:sz w:val="14"/>
        <w:szCs w:val="14"/>
      </w:rPr>
      <w:t>D:\Yael\hakika\Revadim\156_001.doc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6023" w14:textId="77777777" w:rsidR="00F23D88" w:rsidRDefault="00F23D88" w:rsidP="009C584F">
      <w:pPr>
        <w:spacing w:before="60" w:line="240" w:lineRule="auto"/>
        <w:ind w:right="1134"/>
      </w:pPr>
      <w:r>
        <w:separator/>
      </w:r>
    </w:p>
  </w:footnote>
  <w:footnote w:type="continuationSeparator" w:id="0">
    <w:p w14:paraId="387E46FC" w14:textId="77777777" w:rsidR="00F23D88" w:rsidRDefault="00F23D88">
      <w:r>
        <w:continuationSeparator/>
      </w:r>
    </w:p>
  </w:footnote>
  <w:footnote w:id="1">
    <w:p w14:paraId="1F7A965E" w14:textId="77777777" w:rsidR="00257A9D" w:rsidRPr="00257A9D" w:rsidRDefault="00257A9D" w:rsidP="00257A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57A9D">
        <w:rPr>
          <w:rFonts w:cs="FrankRuehl"/>
          <w:rtl/>
        </w:rPr>
        <w:t xml:space="preserve">* </w:t>
      </w:r>
      <w:r>
        <w:rPr>
          <w:rFonts w:cs="FrankRuehl"/>
          <w:rtl/>
        </w:rPr>
        <w:t>פו</w:t>
      </w:r>
      <w:r>
        <w:rPr>
          <w:rFonts w:cs="FrankRuehl" w:hint="cs"/>
          <w:rtl/>
        </w:rPr>
        <w:t xml:space="preserve">רסם </w:t>
      </w:r>
      <w:hyperlink r:id="rId1" w:history="1">
        <w:r w:rsidRPr="00913A0A">
          <w:rPr>
            <w:rStyle w:val="Hyperlink"/>
            <w:rFonts w:cs="FrankRuehl" w:hint="cs"/>
            <w:rtl/>
          </w:rPr>
          <w:t>ס"ח תשמ"ב מס' 1039</w:t>
        </w:r>
      </w:hyperlink>
      <w:r>
        <w:rPr>
          <w:rFonts w:cs="FrankRuehl" w:hint="cs"/>
          <w:rtl/>
        </w:rPr>
        <w:t xml:space="preserve"> מיום 3.2.198</w:t>
      </w:r>
      <w:r>
        <w:rPr>
          <w:rFonts w:cs="FrankRuehl"/>
          <w:rtl/>
        </w:rPr>
        <w:t>2 ע</w:t>
      </w:r>
      <w:r>
        <w:rPr>
          <w:rFonts w:cs="FrankRuehl" w:hint="cs"/>
          <w:rtl/>
        </w:rPr>
        <w:t>מ' 30 (</w:t>
      </w:r>
      <w:hyperlink r:id="rId2" w:history="1">
        <w:r w:rsidRPr="00913A0A">
          <w:rPr>
            <w:rStyle w:val="Hyperlink"/>
            <w:rFonts w:cs="FrankRuehl" w:hint="cs"/>
            <w:rtl/>
          </w:rPr>
          <w:t>ה"ח תשמ"ב מס' 1552</w:t>
        </w:r>
      </w:hyperlink>
      <w:r>
        <w:rPr>
          <w:rFonts w:cs="FrankRuehl" w:hint="cs"/>
          <w:rtl/>
        </w:rPr>
        <w:t xml:space="preserve"> עמ'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6DC8" w14:textId="77777777" w:rsidR="00333C3C" w:rsidRDefault="00333C3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חסינויות וזכויות (הכוח הרב-לאומי), תשמ"ב–1982</w:t>
    </w:r>
  </w:p>
  <w:p w14:paraId="53A89827" w14:textId="77777777" w:rsidR="00333C3C" w:rsidRDefault="00333C3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E1EBCF" w14:textId="77777777" w:rsidR="00333C3C" w:rsidRDefault="00333C3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AFD2" w14:textId="77777777" w:rsidR="00333C3C" w:rsidRDefault="00333C3C" w:rsidP="00257A9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חסינויות וזכויות (הכוח הרב-לאומי), תשמ"ב</w:t>
    </w:r>
    <w:r w:rsidR="00257A9D">
      <w:rPr>
        <w:rFonts w:hAnsi="FrankRuehl" w:cs="FrankRuehl" w:hint="cs"/>
        <w:color w:val="000000"/>
        <w:sz w:val="28"/>
        <w:szCs w:val="28"/>
        <w:rtl/>
      </w:rPr>
      <w:t>-</w:t>
    </w:r>
    <w:r>
      <w:rPr>
        <w:rFonts w:hAnsi="FrankRuehl" w:cs="FrankRuehl"/>
        <w:color w:val="000000"/>
        <w:sz w:val="28"/>
        <w:szCs w:val="28"/>
        <w:rtl/>
      </w:rPr>
      <w:t>1982</w:t>
    </w:r>
  </w:p>
  <w:p w14:paraId="3935E282" w14:textId="77777777" w:rsidR="00333C3C" w:rsidRDefault="00333C3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3F592F" w14:textId="77777777" w:rsidR="00333C3C" w:rsidRDefault="00333C3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A0A"/>
    <w:rsid w:val="00257A9D"/>
    <w:rsid w:val="002859B1"/>
    <w:rsid w:val="002B61C5"/>
    <w:rsid w:val="00333C3C"/>
    <w:rsid w:val="00913A0A"/>
    <w:rsid w:val="009C584F"/>
    <w:rsid w:val="00B96CE3"/>
    <w:rsid w:val="00F23D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67F333"/>
  <w15:chartTrackingRefBased/>
  <w15:docId w15:val="{1188D221-4C49-40D5-806E-9D596AE6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57A9D"/>
    <w:rPr>
      <w:sz w:val="20"/>
      <w:szCs w:val="20"/>
    </w:rPr>
  </w:style>
  <w:style w:type="character" w:styleId="a6">
    <w:name w:val="footnote reference"/>
    <w:basedOn w:val="a0"/>
    <w:semiHidden/>
    <w:rsid w:val="00257A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552.pdf" TargetMode="External"/><Relationship Id="rId1" Type="http://schemas.openxmlformats.org/officeDocument/2006/relationships/hyperlink" Target="http://www.nevo.co.il/Law_word/law14/LAW-10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156</vt:lpstr>
    </vt:vector>
  </TitlesOfParts>
  <Company/>
  <LinksUpToDate>false</LinksUpToDate>
  <CharactersWithSpaces>2132</CharactersWithSpaces>
  <SharedDoc>false</SharedDoc>
  <HLinks>
    <vt:vector size="48"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917625</vt:i4>
      </vt:variant>
      <vt:variant>
        <vt:i4>3</vt:i4>
      </vt:variant>
      <vt:variant>
        <vt:i4>0</vt:i4>
      </vt:variant>
      <vt:variant>
        <vt:i4>5</vt:i4>
      </vt:variant>
      <vt:variant>
        <vt:lpwstr>http://www.nevo.co.il/Law_word/law17/PROP-1552.pdf</vt:lpwstr>
      </vt:variant>
      <vt:variant>
        <vt:lpwstr/>
      </vt:variant>
      <vt:variant>
        <vt:i4>8192000</vt:i4>
      </vt:variant>
      <vt:variant>
        <vt:i4>0</vt:i4>
      </vt:variant>
      <vt:variant>
        <vt:i4>0</vt:i4>
      </vt:variant>
      <vt:variant>
        <vt:i4>5</vt:i4>
      </vt:variant>
      <vt:variant>
        <vt:lpwstr>http://www.nevo.co.il/Law_word/law14/LAW-1039.pdf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156</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0156</vt:lpwstr>
  </property>
  <property fmtid="{D5CDD505-2E9C-101B-9397-08002B2CF9AE}" pid="3" name="CHNAME">
    <vt:lpwstr>חסינויות וזכויות</vt:lpwstr>
  </property>
  <property fmtid="{D5CDD505-2E9C-101B-9397-08002B2CF9AE}" pid="4" name="LAWNAME">
    <vt:lpwstr>חוק חסינויות וזכויות (הכוח הרב-לאומי), תשמ"ב-1982</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בינ"ל פומבי</vt:lpwstr>
  </property>
  <property fmtid="{D5CDD505-2E9C-101B-9397-08002B2CF9AE}" pid="8" name="NOSE21">
    <vt:lpwstr>ארגונים בין-לאומיים</vt:lpwstr>
  </property>
  <property fmtid="{D5CDD505-2E9C-101B-9397-08002B2CF9AE}" pid="9" name="NOSE31">
    <vt:lpwstr>חסינויות וזכויות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