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EBFF" w14:textId="77777777" w:rsidR="001750E2" w:rsidRDefault="001750E2">
      <w:pPr>
        <w:pStyle w:val="big-header"/>
        <w:ind w:left="0" w:right="1134"/>
        <w:rPr>
          <w:rFonts w:cs="FrankRuehl" w:hint="cs"/>
          <w:sz w:val="32"/>
          <w:rtl/>
        </w:rPr>
      </w:pPr>
      <w:r>
        <w:rPr>
          <w:rFonts w:cs="FrankRuehl"/>
          <w:sz w:val="32"/>
          <w:rtl/>
        </w:rPr>
        <w:t>חוק להגנה על השקעות הציבור בישראל בנכסים פיננסיים, תשמ"ד</w:t>
      </w:r>
      <w:r>
        <w:rPr>
          <w:rFonts w:cs="FrankRuehl" w:hint="cs"/>
          <w:sz w:val="32"/>
          <w:rtl/>
        </w:rPr>
        <w:t>-</w:t>
      </w:r>
      <w:r>
        <w:rPr>
          <w:rFonts w:cs="FrankRuehl"/>
          <w:sz w:val="32"/>
          <w:rtl/>
        </w:rPr>
        <w:t>1984</w:t>
      </w:r>
    </w:p>
    <w:p w14:paraId="41EA8282" w14:textId="77777777" w:rsidR="00CB54D4" w:rsidRDefault="00CB54D4" w:rsidP="00CB54D4">
      <w:pPr>
        <w:spacing w:line="320" w:lineRule="auto"/>
        <w:jc w:val="left"/>
        <w:rPr>
          <w:rFonts w:cs="FrankRuehl" w:hint="cs"/>
          <w:szCs w:val="26"/>
          <w:rtl/>
        </w:rPr>
      </w:pPr>
    </w:p>
    <w:p w14:paraId="5C9D8C24" w14:textId="77777777" w:rsidR="003453D3" w:rsidRPr="00CB54D4" w:rsidRDefault="003453D3" w:rsidP="00CB54D4">
      <w:pPr>
        <w:spacing w:line="320" w:lineRule="auto"/>
        <w:jc w:val="left"/>
        <w:rPr>
          <w:rFonts w:cs="FrankRuehl" w:hint="cs"/>
          <w:szCs w:val="26"/>
          <w:rtl/>
        </w:rPr>
      </w:pPr>
    </w:p>
    <w:p w14:paraId="231635E5" w14:textId="77777777" w:rsidR="00CB54D4" w:rsidRPr="00CB54D4" w:rsidRDefault="00CB54D4" w:rsidP="00CB54D4">
      <w:pPr>
        <w:spacing w:line="320" w:lineRule="auto"/>
        <w:jc w:val="left"/>
        <w:rPr>
          <w:rFonts w:cs="Miriam" w:hint="cs"/>
          <w:szCs w:val="22"/>
          <w:rtl/>
        </w:rPr>
      </w:pPr>
      <w:r w:rsidRPr="00CB54D4">
        <w:rPr>
          <w:rFonts w:cs="Miriam"/>
          <w:szCs w:val="22"/>
          <w:rtl/>
        </w:rPr>
        <w:t>משפט פרטי וכלכלה</w:t>
      </w:r>
      <w:r w:rsidRPr="00CB54D4">
        <w:rPr>
          <w:rFonts w:cs="FrankRuehl"/>
          <w:szCs w:val="26"/>
          <w:rtl/>
        </w:rPr>
        <w:t xml:space="preserve"> – כספים – השקעות </w:t>
      </w:r>
    </w:p>
    <w:p w14:paraId="261E4C7D" w14:textId="77777777" w:rsidR="001750E2" w:rsidRDefault="001750E2">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750E2" w14:paraId="641FD0CC" w14:textId="77777777">
        <w:tblPrEx>
          <w:tblCellMar>
            <w:top w:w="0" w:type="dxa"/>
            <w:bottom w:w="0" w:type="dxa"/>
          </w:tblCellMar>
        </w:tblPrEx>
        <w:trPr>
          <w:jc w:val="right"/>
        </w:trPr>
        <w:tc>
          <w:tcPr>
            <w:tcW w:w="850" w:type="dxa"/>
          </w:tcPr>
          <w:p w14:paraId="73691705" w14:textId="77777777" w:rsidR="001750E2" w:rsidRDefault="001750E2">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C543B">
              <w:rPr>
                <w:noProof/>
                <w:sz w:val="24"/>
                <w:rtl/>
              </w:rPr>
              <w:t>2</w:t>
            </w:r>
            <w:r>
              <w:rPr>
                <w:sz w:val="24"/>
                <w:rtl/>
              </w:rPr>
              <w:fldChar w:fldCharType="end"/>
            </w:r>
          </w:p>
        </w:tc>
        <w:tc>
          <w:tcPr>
            <w:tcW w:w="567" w:type="dxa"/>
          </w:tcPr>
          <w:p w14:paraId="21A52330" w14:textId="77777777" w:rsidR="001750E2" w:rsidRDefault="001750E2">
            <w:pPr>
              <w:spacing w:line="240" w:lineRule="auto"/>
              <w:jc w:val="left"/>
              <w:rPr>
                <w:sz w:val="24"/>
              </w:rPr>
            </w:pPr>
            <w:hyperlink w:anchor="Seif0" w:tooltip="הגדרה" w:history="1">
              <w:r>
                <w:rPr>
                  <w:rStyle w:val="Hyperlink"/>
                </w:rPr>
                <w:t>Go</w:t>
              </w:r>
            </w:hyperlink>
          </w:p>
        </w:tc>
        <w:tc>
          <w:tcPr>
            <w:tcW w:w="5669" w:type="dxa"/>
          </w:tcPr>
          <w:p w14:paraId="5743B264" w14:textId="77777777" w:rsidR="001750E2" w:rsidRDefault="001750E2">
            <w:pPr>
              <w:spacing w:line="240" w:lineRule="auto"/>
              <w:jc w:val="left"/>
              <w:rPr>
                <w:sz w:val="24"/>
                <w:rtl/>
              </w:rPr>
            </w:pPr>
            <w:r>
              <w:rPr>
                <w:sz w:val="24"/>
                <w:rtl/>
              </w:rPr>
              <w:t>הגדרה</w:t>
            </w:r>
          </w:p>
        </w:tc>
        <w:tc>
          <w:tcPr>
            <w:tcW w:w="1247" w:type="dxa"/>
          </w:tcPr>
          <w:p w14:paraId="5B1F8AE1" w14:textId="77777777" w:rsidR="001750E2" w:rsidRDefault="001750E2">
            <w:pPr>
              <w:spacing w:line="240" w:lineRule="auto"/>
              <w:jc w:val="left"/>
              <w:rPr>
                <w:sz w:val="24"/>
              </w:rPr>
            </w:pPr>
            <w:r>
              <w:rPr>
                <w:sz w:val="24"/>
                <w:rtl/>
              </w:rPr>
              <w:t xml:space="preserve">סעיף 1 </w:t>
            </w:r>
          </w:p>
        </w:tc>
      </w:tr>
      <w:tr w:rsidR="001750E2" w14:paraId="44F7D288" w14:textId="77777777">
        <w:tblPrEx>
          <w:tblCellMar>
            <w:top w:w="0" w:type="dxa"/>
            <w:bottom w:w="0" w:type="dxa"/>
          </w:tblCellMar>
        </w:tblPrEx>
        <w:trPr>
          <w:jc w:val="right"/>
        </w:trPr>
        <w:tc>
          <w:tcPr>
            <w:tcW w:w="850" w:type="dxa"/>
          </w:tcPr>
          <w:p w14:paraId="339A1400" w14:textId="77777777" w:rsidR="001750E2" w:rsidRDefault="001750E2">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C543B">
              <w:rPr>
                <w:noProof/>
                <w:sz w:val="24"/>
                <w:rtl/>
              </w:rPr>
              <w:t>2</w:t>
            </w:r>
            <w:r>
              <w:rPr>
                <w:sz w:val="24"/>
                <w:rtl/>
              </w:rPr>
              <w:fldChar w:fldCharType="end"/>
            </w:r>
          </w:p>
        </w:tc>
        <w:tc>
          <w:tcPr>
            <w:tcW w:w="567" w:type="dxa"/>
          </w:tcPr>
          <w:p w14:paraId="38FE2170" w14:textId="77777777" w:rsidR="001750E2" w:rsidRDefault="001750E2">
            <w:pPr>
              <w:spacing w:line="240" w:lineRule="auto"/>
              <w:jc w:val="left"/>
              <w:rPr>
                <w:sz w:val="24"/>
              </w:rPr>
            </w:pPr>
            <w:hyperlink w:anchor="Seif1" w:tooltip="הגנה על השקעות ציבור" w:history="1">
              <w:r>
                <w:rPr>
                  <w:rStyle w:val="Hyperlink"/>
                </w:rPr>
                <w:t>Go</w:t>
              </w:r>
            </w:hyperlink>
          </w:p>
        </w:tc>
        <w:tc>
          <w:tcPr>
            <w:tcW w:w="5669" w:type="dxa"/>
          </w:tcPr>
          <w:p w14:paraId="08558C93" w14:textId="77777777" w:rsidR="001750E2" w:rsidRDefault="001750E2">
            <w:pPr>
              <w:spacing w:line="240" w:lineRule="auto"/>
              <w:jc w:val="left"/>
              <w:rPr>
                <w:sz w:val="24"/>
                <w:rtl/>
              </w:rPr>
            </w:pPr>
            <w:r>
              <w:rPr>
                <w:sz w:val="24"/>
                <w:rtl/>
              </w:rPr>
              <w:t>הגנה על השקעות ציבור</w:t>
            </w:r>
          </w:p>
        </w:tc>
        <w:tc>
          <w:tcPr>
            <w:tcW w:w="1247" w:type="dxa"/>
          </w:tcPr>
          <w:p w14:paraId="54FE906F" w14:textId="77777777" w:rsidR="001750E2" w:rsidRDefault="001750E2">
            <w:pPr>
              <w:spacing w:line="240" w:lineRule="auto"/>
              <w:jc w:val="left"/>
              <w:rPr>
                <w:sz w:val="24"/>
              </w:rPr>
            </w:pPr>
            <w:r>
              <w:rPr>
                <w:sz w:val="24"/>
                <w:rtl/>
              </w:rPr>
              <w:t xml:space="preserve">סעיף 2 </w:t>
            </w:r>
          </w:p>
        </w:tc>
      </w:tr>
      <w:tr w:rsidR="001750E2" w14:paraId="05BFDAB8" w14:textId="77777777">
        <w:tblPrEx>
          <w:tblCellMar>
            <w:top w:w="0" w:type="dxa"/>
            <w:bottom w:w="0" w:type="dxa"/>
          </w:tblCellMar>
        </w:tblPrEx>
        <w:trPr>
          <w:jc w:val="right"/>
        </w:trPr>
        <w:tc>
          <w:tcPr>
            <w:tcW w:w="850" w:type="dxa"/>
          </w:tcPr>
          <w:p w14:paraId="72548DEF" w14:textId="77777777" w:rsidR="001750E2" w:rsidRDefault="001750E2">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C543B">
              <w:rPr>
                <w:noProof/>
                <w:sz w:val="24"/>
                <w:rtl/>
              </w:rPr>
              <w:t>2</w:t>
            </w:r>
            <w:r>
              <w:rPr>
                <w:sz w:val="24"/>
                <w:rtl/>
              </w:rPr>
              <w:fldChar w:fldCharType="end"/>
            </w:r>
          </w:p>
        </w:tc>
        <w:tc>
          <w:tcPr>
            <w:tcW w:w="567" w:type="dxa"/>
          </w:tcPr>
          <w:p w14:paraId="30D6048F" w14:textId="77777777" w:rsidR="001750E2" w:rsidRDefault="001750E2">
            <w:pPr>
              <w:spacing w:line="240" w:lineRule="auto"/>
              <w:jc w:val="left"/>
              <w:rPr>
                <w:sz w:val="24"/>
              </w:rPr>
            </w:pPr>
            <w:hyperlink w:anchor="Seif2" w:tooltip="נוקשות החוק" w:history="1">
              <w:r>
                <w:rPr>
                  <w:rStyle w:val="Hyperlink"/>
                </w:rPr>
                <w:t>Go</w:t>
              </w:r>
            </w:hyperlink>
          </w:p>
        </w:tc>
        <w:tc>
          <w:tcPr>
            <w:tcW w:w="5669" w:type="dxa"/>
          </w:tcPr>
          <w:p w14:paraId="1D79A9CF" w14:textId="77777777" w:rsidR="001750E2" w:rsidRDefault="001750E2">
            <w:pPr>
              <w:spacing w:line="240" w:lineRule="auto"/>
              <w:jc w:val="left"/>
              <w:rPr>
                <w:sz w:val="24"/>
                <w:rtl/>
              </w:rPr>
            </w:pPr>
            <w:r>
              <w:rPr>
                <w:sz w:val="24"/>
                <w:rtl/>
              </w:rPr>
              <w:t>נוקשות החוק</w:t>
            </w:r>
          </w:p>
        </w:tc>
        <w:tc>
          <w:tcPr>
            <w:tcW w:w="1247" w:type="dxa"/>
          </w:tcPr>
          <w:p w14:paraId="5F742517" w14:textId="77777777" w:rsidR="001750E2" w:rsidRDefault="001750E2">
            <w:pPr>
              <w:spacing w:line="240" w:lineRule="auto"/>
              <w:jc w:val="left"/>
              <w:rPr>
                <w:sz w:val="24"/>
              </w:rPr>
            </w:pPr>
            <w:r>
              <w:rPr>
                <w:sz w:val="24"/>
                <w:rtl/>
              </w:rPr>
              <w:t xml:space="preserve">סעיף 3 </w:t>
            </w:r>
          </w:p>
        </w:tc>
      </w:tr>
      <w:tr w:rsidR="001750E2" w14:paraId="362DCD6F" w14:textId="77777777">
        <w:tblPrEx>
          <w:tblCellMar>
            <w:top w:w="0" w:type="dxa"/>
            <w:bottom w:w="0" w:type="dxa"/>
          </w:tblCellMar>
        </w:tblPrEx>
        <w:trPr>
          <w:jc w:val="right"/>
        </w:trPr>
        <w:tc>
          <w:tcPr>
            <w:tcW w:w="850" w:type="dxa"/>
          </w:tcPr>
          <w:p w14:paraId="2C3685E2" w14:textId="77777777" w:rsidR="001750E2" w:rsidRDefault="001750E2">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C543B">
              <w:rPr>
                <w:noProof/>
                <w:sz w:val="24"/>
                <w:rtl/>
              </w:rPr>
              <w:t>2</w:t>
            </w:r>
            <w:r>
              <w:rPr>
                <w:sz w:val="24"/>
                <w:rtl/>
              </w:rPr>
              <w:fldChar w:fldCharType="end"/>
            </w:r>
          </w:p>
        </w:tc>
        <w:tc>
          <w:tcPr>
            <w:tcW w:w="567" w:type="dxa"/>
          </w:tcPr>
          <w:p w14:paraId="42BAFC0E" w14:textId="77777777" w:rsidR="001750E2" w:rsidRDefault="001750E2">
            <w:pPr>
              <w:spacing w:line="240" w:lineRule="auto"/>
              <w:jc w:val="left"/>
              <w:rPr>
                <w:sz w:val="24"/>
              </w:rPr>
            </w:pPr>
            <w:hyperlink w:anchor="Seif3" w:tooltip="הוספה על התוספת" w:history="1">
              <w:r>
                <w:rPr>
                  <w:rStyle w:val="Hyperlink"/>
                </w:rPr>
                <w:t>Go</w:t>
              </w:r>
            </w:hyperlink>
          </w:p>
        </w:tc>
        <w:tc>
          <w:tcPr>
            <w:tcW w:w="5669" w:type="dxa"/>
          </w:tcPr>
          <w:p w14:paraId="1A646D78" w14:textId="77777777" w:rsidR="001750E2" w:rsidRDefault="001750E2">
            <w:pPr>
              <w:spacing w:line="240" w:lineRule="auto"/>
              <w:jc w:val="left"/>
              <w:rPr>
                <w:sz w:val="24"/>
                <w:rtl/>
              </w:rPr>
            </w:pPr>
            <w:r>
              <w:rPr>
                <w:sz w:val="24"/>
                <w:rtl/>
              </w:rPr>
              <w:t>הוספה על התוספת</w:t>
            </w:r>
          </w:p>
        </w:tc>
        <w:tc>
          <w:tcPr>
            <w:tcW w:w="1247" w:type="dxa"/>
          </w:tcPr>
          <w:p w14:paraId="19C859E8" w14:textId="77777777" w:rsidR="001750E2" w:rsidRDefault="001750E2">
            <w:pPr>
              <w:spacing w:line="240" w:lineRule="auto"/>
              <w:jc w:val="left"/>
              <w:rPr>
                <w:sz w:val="24"/>
              </w:rPr>
            </w:pPr>
            <w:r>
              <w:rPr>
                <w:sz w:val="24"/>
                <w:rtl/>
              </w:rPr>
              <w:t xml:space="preserve">סעיף 4 </w:t>
            </w:r>
          </w:p>
        </w:tc>
      </w:tr>
      <w:tr w:rsidR="001750E2" w14:paraId="219556C4" w14:textId="77777777">
        <w:tblPrEx>
          <w:tblCellMar>
            <w:top w:w="0" w:type="dxa"/>
            <w:bottom w:w="0" w:type="dxa"/>
          </w:tblCellMar>
        </w:tblPrEx>
        <w:trPr>
          <w:jc w:val="right"/>
        </w:trPr>
        <w:tc>
          <w:tcPr>
            <w:tcW w:w="850" w:type="dxa"/>
          </w:tcPr>
          <w:p w14:paraId="162EDEFD" w14:textId="77777777" w:rsidR="001750E2" w:rsidRDefault="001750E2">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8C543B">
              <w:rPr>
                <w:noProof/>
                <w:sz w:val="24"/>
                <w:rtl/>
              </w:rPr>
              <w:t>2</w:t>
            </w:r>
            <w:r>
              <w:rPr>
                <w:sz w:val="24"/>
                <w:rtl/>
              </w:rPr>
              <w:fldChar w:fldCharType="end"/>
            </w:r>
          </w:p>
        </w:tc>
        <w:tc>
          <w:tcPr>
            <w:tcW w:w="567" w:type="dxa"/>
          </w:tcPr>
          <w:p w14:paraId="1F2D4436" w14:textId="77777777" w:rsidR="001750E2" w:rsidRDefault="001750E2">
            <w:pPr>
              <w:spacing w:line="240" w:lineRule="auto"/>
              <w:jc w:val="left"/>
              <w:rPr>
                <w:sz w:val="24"/>
              </w:rPr>
            </w:pPr>
            <w:hyperlink w:anchor="med0" w:tooltip="תוספת" w:history="1">
              <w:r>
                <w:rPr>
                  <w:rStyle w:val="Hyperlink"/>
                </w:rPr>
                <w:t>Go</w:t>
              </w:r>
            </w:hyperlink>
          </w:p>
        </w:tc>
        <w:tc>
          <w:tcPr>
            <w:tcW w:w="5669" w:type="dxa"/>
          </w:tcPr>
          <w:p w14:paraId="269E9D37" w14:textId="77777777" w:rsidR="001750E2" w:rsidRDefault="001750E2">
            <w:pPr>
              <w:spacing w:line="240" w:lineRule="auto"/>
              <w:jc w:val="left"/>
              <w:rPr>
                <w:sz w:val="24"/>
              </w:rPr>
            </w:pPr>
            <w:r>
              <w:rPr>
                <w:sz w:val="24"/>
                <w:rtl/>
              </w:rPr>
              <w:t>תוספת</w:t>
            </w:r>
          </w:p>
        </w:tc>
        <w:tc>
          <w:tcPr>
            <w:tcW w:w="1247" w:type="dxa"/>
          </w:tcPr>
          <w:p w14:paraId="2E021967" w14:textId="77777777" w:rsidR="001750E2" w:rsidRDefault="001750E2">
            <w:pPr>
              <w:spacing w:line="240" w:lineRule="auto"/>
              <w:jc w:val="left"/>
              <w:rPr>
                <w:sz w:val="24"/>
              </w:rPr>
            </w:pPr>
          </w:p>
        </w:tc>
      </w:tr>
    </w:tbl>
    <w:p w14:paraId="792E6894" w14:textId="77777777" w:rsidR="001750E2" w:rsidRDefault="001750E2">
      <w:pPr>
        <w:pStyle w:val="big-header"/>
        <w:ind w:left="0" w:right="1134"/>
        <w:rPr>
          <w:rFonts w:cs="FrankRuehl"/>
          <w:sz w:val="32"/>
          <w:rtl/>
        </w:rPr>
      </w:pPr>
    </w:p>
    <w:p w14:paraId="046EEBA2" w14:textId="77777777" w:rsidR="001750E2" w:rsidRPr="00CB54D4" w:rsidRDefault="001750E2" w:rsidP="00CB54D4">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להגנה על השקעות הציבור בישראל בנכסים פיננסיים, תשמ"ד-</w:t>
      </w:r>
      <w:r>
        <w:rPr>
          <w:rFonts w:cs="FrankRuehl"/>
          <w:sz w:val="32"/>
          <w:rtl/>
        </w:rPr>
        <w:t>1984</w:t>
      </w:r>
      <w:r w:rsidR="008C543B">
        <w:rPr>
          <w:rStyle w:val="a6"/>
          <w:rFonts w:cs="FrankRuehl"/>
          <w:sz w:val="32"/>
          <w:rtl/>
        </w:rPr>
        <w:footnoteReference w:customMarkFollows="1" w:id="1"/>
        <w:t>*</w:t>
      </w:r>
    </w:p>
    <w:p w14:paraId="2E524EB0" w14:textId="77777777" w:rsidR="001750E2" w:rsidRDefault="001750E2" w:rsidP="008C543B">
      <w:pPr>
        <w:pStyle w:val="P00"/>
        <w:spacing w:before="72"/>
        <w:ind w:left="0" w:right="1134"/>
        <w:rPr>
          <w:rStyle w:val="default"/>
          <w:rFonts w:cs="FrankRuehl"/>
          <w:rtl/>
        </w:rPr>
      </w:pPr>
      <w:bookmarkStart w:id="0" w:name="Seif0"/>
      <w:bookmarkEnd w:id="0"/>
      <w:r>
        <w:rPr>
          <w:lang w:val="he-IL"/>
        </w:rPr>
        <w:pict w14:anchorId="5FF86D73">
          <v:rect id="_x0000_s1026" style="position:absolute;left:0;text-align:left;margin-left:464.5pt;margin-top:8.05pt;width:75.05pt;height:12.6pt;z-index:251655680" o:allowincell="f" filled="f" stroked="f" strokecolor="lime" strokeweight=".25pt">
            <v:textbox inset="0,0,0,0">
              <w:txbxContent>
                <w:p w14:paraId="4BB3532B" w14:textId="77777777" w:rsidR="001750E2" w:rsidRDefault="001750E2">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"השקעות ציבור" </w:t>
      </w:r>
      <w:r w:rsidR="003453D3">
        <w:rPr>
          <w:rStyle w:val="default"/>
          <w:rFonts w:cs="FrankRuehl"/>
          <w:rtl/>
        </w:rPr>
        <w:t>–</w:t>
      </w:r>
      <w:r>
        <w:rPr>
          <w:rStyle w:val="default"/>
          <w:rFonts w:cs="FrankRuehl"/>
          <w:rtl/>
        </w:rPr>
        <w:t xml:space="preserve"> </w:t>
      </w:r>
      <w:r>
        <w:rPr>
          <w:rStyle w:val="default"/>
          <w:rFonts w:cs="FrankRuehl" w:hint="cs"/>
          <w:rtl/>
        </w:rPr>
        <w:t>הנכסים הפיננסיים המנויים בתוספת.</w:t>
      </w:r>
    </w:p>
    <w:p w14:paraId="26A18F8E" w14:textId="77777777" w:rsidR="001750E2" w:rsidRDefault="001750E2">
      <w:pPr>
        <w:pStyle w:val="P00"/>
        <w:spacing w:before="72"/>
        <w:ind w:left="0" w:right="1134"/>
        <w:rPr>
          <w:rStyle w:val="default"/>
          <w:rFonts w:cs="FrankRuehl"/>
          <w:rtl/>
        </w:rPr>
      </w:pPr>
      <w:bookmarkStart w:id="1" w:name="Seif1"/>
      <w:bookmarkEnd w:id="1"/>
      <w:r>
        <w:rPr>
          <w:lang w:val="he-IL"/>
        </w:rPr>
        <w:pict w14:anchorId="588BC552">
          <v:rect id="_x0000_s1027" style="position:absolute;left:0;text-align:left;margin-left:464.5pt;margin-top:8.05pt;width:75.05pt;height:20.7pt;z-index:251656704" o:allowincell="f" filled="f" stroked="f" strokecolor="lime" strokeweight=".25pt">
            <v:textbox inset="0,0,0,0">
              <w:txbxContent>
                <w:p w14:paraId="0E28181F" w14:textId="77777777" w:rsidR="001750E2" w:rsidRDefault="001750E2" w:rsidP="008C543B">
                  <w:pPr>
                    <w:spacing w:line="160" w:lineRule="exact"/>
                    <w:jc w:val="left"/>
                    <w:rPr>
                      <w:rFonts w:cs="Miriam"/>
                      <w:noProof/>
                      <w:sz w:val="18"/>
                      <w:szCs w:val="18"/>
                      <w:rtl/>
                    </w:rPr>
                  </w:pPr>
                  <w:r>
                    <w:rPr>
                      <w:rFonts w:cs="Miriam"/>
                      <w:sz w:val="18"/>
                      <w:szCs w:val="18"/>
                      <w:rtl/>
                    </w:rPr>
                    <w:t>הג</w:t>
                  </w:r>
                  <w:r>
                    <w:rPr>
                      <w:rFonts w:cs="Miriam" w:hint="cs"/>
                      <w:sz w:val="18"/>
                      <w:szCs w:val="18"/>
                      <w:rtl/>
                    </w:rPr>
                    <w:t>נה על</w:t>
                  </w:r>
                  <w:r w:rsidR="008C543B">
                    <w:rPr>
                      <w:rFonts w:cs="Miriam" w:hint="cs"/>
                      <w:sz w:val="18"/>
                      <w:szCs w:val="18"/>
                      <w:rtl/>
                    </w:rPr>
                    <w:t xml:space="preserve"> </w:t>
                  </w:r>
                  <w:r>
                    <w:rPr>
                      <w:rFonts w:cs="Miriam"/>
                      <w:sz w:val="18"/>
                      <w:szCs w:val="18"/>
                      <w:rtl/>
                    </w:rPr>
                    <w:t>הש</w:t>
                  </w:r>
                  <w:r>
                    <w:rPr>
                      <w:rFonts w:cs="Miriam" w:hint="cs"/>
                      <w:sz w:val="18"/>
                      <w:szCs w:val="18"/>
                      <w:rtl/>
                    </w:rPr>
                    <w:t>קעות ציבור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לא תפקיע השקעות ציבור שנוצרו לפני תחילתו של חוק זה ולא תשנה לרעה את התנאים שנקבעו ל</w:t>
      </w:r>
      <w:r>
        <w:rPr>
          <w:rStyle w:val="default"/>
          <w:rFonts w:cs="FrankRuehl"/>
          <w:rtl/>
        </w:rPr>
        <w:t>הן</w:t>
      </w:r>
      <w:r>
        <w:rPr>
          <w:rStyle w:val="default"/>
          <w:rFonts w:cs="FrankRuehl" w:hint="cs"/>
          <w:rtl/>
        </w:rPr>
        <w:t xml:space="preserve"> לפני תחילתו. </w:t>
      </w:r>
    </w:p>
    <w:p w14:paraId="1F0CF75B" w14:textId="77777777" w:rsidR="001750E2" w:rsidRDefault="001750E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לא תפקיע השקעות ציבור שייווצרו לאחר תחילתו של חוק זה ולא תשנה לרעה את התנאים שיהיו קבועים להן בעת שייווצרו, בין שיהיו זהים לתנאים הקבועים להשקעות ציבור מאותו סוג ערב תחילתו של חוק זה ובין שיהיו שונ</w:t>
      </w:r>
      <w:r>
        <w:rPr>
          <w:rStyle w:val="default"/>
          <w:rFonts w:cs="FrankRuehl"/>
          <w:rtl/>
        </w:rPr>
        <w:t>י</w:t>
      </w:r>
      <w:r>
        <w:rPr>
          <w:rStyle w:val="default"/>
          <w:rFonts w:cs="FrankRuehl" w:hint="cs"/>
          <w:rtl/>
        </w:rPr>
        <w:t xml:space="preserve">ם. </w:t>
      </w:r>
    </w:p>
    <w:p w14:paraId="4F7A1D73" w14:textId="77777777" w:rsidR="001750E2" w:rsidRDefault="001750E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"תנאים" </w:t>
      </w:r>
      <w:r w:rsidR="008C543B">
        <w:rPr>
          <w:rStyle w:val="default"/>
          <w:rFonts w:cs="FrankRuehl"/>
          <w:rtl/>
        </w:rPr>
        <w:t>–</w:t>
      </w:r>
    </w:p>
    <w:p w14:paraId="1AC891E2" w14:textId="77777777" w:rsidR="001750E2" w:rsidRDefault="001750E2">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הפרעון או הפדיון;</w:t>
      </w:r>
    </w:p>
    <w:p w14:paraId="1B913B0F" w14:textId="77777777" w:rsidR="001750E2" w:rsidRDefault="001750E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ועד הפרעון או הפדיון;</w:t>
      </w:r>
    </w:p>
    <w:p w14:paraId="2D936B84" w14:textId="77777777" w:rsidR="001750E2" w:rsidRDefault="001750E2">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 הריבית ומועד תשלומה;</w:t>
      </w:r>
    </w:p>
    <w:p w14:paraId="0B908238" w14:textId="77777777" w:rsidR="001750E2" w:rsidRDefault="001750E2">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סיס ההצמדה ושיעורה; </w:t>
      </w:r>
    </w:p>
    <w:p w14:paraId="41E05AF6" w14:textId="77777777" w:rsidR="001750E2" w:rsidRDefault="001750E2">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יעור המס החל; </w:t>
      </w:r>
    </w:p>
    <w:p w14:paraId="570E672F" w14:textId="77777777" w:rsidR="001750E2" w:rsidRDefault="001750E2">
      <w:pPr>
        <w:pStyle w:val="P22"/>
        <w:spacing w:before="72"/>
        <w:ind w:left="1021"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 xml:space="preserve">ל לפי הענין. </w:t>
      </w:r>
    </w:p>
    <w:p w14:paraId="5E994B6A" w14:textId="77777777" w:rsidR="001750E2" w:rsidRDefault="001750E2">
      <w:pPr>
        <w:pStyle w:val="P00"/>
        <w:spacing w:before="72"/>
        <w:ind w:left="0" w:right="1134"/>
        <w:rPr>
          <w:rStyle w:val="default"/>
          <w:rFonts w:cs="FrankRuehl"/>
          <w:rtl/>
        </w:rPr>
      </w:pPr>
      <w:bookmarkStart w:id="2" w:name="Seif2"/>
      <w:bookmarkEnd w:id="2"/>
      <w:r>
        <w:rPr>
          <w:lang w:val="he-IL"/>
        </w:rPr>
        <w:pict w14:anchorId="051DADE3">
          <v:rect id="_x0000_s1028" style="position:absolute;left:0;text-align:left;margin-left:464.5pt;margin-top:8.05pt;width:75.05pt;height:11.8pt;z-index:251657728" o:allowincell="f" filled="f" stroked="f" strokecolor="lime" strokeweight=".25pt">
            <v:textbox inset="0,0,0,0">
              <w:txbxContent>
                <w:p w14:paraId="2442C29E" w14:textId="77777777" w:rsidR="001750E2" w:rsidRDefault="001750E2">
                  <w:pPr>
                    <w:spacing w:line="160" w:lineRule="exact"/>
                    <w:jc w:val="left"/>
                    <w:rPr>
                      <w:rFonts w:cs="Miriam"/>
                      <w:noProof/>
                      <w:sz w:val="18"/>
                      <w:szCs w:val="18"/>
                      <w:rtl/>
                    </w:rPr>
                  </w:pPr>
                  <w:r>
                    <w:rPr>
                      <w:rFonts w:cs="Miriam"/>
                      <w:sz w:val="18"/>
                      <w:szCs w:val="18"/>
                      <w:rtl/>
                    </w:rPr>
                    <w:t>נו</w:t>
                  </w:r>
                  <w:r>
                    <w:rPr>
                      <w:rFonts w:cs="Miriam" w:hint="cs"/>
                      <w:sz w:val="18"/>
                      <w:szCs w:val="18"/>
                      <w:rtl/>
                    </w:rPr>
                    <w:t>קשות החוק</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ן לשנות חוק זה ואין לגרוע מהתוספת אלא ברוב של חברי הכנסת.</w:t>
      </w:r>
    </w:p>
    <w:p w14:paraId="39EF1D71" w14:textId="77777777" w:rsidR="001750E2" w:rsidRDefault="001750E2">
      <w:pPr>
        <w:pStyle w:val="P00"/>
        <w:spacing w:before="72"/>
        <w:ind w:left="0" w:right="1134"/>
        <w:rPr>
          <w:rStyle w:val="default"/>
          <w:rFonts w:cs="FrankRuehl" w:hint="cs"/>
          <w:rtl/>
        </w:rPr>
      </w:pPr>
      <w:bookmarkStart w:id="3" w:name="Seif3"/>
      <w:bookmarkEnd w:id="3"/>
      <w:r>
        <w:rPr>
          <w:lang w:val="he-IL"/>
        </w:rPr>
        <w:pict w14:anchorId="5EA4A1CC">
          <v:rect id="_x0000_s1029" style="position:absolute;left:0;text-align:left;margin-left:464.5pt;margin-top:8.05pt;width:75.05pt;height:16pt;z-index:251658752" o:allowincell="f" filled="f" stroked="f" strokecolor="lime" strokeweight=".25pt">
            <v:textbox inset="0,0,0,0">
              <w:txbxContent>
                <w:p w14:paraId="5ED92312" w14:textId="77777777" w:rsidR="001750E2" w:rsidRDefault="001750E2" w:rsidP="008C543B">
                  <w:pPr>
                    <w:spacing w:line="160" w:lineRule="exact"/>
                    <w:jc w:val="left"/>
                    <w:rPr>
                      <w:rFonts w:cs="Miriam"/>
                      <w:noProof/>
                      <w:sz w:val="18"/>
                      <w:szCs w:val="18"/>
                      <w:rtl/>
                    </w:rPr>
                  </w:pPr>
                  <w:r>
                    <w:rPr>
                      <w:rFonts w:cs="Miriam"/>
                      <w:sz w:val="18"/>
                      <w:szCs w:val="18"/>
                      <w:rtl/>
                    </w:rPr>
                    <w:t>הו</w:t>
                  </w:r>
                  <w:r>
                    <w:rPr>
                      <w:rFonts w:cs="Miriam" w:hint="cs"/>
                      <w:sz w:val="18"/>
                      <w:szCs w:val="18"/>
                      <w:rtl/>
                    </w:rPr>
                    <w:t>ספה על</w:t>
                  </w:r>
                  <w:r w:rsidR="008C543B">
                    <w:rPr>
                      <w:rFonts w:cs="Miriam" w:hint="cs"/>
                      <w:sz w:val="18"/>
                      <w:szCs w:val="18"/>
                      <w:rtl/>
                    </w:rPr>
                    <w:t xml:space="preserve"> </w:t>
                  </w:r>
                  <w:r>
                    <w:rPr>
                      <w:rFonts w:cs="Miriam"/>
                      <w:sz w:val="18"/>
                      <w:szCs w:val="18"/>
                      <w:rtl/>
                    </w:rPr>
                    <w:t>הת</w:t>
                  </w:r>
                  <w:r>
                    <w:rPr>
                      <w:rFonts w:cs="Miriam" w:hint="cs"/>
                      <w:sz w:val="18"/>
                      <w:szCs w:val="18"/>
                      <w:rtl/>
                    </w:rPr>
                    <w:t>וספת</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w:t>
      </w:r>
      <w:r>
        <w:rPr>
          <w:rStyle w:val="default"/>
          <w:rFonts w:cs="FrankRuehl"/>
          <w:rtl/>
        </w:rPr>
        <w:t>אי</w:t>
      </w:r>
      <w:r w:rsidR="008C543B">
        <w:rPr>
          <w:rStyle w:val="default"/>
          <w:rFonts w:cs="FrankRuehl" w:hint="cs"/>
          <w:rtl/>
        </w:rPr>
        <w:t xml:space="preserve"> להוסיף על התוספת.</w:t>
      </w:r>
    </w:p>
    <w:p w14:paraId="25493C2A" w14:textId="77777777" w:rsidR="001750E2" w:rsidRPr="008C543B" w:rsidRDefault="001750E2" w:rsidP="008C543B">
      <w:pPr>
        <w:pStyle w:val="P00"/>
        <w:spacing w:before="72"/>
        <w:ind w:left="0" w:right="1134"/>
        <w:rPr>
          <w:rStyle w:val="default"/>
          <w:rFonts w:cs="FrankRuehl" w:hint="cs"/>
          <w:rtl/>
        </w:rPr>
      </w:pPr>
    </w:p>
    <w:p w14:paraId="0595CF02" w14:textId="77777777" w:rsidR="001750E2" w:rsidRDefault="001750E2">
      <w:pPr>
        <w:pStyle w:val="medium2-header"/>
        <w:keepLines w:val="0"/>
        <w:spacing w:before="72"/>
        <w:ind w:left="0" w:right="1134"/>
        <w:rPr>
          <w:rFonts w:cs="FrankRuehl"/>
          <w:noProof/>
          <w:rtl/>
        </w:rPr>
      </w:pPr>
      <w:bookmarkStart w:id="4" w:name="med0"/>
      <w:bookmarkEnd w:id="4"/>
      <w:r>
        <w:rPr>
          <w:rFonts w:cs="FrankRuehl"/>
          <w:noProof/>
          <w:rtl/>
        </w:rPr>
        <w:t>תו</w:t>
      </w:r>
      <w:r>
        <w:rPr>
          <w:rFonts w:cs="FrankRuehl" w:hint="cs"/>
          <w:noProof/>
          <w:rtl/>
        </w:rPr>
        <w:t>ספת</w:t>
      </w:r>
    </w:p>
    <w:p w14:paraId="5F333898" w14:textId="77777777" w:rsidR="001750E2" w:rsidRDefault="001750E2">
      <w:pPr>
        <w:pStyle w:val="medium-header"/>
        <w:keepNext w:val="0"/>
        <w:keepLines w:val="0"/>
        <w:ind w:left="0" w:right="1134"/>
        <w:rPr>
          <w:rFonts w:cs="FrankRuehl"/>
          <w:sz w:val="26"/>
          <w:rtl/>
        </w:rPr>
      </w:pPr>
      <w:r>
        <w:rPr>
          <w:rFonts w:cs="FrankRuehl"/>
          <w:sz w:val="26"/>
          <w:rtl/>
        </w:rPr>
        <w:t>(ס</w:t>
      </w:r>
      <w:r>
        <w:rPr>
          <w:rFonts w:cs="FrankRuehl" w:hint="cs"/>
          <w:sz w:val="26"/>
          <w:rtl/>
        </w:rPr>
        <w:t>עיף 1)</w:t>
      </w:r>
    </w:p>
    <w:p w14:paraId="4B0F1A40" w14:textId="77777777" w:rsidR="001750E2" w:rsidRDefault="001750E2" w:rsidP="008C543B">
      <w:pPr>
        <w:pStyle w:val="P01"/>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שחל עליו צו לפי סעיף 5(א)(2) לחוק עידוד החסכון, הנחות ממס הכנסה וערבות למילוות, תשט"ז</w:t>
      </w:r>
      <w:r w:rsidR="008C543B">
        <w:rPr>
          <w:rStyle w:val="default"/>
          <w:rFonts w:cs="FrankRuehl" w:hint="cs"/>
          <w:rtl/>
        </w:rPr>
        <w:t>-</w:t>
      </w:r>
      <w:r>
        <w:rPr>
          <w:rStyle w:val="default"/>
          <w:rFonts w:cs="FrankRuehl"/>
          <w:rtl/>
        </w:rPr>
        <w:t>1956 (ל</w:t>
      </w:r>
      <w:r>
        <w:rPr>
          <w:rStyle w:val="default"/>
          <w:rFonts w:cs="FrankRuehl" w:hint="cs"/>
          <w:rtl/>
        </w:rPr>
        <w:t xml:space="preserve">הלן </w:t>
      </w:r>
      <w:r w:rsidR="003453D3">
        <w:rPr>
          <w:rStyle w:val="default"/>
          <w:rFonts w:cs="FrankRuehl"/>
          <w:rtl/>
        </w:rPr>
        <w:t>–</w:t>
      </w:r>
      <w:r>
        <w:rPr>
          <w:rStyle w:val="default"/>
          <w:rFonts w:cs="FrankRuehl"/>
          <w:rtl/>
        </w:rPr>
        <w:t xml:space="preserve"> </w:t>
      </w:r>
      <w:r>
        <w:rPr>
          <w:rStyle w:val="default"/>
          <w:rFonts w:cs="FrankRuehl" w:hint="cs"/>
          <w:rtl/>
        </w:rPr>
        <w:t>חוק עידוד החסכון);</w:t>
      </w:r>
    </w:p>
    <w:p w14:paraId="1D6EECD5" w14:textId="77777777" w:rsidR="001750E2" w:rsidRDefault="001750E2">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אי</w:t>
      </w:r>
      <w:r>
        <w:rPr>
          <w:rStyle w:val="default"/>
          <w:rFonts w:cs="FrankRuehl" w:hint="cs"/>
          <w:rtl/>
        </w:rPr>
        <w:t xml:space="preserve">גרות חוב סחירות שאינן ניתנות להמרה במניות, שחל עליהן צו לפי סעיף 5(א)(3) לחוק עידוד החסכון; </w:t>
      </w:r>
    </w:p>
    <w:p w14:paraId="43806A37" w14:textId="77777777" w:rsidR="001750E2" w:rsidRDefault="001750E2">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אי</w:t>
      </w:r>
      <w:r>
        <w:rPr>
          <w:rStyle w:val="default"/>
          <w:rFonts w:cs="FrankRuehl" w:hint="cs"/>
          <w:rtl/>
        </w:rPr>
        <w:t>גרות חוב או תעודות מילווה של המדינה, שהוצאו על פי חוק;</w:t>
      </w:r>
    </w:p>
    <w:p w14:paraId="30779AB8" w14:textId="77777777" w:rsidR="001750E2" w:rsidRDefault="001750E2">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ני</w:t>
      </w:r>
      <w:r>
        <w:rPr>
          <w:rStyle w:val="default"/>
          <w:rFonts w:cs="FrankRuehl" w:hint="cs"/>
          <w:rtl/>
        </w:rPr>
        <w:t>י</w:t>
      </w:r>
      <w:r>
        <w:rPr>
          <w:rStyle w:val="default"/>
          <w:rFonts w:cs="FrankRuehl"/>
          <w:rtl/>
        </w:rPr>
        <w:t>ר</w:t>
      </w:r>
      <w:r>
        <w:rPr>
          <w:rStyle w:val="default"/>
          <w:rFonts w:cs="FrankRuehl" w:hint="cs"/>
          <w:rtl/>
        </w:rPr>
        <w:t>ות ערך שחלה עליהם הודעה בדבר הסדרים לרכישת ניירות ערך בנקאיים</w:t>
      </w:r>
      <w:r>
        <w:rPr>
          <w:rStyle w:val="default"/>
          <w:rFonts w:cs="FrankRuehl"/>
          <w:rtl/>
        </w:rPr>
        <w:t xml:space="preserve">; </w:t>
      </w:r>
    </w:p>
    <w:p w14:paraId="77775D68" w14:textId="77777777" w:rsidR="001750E2" w:rsidRDefault="001750E2" w:rsidP="008C543B">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פק</w:t>
      </w:r>
      <w:r>
        <w:rPr>
          <w:rStyle w:val="default"/>
          <w:rFonts w:cs="FrankRuehl" w:hint="cs"/>
          <w:rtl/>
        </w:rPr>
        <w:t>דון תושב או פקדון תושב (פיצויים) כמשמעותם בהיתר הפיקוח על המטבע, תשל"ח</w:t>
      </w:r>
      <w:r w:rsidR="008C543B">
        <w:rPr>
          <w:rStyle w:val="default"/>
          <w:rFonts w:cs="FrankRuehl" w:hint="cs"/>
          <w:rtl/>
        </w:rPr>
        <w:t>-</w:t>
      </w:r>
      <w:r>
        <w:rPr>
          <w:rStyle w:val="default"/>
          <w:rFonts w:cs="FrankRuehl"/>
          <w:rtl/>
        </w:rPr>
        <w:t>1978;</w:t>
      </w:r>
    </w:p>
    <w:p w14:paraId="39475372" w14:textId="77777777" w:rsidR="001750E2" w:rsidRDefault="001750E2">
      <w:pPr>
        <w:pStyle w:val="P01"/>
        <w:spacing w:before="72"/>
        <w:ind w:left="624" w:right="1134"/>
        <w:rPr>
          <w:rStyle w:val="default"/>
          <w:rFonts w:cs="FrankRuehl" w:hint="cs"/>
          <w:rtl/>
        </w:rPr>
      </w:pPr>
      <w:r>
        <w:rPr>
          <w:rFonts w:cs="FrankRuehl"/>
          <w:rtl/>
          <w:lang w:val="he-IL"/>
        </w:rPr>
        <w:pict w14:anchorId="6CE0021F">
          <v:shapetype id="_x0000_t202" coordsize="21600,21600" o:spt="202" path="m,l,21600r21600,l21600,xe">
            <v:stroke joinstyle="miter"/>
            <v:path gradientshapeok="t" o:connecttype="rect"/>
          </v:shapetype>
          <v:shape id="_x0000_s1030" type="#_x0000_t202" style="position:absolute;left:0;text-align:left;margin-left:470.25pt;margin-top:7.1pt;width:1in;height:18.6pt;z-index:251659776" filled="f" stroked="f">
            <v:textbox style="mso-next-textbox:#_x0000_s1030" inset="1mm,0,1mm,0">
              <w:txbxContent>
                <w:p w14:paraId="23300E29" w14:textId="77777777" w:rsidR="001750E2" w:rsidRDefault="001750E2">
                  <w:pPr>
                    <w:spacing w:line="160" w:lineRule="exact"/>
                    <w:jc w:val="left"/>
                    <w:rPr>
                      <w:rFonts w:cs="Miriam" w:hint="cs"/>
                      <w:sz w:val="18"/>
                      <w:szCs w:val="18"/>
                      <w:rtl/>
                    </w:rPr>
                  </w:pPr>
                  <w:r>
                    <w:rPr>
                      <w:rFonts w:cs="Miriam" w:hint="cs"/>
                      <w:sz w:val="18"/>
                      <w:szCs w:val="18"/>
                      <w:rtl/>
                    </w:rPr>
                    <w:t>(תיקון מס' 1) תשס"ה-2005</w:t>
                  </w:r>
                </w:p>
              </w:txbxContent>
            </v:textbox>
            <w10:anchorlock/>
          </v:shape>
        </w:pict>
      </w:r>
      <w:r>
        <w:rPr>
          <w:rFonts w:cs="FrankRuehl"/>
          <w:sz w:val="26"/>
          <w:rtl/>
        </w:rPr>
        <w:t>6.</w:t>
      </w:r>
      <w:r>
        <w:rPr>
          <w:rFonts w:cs="FrankRuehl"/>
          <w:sz w:val="26"/>
          <w:rtl/>
        </w:rPr>
        <w:tab/>
      </w:r>
      <w:r>
        <w:rPr>
          <w:rStyle w:val="default"/>
          <w:rFonts w:cs="FrankRuehl"/>
          <w:rtl/>
        </w:rPr>
        <w:t>זכ</w:t>
      </w:r>
      <w:r>
        <w:rPr>
          <w:rStyle w:val="default"/>
          <w:rFonts w:cs="FrankRuehl" w:hint="cs"/>
          <w:rtl/>
        </w:rPr>
        <w:t>ויות עמית בקופת גמל כהגדרתה בחוק הפיקוח על שירותים פיננסיים (קופות גמל), התשס"ה-2005;</w:t>
      </w:r>
    </w:p>
    <w:p w14:paraId="00590F37" w14:textId="77777777" w:rsidR="000F3A32" w:rsidRPr="008C543B" w:rsidRDefault="000F3A32" w:rsidP="000F3A32">
      <w:pPr>
        <w:pStyle w:val="P00"/>
        <w:spacing w:before="0"/>
        <w:ind w:left="0" w:right="1134"/>
        <w:rPr>
          <w:rFonts w:cs="FrankRuehl" w:hint="cs"/>
          <w:b/>
          <w:bCs/>
          <w:vanish/>
          <w:szCs w:val="20"/>
          <w:shd w:val="clear" w:color="auto" w:fill="FFFF99"/>
          <w:rtl/>
        </w:rPr>
      </w:pPr>
      <w:bookmarkStart w:id="5" w:name="Rov7"/>
      <w:r w:rsidRPr="008C543B">
        <w:rPr>
          <w:rFonts w:cs="FrankRuehl" w:hint="cs"/>
          <w:vanish/>
          <w:color w:val="FF0000"/>
          <w:szCs w:val="20"/>
          <w:shd w:val="clear" w:color="auto" w:fill="FFFF99"/>
          <w:rtl/>
        </w:rPr>
        <w:t>מיום 8.11.2005</w:t>
      </w:r>
    </w:p>
    <w:p w14:paraId="73A95970" w14:textId="77777777" w:rsidR="000F3A32" w:rsidRPr="008C543B" w:rsidRDefault="000F3A32" w:rsidP="000F3A32">
      <w:pPr>
        <w:pStyle w:val="P00"/>
        <w:spacing w:before="0"/>
        <w:ind w:left="0" w:right="1134"/>
        <w:rPr>
          <w:rFonts w:cs="FrankRuehl" w:hint="cs"/>
          <w:b/>
          <w:bCs/>
          <w:vanish/>
          <w:szCs w:val="20"/>
          <w:shd w:val="clear" w:color="auto" w:fill="FFFF99"/>
          <w:rtl/>
        </w:rPr>
      </w:pPr>
      <w:r w:rsidRPr="008C543B">
        <w:rPr>
          <w:rFonts w:cs="FrankRuehl" w:hint="cs"/>
          <w:b/>
          <w:bCs/>
          <w:vanish/>
          <w:szCs w:val="20"/>
          <w:shd w:val="clear" w:color="auto" w:fill="FFFF99"/>
          <w:rtl/>
        </w:rPr>
        <w:t>תיקון מס' 1</w:t>
      </w:r>
    </w:p>
    <w:p w14:paraId="42D92130" w14:textId="77777777" w:rsidR="000F3A32" w:rsidRPr="008C543B" w:rsidRDefault="000F3A32" w:rsidP="000F3A32">
      <w:pPr>
        <w:pStyle w:val="P00"/>
        <w:tabs>
          <w:tab w:val="clear" w:pos="6259"/>
        </w:tabs>
        <w:spacing w:before="0"/>
        <w:ind w:left="0" w:right="1134"/>
        <w:rPr>
          <w:rFonts w:cs="FrankRuehl" w:hint="cs"/>
          <w:vanish/>
          <w:szCs w:val="20"/>
          <w:shd w:val="clear" w:color="auto" w:fill="FFFF99"/>
          <w:rtl/>
        </w:rPr>
      </w:pPr>
      <w:hyperlink r:id="rId6" w:history="1">
        <w:r w:rsidRPr="008C543B">
          <w:rPr>
            <w:rStyle w:val="Hyperlink"/>
            <w:rFonts w:cs="FrankRuehl" w:hint="cs"/>
            <w:vanish/>
            <w:szCs w:val="20"/>
            <w:shd w:val="clear" w:color="auto" w:fill="FFFF99"/>
            <w:rtl/>
          </w:rPr>
          <w:t>ס"ח תשס"ה מס' 2024</w:t>
        </w:r>
      </w:hyperlink>
      <w:r w:rsidRPr="008C543B">
        <w:rPr>
          <w:rFonts w:cs="FrankRuehl" w:hint="cs"/>
          <w:vanish/>
          <w:szCs w:val="20"/>
          <w:shd w:val="clear" w:color="auto" w:fill="FFFF99"/>
          <w:rtl/>
        </w:rPr>
        <w:t xml:space="preserve"> מיום 10.8.2005 עמ' 914 (</w:t>
      </w:r>
      <w:hyperlink r:id="rId7" w:history="1">
        <w:r w:rsidRPr="008C543B">
          <w:rPr>
            <w:rStyle w:val="Hyperlink"/>
            <w:rFonts w:cs="FrankRuehl" w:hint="cs"/>
            <w:vanish/>
            <w:szCs w:val="20"/>
            <w:shd w:val="clear" w:color="auto" w:fill="FFFF99"/>
            <w:rtl/>
          </w:rPr>
          <w:t>ה"ח 175</w:t>
        </w:r>
      </w:hyperlink>
      <w:r w:rsidRPr="008C543B">
        <w:rPr>
          <w:rFonts w:cs="FrankRuehl" w:hint="cs"/>
          <w:vanish/>
          <w:szCs w:val="20"/>
          <w:shd w:val="clear" w:color="auto" w:fill="FFFF99"/>
          <w:rtl/>
        </w:rPr>
        <w:t>)</w:t>
      </w:r>
    </w:p>
    <w:p w14:paraId="1EDB0E46" w14:textId="77777777" w:rsidR="000F3A32" w:rsidRPr="00DC074E" w:rsidRDefault="000F3A32" w:rsidP="00DC074E">
      <w:pPr>
        <w:pStyle w:val="P01"/>
        <w:ind w:left="624" w:right="1134"/>
        <w:rPr>
          <w:rStyle w:val="default"/>
          <w:rFonts w:cs="FrankRuehl" w:hint="cs"/>
          <w:sz w:val="2"/>
          <w:szCs w:val="2"/>
          <w:rtl/>
        </w:rPr>
      </w:pPr>
      <w:r w:rsidRPr="008C543B">
        <w:rPr>
          <w:rFonts w:cs="FrankRuehl"/>
          <w:vanish/>
          <w:sz w:val="22"/>
          <w:szCs w:val="22"/>
          <w:shd w:val="clear" w:color="auto" w:fill="FFFF99"/>
          <w:rtl/>
        </w:rPr>
        <w:t>6.</w:t>
      </w:r>
      <w:r w:rsidRPr="008C543B">
        <w:rPr>
          <w:rFonts w:cs="FrankRuehl"/>
          <w:vanish/>
          <w:sz w:val="22"/>
          <w:szCs w:val="22"/>
          <w:shd w:val="clear" w:color="auto" w:fill="FFFF99"/>
          <w:rtl/>
        </w:rPr>
        <w:tab/>
      </w:r>
      <w:r w:rsidRPr="008C543B">
        <w:rPr>
          <w:rStyle w:val="default"/>
          <w:rFonts w:cs="FrankRuehl"/>
          <w:vanish/>
          <w:sz w:val="22"/>
          <w:szCs w:val="22"/>
          <w:shd w:val="clear" w:color="auto" w:fill="FFFF99"/>
          <w:rtl/>
        </w:rPr>
        <w:t>זכ</w:t>
      </w:r>
      <w:r w:rsidRPr="008C543B">
        <w:rPr>
          <w:rStyle w:val="default"/>
          <w:rFonts w:cs="FrankRuehl" w:hint="cs"/>
          <w:vanish/>
          <w:sz w:val="22"/>
          <w:szCs w:val="22"/>
          <w:shd w:val="clear" w:color="auto" w:fill="FFFF99"/>
          <w:rtl/>
        </w:rPr>
        <w:t xml:space="preserve">ויות עמית בקופת גמל </w:t>
      </w:r>
      <w:r w:rsidRPr="008C543B">
        <w:rPr>
          <w:rStyle w:val="default"/>
          <w:rFonts w:cs="FrankRuehl" w:hint="cs"/>
          <w:strike/>
          <w:vanish/>
          <w:sz w:val="22"/>
          <w:szCs w:val="22"/>
          <w:shd w:val="clear" w:color="auto" w:fill="FFFF99"/>
          <w:rtl/>
        </w:rPr>
        <w:t>כמשמעותה בסעיף 47 לפקודת מס הכנסה</w:t>
      </w:r>
      <w:r w:rsidRPr="008C543B">
        <w:rPr>
          <w:rStyle w:val="default"/>
          <w:rFonts w:cs="FrankRuehl" w:hint="cs"/>
          <w:vanish/>
          <w:sz w:val="22"/>
          <w:szCs w:val="22"/>
          <w:shd w:val="clear" w:color="auto" w:fill="FFFF99"/>
          <w:rtl/>
        </w:rPr>
        <w:t xml:space="preserve"> </w:t>
      </w:r>
      <w:r w:rsidRPr="008C543B">
        <w:rPr>
          <w:rStyle w:val="default"/>
          <w:rFonts w:cs="FrankRuehl" w:hint="cs"/>
          <w:vanish/>
          <w:sz w:val="22"/>
          <w:szCs w:val="22"/>
          <w:u w:val="single"/>
          <w:shd w:val="clear" w:color="auto" w:fill="FFFF99"/>
          <w:rtl/>
        </w:rPr>
        <w:t>כהגדרתה בחוק הפיקוח על שירותים פיננסיים (קופות גמל), התשס"ה-2005</w:t>
      </w:r>
      <w:r w:rsidRPr="008C543B">
        <w:rPr>
          <w:rStyle w:val="default"/>
          <w:rFonts w:cs="FrankRuehl" w:hint="cs"/>
          <w:vanish/>
          <w:sz w:val="22"/>
          <w:szCs w:val="22"/>
          <w:shd w:val="clear" w:color="auto" w:fill="FFFF99"/>
          <w:rtl/>
        </w:rPr>
        <w:t>;</w:t>
      </w:r>
      <w:bookmarkEnd w:id="5"/>
    </w:p>
    <w:p w14:paraId="54BF531E" w14:textId="77777777" w:rsidR="001750E2" w:rsidRDefault="001750E2">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פו</w:t>
      </w:r>
      <w:r>
        <w:rPr>
          <w:rStyle w:val="default"/>
          <w:rFonts w:cs="FrankRuehl" w:hint="cs"/>
          <w:rtl/>
        </w:rPr>
        <w:t xml:space="preserve">ליסת ביטוח חיים שהוצאה בישראל. </w:t>
      </w:r>
    </w:p>
    <w:p w14:paraId="4AE48EDF" w14:textId="77777777" w:rsidR="001750E2" w:rsidRDefault="001750E2" w:rsidP="008C543B">
      <w:pPr>
        <w:pStyle w:val="P00"/>
        <w:spacing w:before="72"/>
        <w:ind w:left="0" w:right="1134"/>
        <w:rPr>
          <w:rStyle w:val="default"/>
          <w:rFonts w:cs="FrankRuehl"/>
          <w:rtl/>
        </w:rPr>
      </w:pPr>
    </w:p>
    <w:p w14:paraId="3D49ED35" w14:textId="77777777" w:rsidR="001750E2" w:rsidRPr="008C543B" w:rsidRDefault="001750E2" w:rsidP="003453D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8C543B">
        <w:rPr>
          <w:rFonts w:cs="FrankRuehl"/>
          <w:sz w:val="26"/>
          <w:szCs w:val="26"/>
          <w:rtl/>
        </w:rPr>
        <w:tab/>
      </w:r>
      <w:r w:rsidRPr="008C543B">
        <w:rPr>
          <w:rFonts w:cs="FrankRuehl"/>
          <w:sz w:val="26"/>
          <w:szCs w:val="26"/>
          <w:rtl/>
        </w:rPr>
        <w:tab/>
        <w:t>י</w:t>
      </w:r>
      <w:r w:rsidRPr="008C543B">
        <w:rPr>
          <w:rFonts w:cs="FrankRuehl" w:hint="cs"/>
          <w:sz w:val="26"/>
          <w:szCs w:val="26"/>
          <w:rtl/>
        </w:rPr>
        <w:t>צחק שמיר</w:t>
      </w:r>
      <w:r w:rsidRPr="008C543B">
        <w:rPr>
          <w:rFonts w:cs="FrankRuehl"/>
          <w:sz w:val="26"/>
          <w:szCs w:val="26"/>
          <w:rtl/>
        </w:rPr>
        <w:tab/>
        <w:t>י</w:t>
      </w:r>
      <w:r w:rsidRPr="008C543B">
        <w:rPr>
          <w:rFonts w:cs="FrankRuehl" w:hint="cs"/>
          <w:sz w:val="26"/>
          <w:szCs w:val="26"/>
          <w:rtl/>
        </w:rPr>
        <w:t>גאל כהן-אורגד</w:t>
      </w:r>
    </w:p>
    <w:p w14:paraId="581DEF2E" w14:textId="77777777" w:rsidR="001750E2" w:rsidRDefault="001750E2" w:rsidP="003453D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0F6DAB41" w14:textId="77777777" w:rsidR="008C543B" w:rsidRPr="008C543B" w:rsidRDefault="008C543B" w:rsidP="003453D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8C543B">
        <w:rPr>
          <w:rFonts w:cs="FrankRuehl"/>
          <w:sz w:val="26"/>
          <w:szCs w:val="26"/>
          <w:rtl/>
        </w:rPr>
        <w:tab/>
        <w:t>ח</w:t>
      </w:r>
      <w:r w:rsidRPr="008C543B">
        <w:rPr>
          <w:rFonts w:cs="FrankRuehl" w:hint="cs"/>
          <w:sz w:val="26"/>
          <w:szCs w:val="26"/>
          <w:rtl/>
        </w:rPr>
        <w:t>יים הרצו</w:t>
      </w:r>
      <w:r w:rsidRPr="008C543B">
        <w:rPr>
          <w:rFonts w:cs="FrankRuehl"/>
          <w:sz w:val="26"/>
          <w:szCs w:val="26"/>
          <w:rtl/>
        </w:rPr>
        <w:t>ג</w:t>
      </w:r>
    </w:p>
    <w:p w14:paraId="7D4F9388" w14:textId="77777777" w:rsidR="008C543B" w:rsidRDefault="008C543B" w:rsidP="003453D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70DBCE13" w14:textId="77777777" w:rsidR="003453D3" w:rsidRDefault="003453D3" w:rsidP="008C543B">
      <w:pPr>
        <w:pStyle w:val="P00"/>
        <w:spacing w:before="72"/>
        <w:ind w:left="0" w:right="1134"/>
        <w:rPr>
          <w:rStyle w:val="default"/>
          <w:rFonts w:cs="FrankRuehl" w:hint="cs"/>
          <w:rtl/>
        </w:rPr>
      </w:pPr>
    </w:p>
    <w:p w14:paraId="3B7DB0E7" w14:textId="77777777" w:rsidR="003453D3" w:rsidRPr="008C543B" w:rsidRDefault="003453D3" w:rsidP="008C543B">
      <w:pPr>
        <w:pStyle w:val="P00"/>
        <w:spacing w:before="72"/>
        <w:ind w:left="0" w:right="1134"/>
        <w:rPr>
          <w:rStyle w:val="default"/>
          <w:rFonts w:cs="FrankRuehl" w:hint="cs"/>
          <w:rtl/>
        </w:rPr>
      </w:pPr>
    </w:p>
    <w:sectPr w:rsidR="003453D3" w:rsidRPr="008C543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82F1" w14:textId="77777777" w:rsidR="0009273A" w:rsidRDefault="0009273A">
      <w:r>
        <w:separator/>
      </w:r>
    </w:p>
  </w:endnote>
  <w:endnote w:type="continuationSeparator" w:id="0">
    <w:p w14:paraId="5B10C250" w14:textId="77777777" w:rsidR="0009273A" w:rsidRDefault="00092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2B4D" w14:textId="77777777" w:rsidR="001750E2" w:rsidRDefault="001750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422CC5" w14:textId="77777777" w:rsidR="001750E2" w:rsidRDefault="001750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BC6EE3" w14:textId="77777777" w:rsidR="001750E2" w:rsidRDefault="001750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543B">
      <w:rPr>
        <w:rFonts w:cs="TopType Jerushalmi"/>
        <w:noProof/>
        <w:color w:val="000000"/>
        <w:sz w:val="14"/>
        <w:szCs w:val="14"/>
      </w:rPr>
      <w:t>D:\Yael\hakika\Revadim\091_001.doc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519" w14:textId="77777777" w:rsidR="001750E2" w:rsidRDefault="001750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53D3">
      <w:rPr>
        <w:rFonts w:hAnsi="FrankRuehl" w:cs="FrankRuehl"/>
        <w:noProof/>
        <w:sz w:val="24"/>
        <w:szCs w:val="24"/>
        <w:rtl/>
      </w:rPr>
      <w:t>2</w:t>
    </w:r>
    <w:r>
      <w:rPr>
        <w:rFonts w:hAnsi="FrankRuehl" w:cs="FrankRuehl"/>
        <w:sz w:val="24"/>
        <w:szCs w:val="24"/>
        <w:rtl/>
      </w:rPr>
      <w:fldChar w:fldCharType="end"/>
    </w:r>
  </w:p>
  <w:p w14:paraId="687DB96C" w14:textId="77777777" w:rsidR="001750E2" w:rsidRDefault="001750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3F627D" w14:textId="77777777" w:rsidR="001750E2" w:rsidRDefault="001750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543B">
      <w:rPr>
        <w:rFonts w:cs="TopType Jerushalmi"/>
        <w:noProof/>
        <w:color w:val="000000"/>
        <w:sz w:val="14"/>
        <w:szCs w:val="14"/>
      </w:rPr>
      <w:t>D:\Yael\hakika\Revadim\091_001.doc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587E" w14:textId="77777777" w:rsidR="0009273A" w:rsidRDefault="0009273A" w:rsidP="008C543B">
      <w:pPr>
        <w:spacing w:before="60" w:line="240" w:lineRule="auto"/>
        <w:ind w:right="1134"/>
      </w:pPr>
      <w:r>
        <w:separator/>
      </w:r>
    </w:p>
  </w:footnote>
  <w:footnote w:type="continuationSeparator" w:id="0">
    <w:p w14:paraId="1D02A438" w14:textId="77777777" w:rsidR="0009273A" w:rsidRDefault="0009273A">
      <w:r>
        <w:continuationSeparator/>
      </w:r>
    </w:p>
  </w:footnote>
  <w:footnote w:id="1">
    <w:p w14:paraId="32718C84" w14:textId="77777777" w:rsidR="008C543B" w:rsidRDefault="008C543B" w:rsidP="008C54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C543B">
        <w:rPr>
          <w:rFonts w:cs="FrankRuehl"/>
          <w:rtl/>
        </w:rPr>
        <w:t xml:space="preserve">* </w:t>
      </w:r>
      <w:r>
        <w:rPr>
          <w:rFonts w:cs="FrankRuehl"/>
          <w:rtl/>
        </w:rPr>
        <w:t>פו</w:t>
      </w:r>
      <w:r>
        <w:rPr>
          <w:rFonts w:cs="FrankRuehl" w:hint="cs"/>
          <w:rtl/>
        </w:rPr>
        <w:t xml:space="preserve">רסם </w:t>
      </w:r>
      <w:hyperlink r:id="rId1" w:history="1">
        <w:r w:rsidRPr="000F3A32">
          <w:rPr>
            <w:rStyle w:val="Hyperlink"/>
            <w:rFonts w:cs="FrankRuehl" w:hint="cs"/>
            <w:rtl/>
          </w:rPr>
          <w:t>ס"ח תשמ"ד מס' 1121</w:t>
        </w:r>
      </w:hyperlink>
      <w:r>
        <w:rPr>
          <w:rFonts w:cs="FrankRuehl" w:hint="cs"/>
          <w:rtl/>
        </w:rPr>
        <w:t xml:space="preserve"> מיום 11.7.1984 עמ' 178 (</w:t>
      </w:r>
      <w:hyperlink r:id="rId2" w:history="1">
        <w:r w:rsidRPr="000F3A32">
          <w:rPr>
            <w:rStyle w:val="Hyperlink"/>
            <w:rFonts w:cs="FrankRuehl" w:hint="cs"/>
            <w:rtl/>
          </w:rPr>
          <w:t>ה"ח תשמ"ד מס' 1691</w:t>
        </w:r>
      </w:hyperlink>
      <w:r>
        <w:rPr>
          <w:rFonts w:cs="FrankRuehl" w:hint="cs"/>
          <w:rtl/>
        </w:rPr>
        <w:t xml:space="preserve"> עמ' 287).</w:t>
      </w:r>
    </w:p>
    <w:p w14:paraId="49287E8B" w14:textId="77777777" w:rsidR="008C543B" w:rsidRPr="008C543B" w:rsidRDefault="008C543B" w:rsidP="008C54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3" w:history="1">
        <w:r>
          <w:rPr>
            <w:rStyle w:val="Hyperlink"/>
            <w:rFonts w:cs="FrankRuehl" w:hint="cs"/>
            <w:sz w:val="20"/>
            <w:rtl/>
          </w:rPr>
          <w:t>ס"ח</w:t>
        </w:r>
        <w:r>
          <w:rPr>
            <w:rStyle w:val="Hyperlink"/>
            <w:rFonts w:cs="FrankRuehl" w:hint="cs"/>
            <w:sz w:val="20"/>
            <w:rtl/>
          </w:rPr>
          <w:t xml:space="preserve"> תשס"ה מס' 2024</w:t>
        </w:r>
      </w:hyperlink>
      <w:r>
        <w:rPr>
          <w:rFonts w:cs="FrankRuehl" w:hint="cs"/>
          <w:sz w:val="20"/>
          <w:rtl/>
        </w:rPr>
        <w:t xml:space="preserve"> מיום 10.8.2005 עמ' 914 (</w:t>
      </w:r>
      <w:hyperlink r:id="rId4"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1</w:t>
      </w:r>
      <w:r>
        <w:rPr>
          <w:rFonts w:cs="FrankRuehl" w:hint="cs"/>
          <w:sz w:val="20"/>
          <w:rtl/>
        </w:rPr>
        <w:t xml:space="preserve"> בסעיף 76 לחוק הפיקוח על שירותים פיננסיים (קופות גמל), תשס"ה-2005; תחילתו 90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D4A7" w14:textId="77777777" w:rsidR="001750E2" w:rsidRDefault="001750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להגנה על השקעות הציבור בישראל בנכסים פיננסיים, תשמ"ד–1984</w:t>
    </w:r>
  </w:p>
  <w:p w14:paraId="148BF0F3" w14:textId="77777777" w:rsidR="001750E2" w:rsidRDefault="001750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A74B6E" w14:textId="77777777" w:rsidR="001750E2" w:rsidRDefault="001750E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43CD" w14:textId="77777777" w:rsidR="001750E2" w:rsidRDefault="001750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להגנה על השקעות הציבור בישראל בנכסים פיננסיים, תשמ"ד</w:t>
    </w:r>
    <w:r>
      <w:rPr>
        <w:rFonts w:hAnsi="FrankRuehl" w:cs="FrankRuehl" w:hint="cs"/>
        <w:color w:val="000000"/>
        <w:sz w:val="28"/>
        <w:szCs w:val="28"/>
        <w:rtl/>
      </w:rPr>
      <w:t>-</w:t>
    </w:r>
    <w:r>
      <w:rPr>
        <w:rFonts w:hAnsi="FrankRuehl" w:cs="FrankRuehl"/>
        <w:color w:val="000000"/>
        <w:sz w:val="28"/>
        <w:szCs w:val="28"/>
        <w:rtl/>
      </w:rPr>
      <w:t>1984</w:t>
    </w:r>
  </w:p>
  <w:p w14:paraId="7D05D215" w14:textId="77777777" w:rsidR="001750E2" w:rsidRDefault="001750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595BD3" w14:textId="77777777" w:rsidR="001750E2" w:rsidRDefault="001750E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A32"/>
    <w:rsid w:val="0009273A"/>
    <w:rsid w:val="000F3A32"/>
    <w:rsid w:val="001750E2"/>
    <w:rsid w:val="003453D3"/>
    <w:rsid w:val="005B4262"/>
    <w:rsid w:val="007F663E"/>
    <w:rsid w:val="008C543B"/>
    <w:rsid w:val="00CB54D4"/>
    <w:rsid w:val="00DC074E"/>
    <w:rsid w:val="00EA2A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C23132"/>
  <w15:chartTrackingRefBased/>
  <w15:docId w15:val="{632666FE-3729-45A6-A8BD-F4E8B17A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F3A32"/>
    <w:rPr>
      <w:color w:val="800080"/>
      <w:u w:val="single"/>
    </w:rPr>
  </w:style>
  <w:style w:type="paragraph" w:styleId="a5">
    <w:name w:val="footnote text"/>
    <w:basedOn w:val="a"/>
    <w:semiHidden/>
    <w:rsid w:val="008C543B"/>
    <w:rPr>
      <w:sz w:val="20"/>
      <w:szCs w:val="20"/>
    </w:rPr>
  </w:style>
  <w:style w:type="character" w:styleId="a6">
    <w:name w:val="footnote reference"/>
    <w:basedOn w:val="a0"/>
    <w:semiHidden/>
    <w:rsid w:val="008C54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175.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02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24.pdf" TargetMode="External"/><Relationship Id="rId2" Type="http://schemas.openxmlformats.org/officeDocument/2006/relationships/hyperlink" Target="http://www.nevo.co.il/Law_word/law17/PROP-1691.pdf" TargetMode="External"/><Relationship Id="rId1" Type="http://schemas.openxmlformats.org/officeDocument/2006/relationships/hyperlink" Target="http://www.nevo.co.il/Law_word/law14/LAW-1121.pdf" TargetMode="External"/><Relationship Id="rId4" Type="http://schemas.openxmlformats.org/officeDocument/2006/relationships/hyperlink" Target="http://www.nevo.co.il/Law_word/law15/MEMSHALA-1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91</vt:lpstr>
    </vt:vector>
  </TitlesOfParts>
  <Company/>
  <LinksUpToDate>false</LinksUpToDate>
  <CharactersWithSpaces>2299</CharactersWithSpaces>
  <SharedDoc>false</SharedDoc>
  <HLinks>
    <vt:vector size="66" baseType="variant">
      <vt:variant>
        <vt:i4>8061015</vt:i4>
      </vt:variant>
      <vt:variant>
        <vt:i4>33</vt:i4>
      </vt:variant>
      <vt:variant>
        <vt:i4>0</vt:i4>
      </vt:variant>
      <vt:variant>
        <vt:i4>5</vt:i4>
      </vt:variant>
      <vt:variant>
        <vt:lpwstr>http://www.nevo.co.il/Law_word/law15/MEMSHALA-175.pdf</vt:lpwstr>
      </vt:variant>
      <vt:variant>
        <vt:lpwstr/>
      </vt:variant>
      <vt:variant>
        <vt:i4>8323085</vt:i4>
      </vt:variant>
      <vt:variant>
        <vt:i4>30</vt:i4>
      </vt:variant>
      <vt:variant>
        <vt:i4>0</vt:i4>
      </vt:variant>
      <vt:variant>
        <vt:i4>5</vt:i4>
      </vt:variant>
      <vt:variant>
        <vt:lpwstr>http://www.nevo.co.il/Law_word/law14/LAW-2024.pdf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8061015</vt:i4>
      </vt:variant>
      <vt:variant>
        <vt:i4>9</vt:i4>
      </vt:variant>
      <vt:variant>
        <vt:i4>0</vt:i4>
      </vt:variant>
      <vt:variant>
        <vt:i4>5</vt:i4>
      </vt:variant>
      <vt:variant>
        <vt:lpwstr>http://www.nevo.co.il/Law_word/law15/MEMSHALA-175.pdf</vt:lpwstr>
      </vt:variant>
      <vt:variant>
        <vt:lpwstr/>
      </vt:variant>
      <vt:variant>
        <vt:i4>8323085</vt:i4>
      </vt:variant>
      <vt:variant>
        <vt:i4>6</vt:i4>
      </vt:variant>
      <vt:variant>
        <vt:i4>0</vt:i4>
      </vt:variant>
      <vt:variant>
        <vt:i4>5</vt:i4>
      </vt:variant>
      <vt:variant>
        <vt:lpwstr>http://www.nevo.co.il/Law_word/law14/LAW-2024.pdf</vt:lpwstr>
      </vt:variant>
      <vt:variant>
        <vt:lpwstr/>
      </vt:variant>
      <vt:variant>
        <vt:i4>917621</vt:i4>
      </vt:variant>
      <vt:variant>
        <vt:i4>3</vt:i4>
      </vt:variant>
      <vt:variant>
        <vt:i4>0</vt:i4>
      </vt:variant>
      <vt:variant>
        <vt:i4>5</vt:i4>
      </vt:variant>
      <vt:variant>
        <vt:lpwstr>http://www.nevo.co.il/Law_word/law17/PROP-1691.pdf</vt:lpwstr>
      </vt:variant>
      <vt:variant>
        <vt:lpwstr/>
      </vt:variant>
      <vt:variant>
        <vt:i4>8126473</vt:i4>
      </vt:variant>
      <vt:variant>
        <vt:i4>0</vt:i4>
      </vt:variant>
      <vt:variant>
        <vt:i4>0</vt:i4>
      </vt:variant>
      <vt:variant>
        <vt:i4>5</vt:i4>
      </vt:variant>
      <vt:variant>
        <vt:lpwstr>http://www.nevo.co.il/Law_word/law14/LAW-1121.pdf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91</dc:title>
  <dc:subject/>
  <dc:creator>eli</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0091</vt:lpwstr>
  </property>
  <property fmtid="{D5CDD505-2E9C-101B-9397-08002B2CF9AE}" pid="3" name="CHNAME">
    <vt:lpwstr>הגנה על השקעות הציבור</vt:lpwstr>
  </property>
  <property fmtid="{D5CDD505-2E9C-101B-9397-08002B2CF9AE}" pid="4" name="LAWNAME">
    <vt:lpwstr>חוק להגנה על השקעות הציבור בישראל בנכסים פיננסיים, תשמ"ד-1984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http://www.nevo.co.il/Law_word/law14/LAW-2024.pdf;רשומות – ספר חוקים#תוקן ס"ח תשס"ה מס' 2024#מיום 10.8.2005#עמ' 914#תיקון מס' 1 בסעיף 76 לחוק הפיקוח על שירותים פיננסיים (קופות גמל), תשס"ה-2005; תחילתו 90 ימים מיום פרסומו</vt:lpwstr>
  </property>
  <property fmtid="{D5CDD505-2E9C-101B-9397-08002B2CF9AE}" pid="8" name="LINKK2">
    <vt:lpwstr>http://www.nevo.co.il/Law_word/law15/MEMSHALA-175.pdf;רשומות – הצעות חוק ממשלה ודברי הסבר#ה"ח הממשלה תשס"ה מס' 175#עמ' 767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השקעות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