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20B7" w14:textId="77777777" w:rsidR="005F7168" w:rsidRDefault="005F7168">
      <w:pPr>
        <w:pStyle w:val="big-header"/>
        <w:ind w:left="0" w:right="1134"/>
        <w:rPr>
          <w:rFonts w:cs="FrankRuehl"/>
          <w:sz w:val="32"/>
        </w:rPr>
      </w:pPr>
      <w:r>
        <w:rPr>
          <w:rFonts w:cs="FrankRuehl" w:hint="cs"/>
          <w:sz w:val="32"/>
          <w:rtl/>
        </w:rPr>
        <w:t>חוק להגנת מעגלים משולבים, תש"ס-1999</w:t>
      </w:r>
    </w:p>
    <w:p w14:paraId="3CA4E45F" w14:textId="77777777" w:rsidR="00CF1125" w:rsidRPr="00CF1125" w:rsidRDefault="00CF1125" w:rsidP="00CF1125">
      <w:pPr>
        <w:spacing w:line="320" w:lineRule="auto"/>
        <w:rPr>
          <w:rFonts w:cs="FrankRuehl"/>
          <w:szCs w:val="26"/>
          <w:rtl/>
        </w:rPr>
      </w:pPr>
    </w:p>
    <w:p w14:paraId="1CD9ECD3" w14:textId="77777777" w:rsidR="00CF1125" w:rsidRDefault="00CF1125" w:rsidP="00CF1125">
      <w:pPr>
        <w:spacing w:line="320" w:lineRule="auto"/>
        <w:rPr>
          <w:rtl/>
        </w:rPr>
      </w:pPr>
    </w:p>
    <w:p w14:paraId="6F5F2C19" w14:textId="77777777" w:rsidR="00CF1125" w:rsidRPr="00CF1125" w:rsidRDefault="00CF1125" w:rsidP="00CF1125">
      <w:pPr>
        <w:spacing w:line="320" w:lineRule="auto"/>
        <w:rPr>
          <w:rFonts w:cs="Miriam"/>
          <w:szCs w:val="22"/>
          <w:rtl/>
        </w:rPr>
      </w:pPr>
      <w:r w:rsidRPr="00CF1125">
        <w:rPr>
          <w:rFonts w:cs="Miriam"/>
          <w:szCs w:val="22"/>
          <w:rtl/>
        </w:rPr>
        <w:t>משפט פרטי וכלכלה</w:t>
      </w:r>
      <w:r w:rsidRPr="00CF1125">
        <w:rPr>
          <w:rFonts w:cs="FrankRuehl"/>
          <w:szCs w:val="26"/>
          <w:rtl/>
        </w:rPr>
        <w:t xml:space="preserve"> – קניין – קניין רוחני – פטנטים</w:t>
      </w:r>
    </w:p>
    <w:p w14:paraId="312BA5EE" w14:textId="77777777" w:rsidR="005F7168" w:rsidRDefault="005F7168">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B05B7" w:rsidRPr="009B05B7" w14:paraId="24F5F9EC" w14:textId="77777777" w:rsidTr="009B05B7">
        <w:tblPrEx>
          <w:tblCellMar>
            <w:top w:w="0" w:type="dxa"/>
            <w:bottom w:w="0" w:type="dxa"/>
          </w:tblCellMar>
        </w:tblPrEx>
        <w:tc>
          <w:tcPr>
            <w:tcW w:w="1247" w:type="dxa"/>
          </w:tcPr>
          <w:p w14:paraId="72897632" w14:textId="77777777" w:rsidR="009B05B7" w:rsidRPr="009B05B7" w:rsidRDefault="009B05B7" w:rsidP="009B05B7">
            <w:pPr>
              <w:rPr>
                <w:rFonts w:cs="Frankruhel"/>
                <w:rtl/>
              </w:rPr>
            </w:pPr>
            <w:r>
              <w:rPr>
                <w:rtl/>
              </w:rPr>
              <w:t xml:space="preserve">סעיף 1 </w:t>
            </w:r>
          </w:p>
        </w:tc>
        <w:tc>
          <w:tcPr>
            <w:tcW w:w="5669" w:type="dxa"/>
          </w:tcPr>
          <w:p w14:paraId="1E885B18" w14:textId="77777777" w:rsidR="009B05B7" w:rsidRPr="009B05B7" w:rsidRDefault="009B05B7" w:rsidP="009B05B7">
            <w:pPr>
              <w:rPr>
                <w:rFonts w:cs="Frankruhel"/>
                <w:rtl/>
              </w:rPr>
            </w:pPr>
            <w:r>
              <w:rPr>
                <w:rtl/>
              </w:rPr>
              <w:t>הגדרות</w:t>
            </w:r>
          </w:p>
        </w:tc>
        <w:tc>
          <w:tcPr>
            <w:tcW w:w="567" w:type="dxa"/>
          </w:tcPr>
          <w:p w14:paraId="701B762B" w14:textId="77777777" w:rsidR="009B05B7" w:rsidRPr="009B05B7" w:rsidRDefault="009B05B7" w:rsidP="009B05B7">
            <w:pPr>
              <w:rPr>
                <w:rStyle w:val="Hyperlink"/>
                <w:rtl/>
              </w:rPr>
            </w:pPr>
            <w:hyperlink w:anchor="Seif1" w:tooltip="הגדרות" w:history="1">
              <w:r w:rsidRPr="009B05B7">
                <w:rPr>
                  <w:rStyle w:val="Hyperlink"/>
                </w:rPr>
                <w:t>Go</w:t>
              </w:r>
            </w:hyperlink>
          </w:p>
        </w:tc>
        <w:tc>
          <w:tcPr>
            <w:tcW w:w="850" w:type="dxa"/>
          </w:tcPr>
          <w:p w14:paraId="68913047"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B05B7" w:rsidRPr="009B05B7" w14:paraId="372AC8A3" w14:textId="77777777" w:rsidTr="009B05B7">
        <w:tblPrEx>
          <w:tblCellMar>
            <w:top w:w="0" w:type="dxa"/>
            <w:bottom w:w="0" w:type="dxa"/>
          </w:tblCellMar>
        </w:tblPrEx>
        <w:tc>
          <w:tcPr>
            <w:tcW w:w="1247" w:type="dxa"/>
          </w:tcPr>
          <w:p w14:paraId="0B819C51" w14:textId="77777777" w:rsidR="009B05B7" w:rsidRPr="009B05B7" w:rsidRDefault="009B05B7" w:rsidP="009B05B7">
            <w:pPr>
              <w:rPr>
                <w:rFonts w:cs="Frankruhel"/>
                <w:rtl/>
              </w:rPr>
            </w:pPr>
            <w:r>
              <w:rPr>
                <w:rtl/>
              </w:rPr>
              <w:t xml:space="preserve">סעיף 2 </w:t>
            </w:r>
          </w:p>
        </w:tc>
        <w:tc>
          <w:tcPr>
            <w:tcW w:w="5669" w:type="dxa"/>
          </w:tcPr>
          <w:p w14:paraId="06569124" w14:textId="77777777" w:rsidR="009B05B7" w:rsidRPr="009B05B7" w:rsidRDefault="009B05B7" w:rsidP="009B05B7">
            <w:pPr>
              <w:rPr>
                <w:rFonts w:cs="Frankruhel"/>
                <w:rtl/>
              </w:rPr>
            </w:pPr>
            <w:r>
              <w:rPr>
                <w:rtl/>
              </w:rPr>
              <w:t>תחום תחולתו של החוק</w:t>
            </w:r>
          </w:p>
        </w:tc>
        <w:tc>
          <w:tcPr>
            <w:tcW w:w="567" w:type="dxa"/>
          </w:tcPr>
          <w:p w14:paraId="420AD105" w14:textId="77777777" w:rsidR="009B05B7" w:rsidRPr="009B05B7" w:rsidRDefault="009B05B7" w:rsidP="009B05B7">
            <w:pPr>
              <w:rPr>
                <w:rStyle w:val="Hyperlink"/>
                <w:rtl/>
              </w:rPr>
            </w:pPr>
            <w:hyperlink w:anchor="Seif2" w:tooltip="תחום תחולתו של החוק" w:history="1">
              <w:r w:rsidRPr="009B05B7">
                <w:rPr>
                  <w:rStyle w:val="Hyperlink"/>
                </w:rPr>
                <w:t>Go</w:t>
              </w:r>
            </w:hyperlink>
          </w:p>
        </w:tc>
        <w:tc>
          <w:tcPr>
            <w:tcW w:w="850" w:type="dxa"/>
          </w:tcPr>
          <w:p w14:paraId="34017679"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B05B7" w:rsidRPr="009B05B7" w14:paraId="79278D49" w14:textId="77777777" w:rsidTr="009B05B7">
        <w:tblPrEx>
          <w:tblCellMar>
            <w:top w:w="0" w:type="dxa"/>
            <w:bottom w:w="0" w:type="dxa"/>
          </w:tblCellMar>
        </w:tblPrEx>
        <w:tc>
          <w:tcPr>
            <w:tcW w:w="1247" w:type="dxa"/>
          </w:tcPr>
          <w:p w14:paraId="7F5FF665" w14:textId="77777777" w:rsidR="009B05B7" w:rsidRPr="009B05B7" w:rsidRDefault="009B05B7" w:rsidP="009B05B7">
            <w:pPr>
              <w:rPr>
                <w:rFonts w:cs="Frankruhel"/>
                <w:rtl/>
              </w:rPr>
            </w:pPr>
            <w:r>
              <w:rPr>
                <w:rtl/>
              </w:rPr>
              <w:t xml:space="preserve">סעיף 3 </w:t>
            </w:r>
          </w:p>
        </w:tc>
        <w:tc>
          <w:tcPr>
            <w:tcW w:w="5669" w:type="dxa"/>
          </w:tcPr>
          <w:p w14:paraId="1F7C7116" w14:textId="77777777" w:rsidR="009B05B7" w:rsidRPr="009B05B7" w:rsidRDefault="009B05B7" w:rsidP="009B05B7">
            <w:pPr>
              <w:rPr>
                <w:rFonts w:cs="Frankruhel"/>
                <w:rtl/>
              </w:rPr>
            </w:pPr>
            <w:r>
              <w:rPr>
                <w:rtl/>
              </w:rPr>
              <w:t>דרישת המקוריות</w:t>
            </w:r>
          </w:p>
        </w:tc>
        <w:tc>
          <w:tcPr>
            <w:tcW w:w="567" w:type="dxa"/>
          </w:tcPr>
          <w:p w14:paraId="040B1E28" w14:textId="77777777" w:rsidR="009B05B7" w:rsidRPr="009B05B7" w:rsidRDefault="009B05B7" w:rsidP="009B05B7">
            <w:pPr>
              <w:rPr>
                <w:rStyle w:val="Hyperlink"/>
                <w:rtl/>
              </w:rPr>
            </w:pPr>
            <w:hyperlink w:anchor="Seif3" w:tooltip="דרישת המקוריות" w:history="1">
              <w:r w:rsidRPr="009B05B7">
                <w:rPr>
                  <w:rStyle w:val="Hyperlink"/>
                </w:rPr>
                <w:t>Go</w:t>
              </w:r>
            </w:hyperlink>
          </w:p>
        </w:tc>
        <w:tc>
          <w:tcPr>
            <w:tcW w:w="850" w:type="dxa"/>
          </w:tcPr>
          <w:p w14:paraId="39908ABF"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B05B7" w:rsidRPr="009B05B7" w14:paraId="2C6B0EFF" w14:textId="77777777" w:rsidTr="009B05B7">
        <w:tblPrEx>
          <w:tblCellMar>
            <w:top w:w="0" w:type="dxa"/>
            <w:bottom w:w="0" w:type="dxa"/>
          </w:tblCellMar>
        </w:tblPrEx>
        <w:tc>
          <w:tcPr>
            <w:tcW w:w="1247" w:type="dxa"/>
          </w:tcPr>
          <w:p w14:paraId="7D6429CB" w14:textId="77777777" w:rsidR="009B05B7" w:rsidRPr="009B05B7" w:rsidRDefault="009B05B7" w:rsidP="009B05B7">
            <w:pPr>
              <w:rPr>
                <w:rFonts w:cs="Frankruhel"/>
                <w:rtl/>
              </w:rPr>
            </w:pPr>
            <w:r>
              <w:rPr>
                <w:rtl/>
              </w:rPr>
              <w:t xml:space="preserve">סעיף 4 </w:t>
            </w:r>
          </w:p>
        </w:tc>
        <w:tc>
          <w:tcPr>
            <w:tcW w:w="5669" w:type="dxa"/>
          </w:tcPr>
          <w:p w14:paraId="06A44FC1" w14:textId="77777777" w:rsidR="009B05B7" w:rsidRPr="009B05B7" w:rsidRDefault="009B05B7" w:rsidP="009B05B7">
            <w:pPr>
              <w:rPr>
                <w:rFonts w:cs="Frankruhel"/>
                <w:rtl/>
              </w:rPr>
            </w:pPr>
            <w:r>
              <w:rPr>
                <w:rtl/>
              </w:rPr>
              <w:t>הבעל הראשון של הטופוגרפיה</w:t>
            </w:r>
          </w:p>
        </w:tc>
        <w:tc>
          <w:tcPr>
            <w:tcW w:w="567" w:type="dxa"/>
          </w:tcPr>
          <w:p w14:paraId="68944E17" w14:textId="77777777" w:rsidR="009B05B7" w:rsidRPr="009B05B7" w:rsidRDefault="009B05B7" w:rsidP="009B05B7">
            <w:pPr>
              <w:rPr>
                <w:rStyle w:val="Hyperlink"/>
                <w:rtl/>
              </w:rPr>
            </w:pPr>
            <w:hyperlink w:anchor="Seif9" w:tooltip="הבעל הראשון של הטופוגרפיה" w:history="1">
              <w:r w:rsidRPr="009B05B7">
                <w:rPr>
                  <w:rStyle w:val="Hyperlink"/>
                </w:rPr>
                <w:t>Go</w:t>
              </w:r>
            </w:hyperlink>
          </w:p>
        </w:tc>
        <w:tc>
          <w:tcPr>
            <w:tcW w:w="850" w:type="dxa"/>
          </w:tcPr>
          <w:p w14:paraId="1C84C44A"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2</w:t>
            </w:r>
            <w:r>
              <w:rPr>
                <w:rFonts w:cs="Frankruhel"/>
                <w:rtl/>
              </w:rPr>
              <w:fldChar w:fldCharType="end"/>
            </w:r>
          </w:p>
        </w:tc>
      </w:tr>
      <w:tr w:rsidR="009B05B7" w:rsidRPr="009B05B7" w14:paraId="166B0569" w14:textId="77777777" w:rsidTr="009B05B7">
        <w:tblPrEx>
          <w:tblCellMar>
            <w:top w:w="0" w:type="dxa"/>
            <w:bottom w:w="0" w:type="dxa"/>
          </w:tblCellMar>
        </w:tblPrEx>
        <w:tc>
          <w:tcPr>
            <w:tcW w:w="1247" w:type="dxa"/>
          </w:tcPr>
          <w:p w14:paraId="222B0463" w14:textId="77777777" w:rsidR="009B05B7" w:rsidRPr="009B05B7" w:rsidRDefault="009B05B7" w:rsidP="009B05B7">
            <w:pPr>
              <w:rPr>
                <w:rFonts w:cs="Frankruhel"/>
                <w:rtl/>
              </w:rPr>
            </w:pPr>
            <w:r>
              <w:rPr>
                <w:rtl/>
              </w:rPr>
              <w:t xml:space="preserve">סעיף 5 </w:t>
            </w:r>
          </w:p>
        </w:tc>
        <w:tc>
          <w:tcPr>
            <w:tcW w:w="5669" w:type="dxa"/>
          </w:tcPr>
          <w:p w14:paraId="675402D5" w14:textId="77777777" w:rsidR="009B05B7" w:rsidRPr="009B05B7" w:rsidRDefault="009B05B7" w:rsidP="009B05B7">
            <w:pPr>
              <w:rPr>
                <w:rFonts w:cs="Frankruhel"/>
                <w:rtl/>
              </w:rPr>
            </w:pPr>
            <w:r>
              <w:rPr>
                <w:rtl/>
              </w:rPr>
              <w:t>העברה ורשיון   דרישת כתב</w:t>
            </w:r>
          </w:p>
        </w:tc>
        <w:tc>
          <w:tcPr>
            <w:tcW w:w="567" w:type="dxa"/>
          </w:tcPr>
          <w:p w14:paraId="1CFDA06A" w14:textId="77777777" w:rsidR="009B05B7" w:rsidRPr="009B05B7" w:rsidRDefault="009B05B7" w:rsidP="009B05B7">
            <w:pPr>
              <w:rPr>
                <w:rStyle w:val="Hyperlink"/>
                <w:rtl/>
              </w:rPr>
            </w:pPr>
            <w:hyperlink w:anchor="Seif4" w:tooltip="העברה ורשיון   דרישת כתב" w:history="1">
              <w:r w:rsidRPr="009B05B7">
                <w:rPr>
                  <w:rStyle w:val="Hyperlink"/>
                </w:rPr>
                <w:t>Go</w:t>
              </w:r>
            </w:hyperlink>
          </w:p>
        </w:tc>
        <w:tc>
          <w:tcPr>
            <w:tcW w:w="850" w:type="dxa"/>
          </w:tcPr>
          <w:p w14:paraId="48FFBFB9"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9B05B7" w:rsidRPr="009B05B7" w14:paraId="6D1E21EF" w14:textId="77777777" w:rsidTr="009B05B7">
        <w:tblPrEx>
          <w:tblCellMar>
            <w:top w:w="0" w:type="dxa"/>
            <w:bottom w:w="0" w:type="dxa"/>
          </w:tblCellMar>
        </w:tblPrEx>
        <w:tc>
          <w:tcPr>
            <w:tcW w:w="1247" w:type="dxa"/>
          </w:tcPr>
          <w:p w14:paraId="22BB4186" w14:textId="77777777" w:rsidR="009B05B7" w:rsidRPr="009B05B7" w:rsidRDefault="009B05B7" w:rsidP="009B05B7">
            <w:pPr>
              <w:rPr>
                <w:rFonts w:cs="Frankruhel"/>
                <w:rtl/>
              </w:rPr>
            </w:pPr>
            <w:r>
              <w:rPr>
                <w:rtl/>
              </w:rPr>
              <w:t xml:space="preserve">סעיף 6 </w:t>
            </w:r>
          </w:p>
        </w:tc>
        <w:tc>
          <w:tcPr>
            <w:tcW w:w="5669" w:type="dxa"/>
          </w:tcPr>
          <w:p w14:paraId="04CD63E3" w14:textId="77777777" w:rsidR="009B05B7" w:rsidRPr="009B05B7" w:rsidRDefault="009B05B7" w:rsidP="009B05B7">
            <w:pPr>
              <w:rPr>
                <w:rFonts w:cs="Frankruhel"/>
                <w:rtl/>
              </w:rPr>
            </w:pPr>
            <w:r>
              <w:rPr>
                <w:rtl/>
              </w:rPr>
              <w:t>מהות הזכות הבלעדית</w:t>
            </w:r>
          </w:p>
        </w:tc>
        <w:tc>
          <w:tcPr>
            <w:tcW w:w="567" w:type="dxa"/>
          </w:tcPr>
          <w:p w14:paraId="567DA367" w14:textId="77777777" w:rsidR="009B05B7" w:rsidRPr="009B05B7" w:rsidRDefault="009B05B7" w:rsidP="009B05B7">
            <w:pPr>
              <w:rPr>
                <w:rStyle w:val="Hyperlink"/>
                <w:rtl/>
              </w:rPr>
            </w:pPr>
            <w:hyperlink w:anchor="Seif5" w:tooltip="מהות הזכות הבלעדית" w:history="1">
              <w:r w:rsidRPr="009B05B7">
                <w:rPr>
                  <w:rStyle w:val="Hyperlink"/>
                </w:rPr>
                <w:t>Go</w:t>
              </w:r>
            </w:hyperlink>
          </w:p>
        </w:tc>
        <w:tc>
          <w:tcPr>
            <w:tcW w:w="850" w:type="dxa"/>
          </w:tcPr>
          <w:p w14:paraId="2CF27924"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9B05B7" w:rsidRPr="009B05B7" w14:paraId="2BE6806D" w14:textId="77777777" w:rsidTr="009B05B7">
        <w:tblPrEx>
          <w:tblCellMar>
            <w:top w:w="0" w:type="dxa"/>
            <w:bottom w:w="0" w:type="dxa"/>
          </w:tblCellMar>
        </w:tblPrEx>
        <w:tc>
          <w:tcPr>
            <w:tcW w:w="1247" w:type="dxa"/>
          </w:tcPr>
          <w:p w14:paraId="3808AF15" w14:textId="77777777" w:rsidR="009B05B7" w:rsidRPr="009B05B7" w:rsidRDefault="009B05B7" w:rsidP="009B05B7">
            <w:pPr>
              <w:rPr>
                <w:rFonts w:cs="Frankruhel"/>
                <w:rtl/>
              </w:rPr>
            </w:pPr>
            <w:r>
              <w:rPr>
                <w:rtl/>
              </w:rPr>
              <w:t xml:space="preserve">סעיף 7 </w:t>
            </w:r>
          </w:p>
        </w:tc>
        <w:tc>
          <w:tcPr>
            <w:tcW w:w="5669" w:type="dxa"/>
          </w:tcPr>
          <w:p w14:paraId="403189C7" w14:textId="77777777" w:rsidR="009B05B7" w:rsidRPr="009B05B7" w:rsidRDefault="009B05B7" w:rsidP="009B05B7">
            <w:pPr>
              <w:rPr>
                <w:rFonts w:cs="Frankruhel"/>
                <w:rtl/>
              </w:rPr>
            </w:pPr>
            <w:r>
              <w:rPr>
                <w:rtl/>
              </w:rPr>
              <w:t>טופוגרפיות מקוריות אחרות</w:t>
            </w:r>
          </w:p>
        </w:tc>
        <w:tc>
          <w:tcPr>
            <w:tcW w:w="567" w:type="dxa"/>
          </w:tcPr>
          <w:p w14:paraId="477F6644" w14:textId="77777777" w:rsidR="009B05B7" w:rsidRPr="009B05B7" w:rsidRDefault="009B05B7" w:rsidP="009B05B7">
            <w:pPr>
              <w:rPr>
                <w:rStyle w:val="Hyperlink"/>
                <w:rtl/>
              </w:rPr>
            </w:pPr>
            <w:hyperlink w:anchor="Seif10" w:tooltip="טופוגרפיות מקוריות אחרות" w:history="1">
              <w:r w:rsidRPr="009B05B7">
                <w:rPr>
                  <w:rStyle w:val="Hyperlink"/>
                </w:rPr>
                <w:t>Go</w:t>
              </w:r>
            </w:hyperlink>
          </w:p>
        </w:tc>
        <w:tc>
          <w:tcPr>
            <w:tcW w:w="850" w:type="dxa"/>
          </w:tcPr>
          <w:p w14:paraId="7D8329C6"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9B05B7" w:rsidRPr="009B05B7" w14:paraId="0A6D0159" w14:textId="77777777" w:rsidTr="009B05B7">
        <w:tblPrEx>
          <w:tblCellMar>
            <w:top w:w="0" w:type="dxa"/>
            <w:bottom w:w="0" w:type="dxa"/>
          </w:tblCellMar>
        </w:tblPrEx>
        <w:tc>
          <w:tcPr>
            <w:tcW w:w="1247" w:type="dxa"/>
          </w:tcPr>
          <w:p w14:paraId="44D993DD" w14:textId="77777777" w:rsidR="009B05B7" w:rsidRPr="009B05B7" w:rsidRDefault="009B05B7" w:rsidP="009B05B7">
            <w:pPr>
              <w:rPr>
                <w:rFonts w:cs="Frankruhel"/>
                <w:rtl/>
              </w:rPr>
            </w:pPr>
            <w:r>
              <w:rPr>
                <w:rtl/>
              </w:rPr>
              <w:t xml:space="preserve">סעיף 8 </w:t>
            </w:r>
          </w:p>
        </w:tc>
        <w:tc>
          <w:tcPr>
            <w:tcW w:w="5669" w:type="dxa"/>
          </w:tcPr>
          <w:p w14:paraId="6A0A5CF3" w14:textId="77777777" w:rsidR="009B05B7" w:rsidRPr="009B05B7" w:rsidRDefault="009B05B7" w:rsidP="009B05B7">
            <w:pPr>
              <w:rPr>
                <w:rFonts w:cs="Frankruhel"/>
                <w:rtl/>
              </w:rPr>
            </w:pPr>
            <w:r>
              <w:rPr>
                <w:rtl/>
              </w:rPr>
              <w:t>מיצוי זכויות</w:t>
            </w:r>
          </w:p>
        </w:tc>
        <w:tc>
          <w:tcPr>
            <w:tcW w:w="567" w:type="dxa"/>
          </w:tcPr>
          <w:p w14:paraId="2A9CC40D" w14:textId="77777777" w:rsidR="009B05B7" w:rsidRPr="009B05B7" w:rsidRDefault="009B05B7" w:rsidP="009B05B7">
            <w:pPr>
              <w:rPr>
                <w:rStyle w:val="Hyperlink"/>
                <w:rtl/>
              </w:rPr>
            </w:pPr>
            <w:hyperlink w:anchor="Seif6" w:tooltip="מיצוי זכויות" w:history="1">
              <w:r w:rsidRPr="009B05B7">
                <w:rPr>
                  <w:rStyle w:val="Hyperlink"/>
                </w:rPr>
                <w:t>Go</w:t>
              </w:r>
            </w:hyperlink>
          </w:p>
        </w:tc>
        <w:tc>
          <w:tcPr>
            <w:tcW w:w="850" w:type="dxa"/>
          </w:tcPr>
          <w:p w14:paraId="5B19DE2B"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9B05B7" w:rsidRPr="009B05B7" w14:paraId="0E6D8F7E" w14:textId="77777777" w:rsidTr="009B05B7">
        <w:tblPrEx>
          <w:tblCellMar>
            <w:top w:w="0" w:type="dxa"/>
            <w:bottom w:w="0" w:type="dxa"/>
          </w:tblCellMar>
        </w:tblPrEx>
        <w:tc>
          <w:tcPr>
            <w:tcW w:w="1247" w:type="dxa"/>
          </w:tcPr>
          <w:p w14:paraId="12D97220" w14:textId="77777777" w:rsidR="009B05B7" w:rsidRPr="009B05B7" w:rsidRDefault="009B05B7" w:rsidP="009B05B7">
            <w:pPr>
              <w:rPr>
                <w:rFonts w:cs="Frankruhel"/>
                <w:rtl/>
              </w:rPr>
            </w:pPr>
            <w:r>
              <w:rPr>
                <w:rtl/>
              </w:rPr>
              <w:t xml:space="preserve">סעיף 9 </w:t>
            </w:r>
          </w:p>
        </w:tc>
        <w:tc>
          <w:tcPr>
            <w:tcW w:w="5669" w:type="dxa"/>
          </w:tcPr>
          <w:p w14:paraId="3AFBF158" w14:textId="77777777" w:rsidR="009B05B7" w:rsidRPr="009B05B7" w:rsidRDefault="009B05B7" w:rsidP="009B05B7">
            <w:pPr>
              <w:rPr>
                <w:rFonts w:cs="Frankruhel"/>
                <w:rtl/>
              </w:rPr>
            </w:pPr>
            <w:r>
              <w:rPr>
                <w:rtl/>
              </w:rPr>
              <w:t>תקופת ההגנה</w:t>
            </w:r>
          </w:p>
        </w:tc>
        <w:tc>
          <w:tcPr>
            <w:tcW w:w="567" w:type="dxa"/>
          </w:tcPr>
          <w:p w14:paraId="6E668DE4" w14:textId="77777777" w:rsidR="009B05B7" w:rsidRPr="009B05B7" w:rsidRDefault="009B05B7" w:rsidP="009B05B7">
            <w:pPr>
              <w:rPr>
                <w:rStyle w:val="Hyperlink"/>
                <w:rtl/>
              </w:rPr>
            </w:pPr>
            <w:hyperlink w:anchor="Seif7" w:tooltip="תקופת ההגנה" w:history="1">
              <w:r w:rsidRPr="009B05B7">
                <w:rPr>
                  <w:rStyle w:val="Hyperlink"/>
                </w:rPr>
                <w:t>Go</w:t>
              </w:r>
            </w:hyperlink>
          </w:p>
        </w:tc>
        <w:tc>
          <w:tcPr>
            <w:tcW w:w="850" w:type="dxa"/>
          </w:tcPr>
          <w:p w14:paraId="6F5E4442"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9B05B7" w:rsidRPr="009B05B7" w14:paraId="0A2225D1" w14:textId="77777777" w:rsidTr="009B05B7">
        <w:tblPrEx>
          <w:tblCellMar>
            <w:top w:w="0" w:type="dxa"/>
            <w:bottom w:w="0" w:type="dxa"/>
          </w:tblCellMar>
        </w:tblPrEx>
        <w:tc>
          <w:tcPr>
            <w:tcW w:w="1247" w:type="dxa"/>
          </w:tcPr>
          <w:p w14:paraId="1C267D76" w14:textId="77777777" w:rsidR="009B05B7" w:rsidRPr="009B05B7" w:rsidRDefault="009B05B7" w:rsidP="009B05B7">
            <w:pPr>
              <w:rPr>
                <w:rFonts w:cs="Frankruhel"/>
                <w:rtl/>
              </w:rPr>
            </w:pPr>
            <w:r>
              <w:rPr>
                <w:rtl/>
              </w:rPr>
              <w:t xml:space="preserve">סעיף 10 </w:t>
            </w:r>
          </w:p>
        </w:tc>
        <w:tc>
          <w:tcPr>
            <w:tcW w:w="5669" w:type="dxa"/>
          </w:tcPr>
          <w:p w14:paraId="0BA7E38C" w14:textId="77777777" w:rsidR="009B05B7" w:rsidRPr="009B05B7" w:rsidRDefault="009B05B7" w:rsidP="009B05B7">
            <w:pPr>
              <w:rPr>
                <w:rFonts w:cs="Frankruhel"/>
                <w:rtl/>
              </w:rPr>
            </w:pPr>
            <w:r>
              <w:rPr>
                <w:rtl/>
              </w:rPr>
              <w:t>הפרת הזכות הבלעדית   עוולה</w:t>
            </w:r>
          </w:p>
        </w:tc>
        <w:tc>
          <w:tcPr>
            <w:tcW w:w="567" w:type="dxa"/>
          </w:tcPr>
          <w:p w14:paraId="42D136DE" w14:textId="77777777" w:rsidR="009B05B7" w:rsidRPr="009B05B7" w:rsidRDefault="009B05B7" w:rsidP="009B05B7">
            <w:pPr>
              <w:rPr>
                <w:rStyle w:val="Hyperlink"/>
                <w:rtl/>
              </w:rPr>
            </w:pPr>
            <w:hyperlink w:anchor="Seif8" w:tooltip="הפרת הזכות הבלעדית   עוולה" w:history="1">
              <w:r w:rsidRPr="009B05B7">
                <w:rPr>
                  <w:rStyle w:val="Hyperlink"/>
                </w:rPr>
                <w:t>Go</w:t>
              </w:r>
            </w:hyperlink>
          </w:p>
        </w:tc>
        <w:tc>
          <w:tcPr>
            <w:tcW w:w="850" w:type="dxa"/>
          </w:tcPr>
          <w:p w14:paraId="6F32C7A6"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9B05B7" w:rsidRPr="009B05B7" w14:paraId="7392AED5" w14:textId="77777777" w:rsidTr="009B05B7">
        <w:tblPrEx>
          <w:tblCellMar>
            <w:top w:w="0" w:type="dxa"/>
            <w:bottom w:w="0" w:type="dxa"/>
          </w:tblCellMar>
        </w:tblPrEx>
        <w:tc>
          <w:tcPr>
            <w:tcW w:w="1247" w:type="dxa"/>
          </w:tcPr>
          <w:p w14:paraId="5B1175CD" w14:textId="77777777" w:rsidR="009B05B7" w:rsidRPr="009B05B7" w:rsidRDefault="009B05B7" w:rsidP="009B05B7">
            <w:pPr>
              <w:rPr>
                <w:rFonts w:cs="Frankruhel"/>
                <w:rtl/>
              </w:rPr>
            </w:pPr>
            <w:r>
              <w:rPr>
                <w:rtl/>
              </w:rPr>
              <w:t xml:space="preserve">סעיף 11 </w:t>
            </w:r>
          </w:p>
        </w:tc>
        <w:tc>
          <w:tcPr>
            <w:tcW w:w="5669" w:type="dxa"/>
          </w:tcPr>
          <w:p w14:paraId="47E12020" w14:textId="77777777" w:rsidR="009B05B7" w:rsidRPr="009B05B7" w:rsidRDefault="009B05B7" w:rsidP="009B05B7">
            <w:pPr>
              <w:rPr>
                <w:rFonts w:cs="Frankruhel"/>
                <w:rtl/>
              </w:rPr>
            </w:pPr>
            <w:r>
              <w:rPr>
                <w:rtl/>
              </w:rPr>
              <w:t>פעולות מותרות</w:t>
            </w:r>
          </w:p>
        </w:tc>
        <w:tc>
          <w:tcPr>
            <w:tcW w:w="567" w:type="dxa"/>
          </w:tcPr>
          <w:p w14:paraId="229A3F9F" w14:textId="77777777" w:rsidR="009B05B7" w:rsidRPr="009B05B7" w:rsidRDefault="009B05B7" w:rsidP="009B05B7">
            <w:pPr>
              <w:rPr>
                <w:rStyle w:val="Hyperlink"/>
                <w:rtl/>
              </w:rPr>
            </w:pPr>
            <w:hyperlink w:anchor="Seif11" w:tooltip="פעולות מותרות" w:history="1">
              <w:r w:rsidRPr="009B05B7">
                <w:rPr>
                  <w:rStyle w:val="Hyperlink"/>
                </w:rPr>
                <w:t>Go</w:t>
              </w:r>
            </w:hyperlink>
          </w:p>
        </w:tc>
        <w:tc>
          <w:tcPr>
            <w:tcW w:w="850" w:type="dxa"/>
          </w:tcPr>
          <w:p w14:paraId="128781FE"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9B05B7" w:rsidRPr="009B05B7" w14:paraId="3E5F4950" w14:textId="77777777" w:rsidTr="009B05B7">
        <w:tblPrEx>
          <w:tblCellMar>
            <w:top w:w="0" w:type="dxa"/>
            <w:bottom w:w="0" w:type="dxa"/>
          </w:tblCellMar>
        </w:tblPrEx>
        <w:tc>
          <w:tcPr>
            <w:tcW w:w="1247" w:type="dxa"/>
          </w:tcPr>
          <w:p w14:paraId="5D4A1F1B" w14:textId="77777777" w:rsidR="009B05B7" w:rsidRPr="009B05B7" w:rsidRDefault="009B05B7" w:rsidP="009B05B7">
            <w:pPr>
              <w:rPr>
                <w:rFonts w:cs="Frankruhel"/>
                <w:rtl/>
              </w:rPr>
            </w:pPr>
            <w:r>
              <w:rPr>
                <w:rtl/>
              </w:rPr>
              <w:t xml:space="preserve">סעיף 12 </w:t>
            </w:r>
          </w:p>
        </w:tc>
        <w:tc>
          <w:tcPr>
            <w:tcW w:w="5669" w:type="dxa"/>
          </w:tcPr>
          <w:p w14:paraId="7F984737" w14:textId="77777777" w:rsidR="009B05B7" w:rsidRPr="009B05B7" w:rsidRDefault="009B05B7" w:rsidP="009B05B7">
            <w:pPr>
              <w:rPr>
                <w:rFonts w:cs="Frankruhel"/>
                <w:rtl/>
              </w:rPr>
            </w:pPr>
            <w:r>
              <w:rPr>
                <w:rtl/>
              </w:rPr>
              <w:t>אי ידיעה על הפרה</w:t>
            </w:r>
          </w:p>
        </w:tc>
        <w:tc>
          <w:tcPr>
            <w:tcW w:w="567" w:type="dxa"/>
          </w:tcPr>
          <w:p w14:paraId="0FF10537" w14:textId="77777777" w:rsidR="009B05B7" w:rsidRPr="009B05B7" w:rsidRDefault="009B05B7" w:rsidP="009B05B7">
            <w:pPr>
              <w:rPr>
                <w:rStyle w:val="Hyperlink"/>
                <w:rtl/>
              </w:rPr>
            </w:pPr>
            <w:hyperlink w:anchor="Seif12" w:tooltip="אי ידיעה על הפרה" w:history="1">
              <w:r w:rsidRPr="009B05B7">
                <w:rPr>
                  <w:rStyle w:val="Hyperlink"/>
                </w:rPr>
                <w:t>Go</w:t>
              </w:r>
            </w:hyperlink>
          </w:p>
        </w:tc>
        <w:tc>
          <w:tcPr>
            <w:tcW w:w="850" w:type="dxa"/>
          </w:tcPr>
          <w:p w14:paraId="2C61C8C0"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9B05B7" w:rsidRPr="009B05B7" w14:paraId="14F90285" w14:textId="77777777" w:rsidTr="009B05B7">
        <w:tblPrEx>
          <w:tblCellMar>
            <w:top w:w="0" w:type="dxa"/>
            <w:bottom w:w="0" w:type="dxa"/>
          </w:tblCellMar>
        </w:tblPrEx>
        <w:tc>
          <w:tcPr>
            <w:tcW w:w="1247" w:type="dxa"/>
          </w:tcPr>
          <w:p w14:paraId="688C5A8D" w14:textId="77777777" w:rsidR="009B05B7" w:rsidRPr="009B05B7" w:rsidRDefault="009B05B7" w:rsidP="009B05B7">
            <w:pPr>
              <w:rPr>
                <w:rFonts w:cs="Frankruhel"/>
                <w:rtl/>
              </w:rPr>
            </w:pPr>
            <w:r>
              <w:rPr>
                <w:rtl/>
              </w:rPr>
              <w:t xml:space="preserve">סעיף 12א </w:t>
            </w:r>
          </w:p>
        </w:tc>
        <w:tc>
          <w:tcPr>
            <w:tcW w:w="5669" w:type="dxa"/>
          </w:tcPr>
          <w:p w14:paraId="6B7AC0EA" w14:textId="77777777" w:rsidR="009B05B7" w:rsidRPr="009B05B7" w:rsidRDefault="009B05B7" w:rsidP="009B05B7">
            <w:pPr>
              <w:rPr>
                <w:rFonts w:cs="Frankruhel"/>
                <w:rtl/>
              </w:rPr>
            </w:pPr>
            <w:r>
              <w:rPr>
                <w:rtl/>
              </w:rPr>
              <w:t>סעדים לעניין נכסים שהופקו תוך הפרת הזכות הבלעדית בטופוגרפיה</w:t>
            </w:r>
          </w:p>
        </w:tc>
        <w:tc>
          <w:tcPr>
            <w:tcW w:w="567" w:type="dxa"/>
          </w:tcPr>
          <w:p w14:paraId="5F47CE36" w14:textId="77777777" w:rsidR="009B05B7" w:rsidRPr="009B05B7" w:rsidRDefault="009B05B7" w:rsidP="009B05B7">
            <w:pPr>
              <w:rPr>
                <w:rStyle w:val="Hyperlink"/>
                <w:rtl/>
              </w:rPr>
            </w:pPr>
            <w:hyperlink w:anchor="Seif17" w:tooltip="סעדים לעניין נכסים שהופקו תוך הפרת הזכות הבלעדית בטופוגרפיה" w:history="1">
              <w:r w:rsidRPr="009B05B7">
                <w:rPr>
                  <w:rStyle w:val="Hyperlink"/>
                </w:rPr>
                <w:t>Go</w:t>
              </w:r>
            </w:hyperlink>
          </w:p>
        </w:tc>
        <w:tc>
          <w:tcPr>
            <w:tcW w:w="850" w:type="dxa"/>
          </w:tcPr>
          <w:p w14:paraId="60BEDB89"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3</w:t>
            </w:r>
            <w:r>
              <w:rPr>
                <w:rFonts w:cs="Frankruhel"/>
                <w:rtl/>
              </w:rPr>
              <w:fldChar w:fldCharType="end"/>
            </w:r>
          </w:p>
        </w:tc>
      </w:tr>
      <w:tr w:rsidR="009B05B7" w:rsidRPr="009B05B7" w14:paraId="5605BC37" w14:textId="77777777" w:rsidTr="009B05B7">
        <w:tblPrEx>
          <w:tblCellMar>
            <w:top w:w="0" w:type="dxa"/>
            <w:bottom w:w="0" w:type="dxa"/>
          </w:tblCellMar>
        </w:tblPrEx>
        <w:tc>
          <w:tcPr>
            <w:tcW w:w="1247" w:type="dxa"/>
          </w:tcPr>
          <w:p w14:paraId="2FE26370" w14:textId="77777777" w:rsidR="009B05B7" w:rsidRPr="009B05B7" w:rsidRDefault="009B05B7" w:rsidP="009B05B7">
            <w:pPr>
              <w:rPr>
                <w:rFonts w:cs="Frankruhel"/>
                <w:rtl/>
              </w:rPr>
            </w:pPr>
            <w:r>
              <w:rPr>
                <w:rtl/>
              </w:rPr>
              <w:t xml:space="preserve">סעיף 13 </w:t>
            </w:r>
          </w:p>
        </w:tc>
        <w:tc>
          <w:tcPr>
            <w:tcW w:w="5669" w:type="dxa"/>
          </w:tcPr>
          <w:p w14:paraId="1B0D7F3B" w14:textId="77777777" w:rsidR="009B05B7" w:rsidRPr="009B05B7" w:rsidRDefault="009B05B7" w:rsidP="009B05B7">
            <w:pPr>
              <w:rPr>
                <w:rFonts w:cs="Frankruhel"/>
                <w:rtl/>
              </w:rPr>
            </w:pPr>
            <w:r>
              <w:rPr>
                <w:rtl/>
              </w:rPr>
              <w:t>הגבלת הזכות הבלעדית</w:t>
            </w:r>
          </w:p>
        </w:tc>
        <w:tc>
          <w:tcPr>
            <w:tcW w:w="567" w:type="dxa"/>
          </w:tcPr>
          <w:p w14:paraId="6FD6AF1B" w14:textId="77777777" w:rsidR="009B05B7" w:rsidRPr="009B05B7" w:rsidRDefault="009B05B7" w:rsidP="009B05B7">
            <w:pPr>
              <w:rPr>
                <w:rStyle w:val="Hyperlink"/>
                <w:rtl/>
              </w:rPr>
            </w:pPr>
            <w:hyperlink w:anchor="Seif13" w:tooltip="הגבלת הזכות הבלעדית" w:history="1">
              <w:r w:rsidRPr="009B05B7">
                <w:rPr>
                  <w:rStyle w:val="Hyperlink"/>
                </w:rPr>
                <w:t>Go</w:t>
              </w:r>
            </w:hyperlink>
          </w:p>
        </w:tc>
        <w:tc>
          <w:tcPr>
            <w:tcW w:w="850" w:type="dxa"/>
          </w:tcPr>
          <w:p w14:paraId="1A089340"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9B05B7" w:rsidRPr="009B05B7" w14:paraId="4D7EAD2D" w14:textId="77777777" w:rsidTr="009B05B7">
        <w:tblPrEx>
          <w:tblCellMar>
            <w:top w:w="0" w:type="dxa"/>
            <w:bottom w:w="0" w:type="dxa"/>
          </w:tblCellMar>
        </w:tblPrEx>
        <w:tc>
          <w:tcPr>
            <w:tcW w:w="1247" w:type="dxa"/>
          </w:tcPr>
          <w:p w14:paraId="35126C23" w14:textId="77777777" w:rsidR="009B05B7" w:rsidRPr="009B05B7" w:rsidRDefault="009B05B7" w:rsidP="009B05B7">
            <w:pPr>
              <w:rPr>
                <w:rFonts w:cs="Frankruhel"/>
                <w:rtl/>
              </w:rPr>
            </w:pPr>
            <w:r>
              <w:rPr>
                <w:rtl/>
              </w:rPr>
              <w:t xml:space="preserve">סעיף 14 </w:t>
            </w:r>
          </w:p>
        </w:tc>
        <w:tc>
          <w:tcPr>
            <w:tcW w:w="5669" w:type="dxa"/>
          </w:tcPr>
          <w:p w14:paraId="1ECB529C" w14:textId="77777777" w:rsidR="009B05B7" w:rsidRPr="009B05B7" w:rsidRDefault="009B05B7" w:rsidP="009B05B7">
            <w:pPr>
              <w:rPr>
                <w:rFonts w:cs="Frankruhel"/>
                <w:rtl/>
              </w:rPr>
            </w:pPr>
            <w:r>
              <w:rPr>
                <w:rtl/>
              </w:rPr>
              <w:t>תקנות</w:t>
            </w:r>
          </w:p>
        </w:tc>
        <w:tc>
          <w:tcPr>
            <w:tcW w:w="567" w:type="dxa"/>
          </w:tcPr>
          <w:p w14:paraId="792CE09E" w14:textId="77777777" w:rsidR="009B05B7" w:rsidRPr="009B05B7" w:rsidRDefault="009B05B7" w:rsidP="009B05B7">
            <w:pPr>
              <w:rPr>
                <w:rStyle w:val="Hyperlink"/>
                <w:rtl/>
              </w:rPr>
            </w:pPr>
            <w:hyperlink w:anchor="Seif14" w:tooltip="תקנות" w:history="1">
              <w:r w:rsidRPr="009B05B7">
                <w:rPr>
                  <w:rStyle w:val="Hyperlink"/>
                </w:rPr>
                <w:t>Go</w:t>
              </w:r>
            </w:hyperlink>
          </w:p>
        </w:tc>
        <w:tc>
          <w:tcPr>
            <w:tcW w:w="850" w:type="dxa"/>
          </w:tcPr>
          <w:p w14:paraId="49B20535"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9B05B7" w:rsidRPr="009B05B7" w14:paraId="4197ADF8" w14:textId="77777777" w:rsidTr="009B05B7">
        <w:tblPrEx>
          <w:tblCellMar>
            <w:top w:w="0" w:type="dxa"/>
            <w:bottom w:w="0" w:type="dxa"/>
          </w:tblCellMar>
        </w:tblPrEx>
        <w:tc>
          <w:tcPr>
            <w:tcW w:w="1247" w:type="dxa"/>
          </w:tcPr>
          <w:p w14:paraId="0FC678E8" w14:textId="77777777" w:rsidR="009B05B7" w:rsidRPr="009B05B7" w:rsidRDefault="009B05B7" w:rsidP="009B05B7">
            <w:pPr>
              <w:rPr>
                <w:rFonts w:cs="Frankruhel"/>
                <w:rtl/>
              </w:rPr>
            </w:pPr>
            <w:r>
              <w:rPr>
                <w:rtl/>
              </w:rPr>
              <w:t xml:space="preserve">סעיף 15 </w:t>
            </w:r>
          </w:p>
        </w:tc>
        <w:tc>
          <w:tcPr>
            <w:tcW w:w="5669" w:type="dxa"/>
          </w:tcPr>
          <w:p w14:paraId="4C1922CA" w14:textId="77777777" w:rsidR="009B05B7" w:rsidRPr="009B05B7" w:rsidRDefault="009B05B7" w:rsidP="009B05B7">
            <w:pPr>
              <w:rPr>
                <w:rFonts w:cs="Frankruhel"/>
                <w:rtl/>
              </w:rPr>
            </w:pPr>
            <w:r>
              <w:rPr>
                <w:rtl/>
              </w:rPr>
              <w:t>תחילת החוק</w:t>
            </w:r>
          </w:p>
        </w:tc>
        <w:tc>
          <w:tcPr>
            <w:tcW w:w="567" w:type="dxa"/>
          </w:tcPr>
          <w:p w14:paraId="7B58764C" w14:textId="77777777" w:rsidR="009B05B7" w:rsidRPr="009B05B7" w:rsidRDefault="009B05B7" w:rsidP="009B05B7">
            <w:pPr>
              <w:rPr>
                <w:rStyle w:val="Hyperlink"/>
                <w:rtl/>
              </w:rPr>
            </w:pPr>
            <w:hyperlink w:anchor="Seif15" w:tooltip="תחילת החוק" w:history="1">
              <w:r w:rsidRPr="009B05B7">
                <w:rPr>
                  <w:rStyle w:val="Hyperlink"/>
                </w:rPr>
                <w:t>Go</w:t>
              </w:r>
            </w:hyperlink>
          </w:p>
        </w:tc>
        <w:tc>
          <w:tcPr>
            <w:tcW w:w="850" w:type="dxa"/>
          </w:tcPr>
          <w:p w14:paraId="0BBF366D"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9B05B7" w:rsidRPr="009B05B7" w14:paraId="4A66EAC0" w14:textId="77777777" w:rsidTr="009B05B7">
        <w:tblPrEx>
          <w:tblCellMar>
            <w:top w:w="0" w:type="dxa"/>
            <w:bottom w:w="0" w:type="dxa"/>
          </w:tblCellMar>
        </w:tblPrEx>
        <w:tc>
          <w:tcPr>
            <w:tcW w:w="1247" w:type="dxa"/>
          </w:tcPr>
          <w:p w14:paraId="72F9C9AC" w14:textId="77777777" w:rsidR="009B05B7" w:rsidRPr="009B05B7" w:rsidRDefault="009B05B7" w:rsidP="009B05B7">
            <w:pPr>
              <w:rPr>
                <w:rFonts w:cs="Frankruhel"/>
                <w:rtl/>
              </w:rPr>
            </w:pPr>
            <w:r>
              <w:rPr>
                <w:rtl/>
              </w:rPr>
              <w:t xml:space="preserve">סעיף 16 </w:t>
            </w:r>
          </w:p>
        </w:tc>
        <w:tc>
          <w:tcPr>
            <w:tcW w:w="5669" w:type="dxa"/>
          </w:tcPr>
          <w:p w14:paraId="73BACFBB" w14:textId="77777777" w:rsidR="009B05B7" w:rsidRPr="009B05B7" w:rsidRDefault="009B05B7" w:rsidP="009B05B7">
            <w:pPr>
              <w:rPr>
                <w:rFonts w:cs="Frankruhel"/>
                <w:rtl/>
              </w:rPr>
            </w:pPr>
            <w:r>
              <w:rPr>
                <w:rtl/>
              </w:rPr>
              <w:t>תחולה והוראות מעבר</w:t>
            </w:r>
          </w:p>
        </w:tc>
        <w:tc>
          <w:tcPr>
            <w:tcW w:w="567" w:type="dxa"/>
          </w:tcPr>
          <w:p w14:paraId="60C029B3" w14:textId="77777777" w:rsidR="009B05B7" w:rsidRPr="009B05B7" w:rsidRDefault="009B05B7" w:rsidP="009B05B7">
            <w:pPr>
              <w:rPr>
                <w:rStyle w:val="Hyperlink"/>
                <w:rtl/>
              </w:rPr>
            </w:pPr>
            <w:hyperlink w:anchor="Seif16" w:tooltip="תחולה והוראות מעבר" w:history="1">
              <w:r w:rsidRPr="009B05B7">
                <w:rPr>
                  <w:rStyle w:val="Hyperlink"/>
                </w:rPr>
                <w:t>Go</w:t>
              </w:r>
            </w:hyperlink>
          </w:p>
        </w:tc>
        <w:tc>
          <w:tcPr>
            <w:tcW w:w="850" w:type="dxa"/>
          </w:tcPr>
          <w:p w14:paraId="470CA01A" w14:textId="77777777" w:rsidR="009B05B7" w:rsidRPr="009B05B7" w:rsidRDefault="009B05B7" w:rsidP="009B05B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bl>
    <w:p w14:paraId="69489167" w14:textId="77777777" w:rsidR="005F7168" w:rsidRDefault="005F7168" w:rsidP="00CF1125">
      <w:pPr>
        <w:pStyle w:val="big-header"/>
        <w:ind w:left="0" w:right="1134"/>
        <w:rPr>
          <w:rFonts w:cs="FrankRuehl" w:hint="cs"/>
          <w:sz w:val="32"/>
          <w:rtl/>
        </w:rPr>
      </w:pPr>
      <w:r>
        <w:rPr>
          <w:rFonts w:cs="FrankRuehl"/>
          <w:sz w:val="32"/>
          <w:rtl/>
        </w:rPr>
        <w:br w:type="page"/>
      </w:r>
      <w:r>
        <w:rPr>
          <w:rFonts w:cs="FrankRuehl" w:hint="cs"/>
          <w:sz w:val="32"/>
          <w:rtl/>
        </w:rPr>
        <w:lastRenderedPageBreak/>
        <w:t>חוק להגנת מעגלים משולבים, תש"ס-1999</w:t>
      </w:r>
      <w:r>
        <w:rPr>
          <w:rStyle w:val="default"/>
          <w:sz w:val="22"/>
          <w:szCs w:val="22"/>
          <w:rtl/>
        </w:rPr>
        <w:footnoteReference w:customMarkFollows="1" w:id="1"/>
        <w:t>*</w:t>
      </w:r>
    </w:p>
    <w:p w14:paraId="1FFF0B77" w14:textId="77777777" w:rsidR="005F7168" w:rsidRDefault="005F7168">
      <w:pPr>
        <w:pStyle w:val="P00"/>
        <w:spacing w:before="72"/>
        <w:ind w:left="0" w:right="1134"/>
        <w:rPr>
          <w:rStyle w:val="default"/>
          <w:rFonts w:cs="FrankRuehl" w:hint="cs"/>
          <w:rtl/>
        </w:rPr>
      </w:pPr>
      <w:bookmarkStart w:id="0" w:name="Seif1"/>
      <w:bookmarkEnd w:id="0"/>
      <w:r>
        <w:rPr>
          <w:rFonts w:cs="Miriam"/>
          <w:lang w:val="he-IL"/>
        </w:rPr>
        <w:pict w14:anchorId="5C72E174">
          <v:rect id="_x0000_s1026" style="position:absolute;left:0;text-align:left;margin-left:464.5pt;margin-top:8.05pt;width:75.05pt;height:9.5pt;z-index:251649536" o:allowincell="f" filled="f" stroked="f" strokecolor="lime" strokeweight=".25pt">
            <v:textbox inset="0,0,0,0">
              <w:txbxContent>
                <w:p w14:paraId="2EF318A2" w14:textId="77777777" w:rsidR="005F7168" w:rsidRDefault="005F7168">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בחוק זה </w:t>
      </w:r>
      <w:r>
        <w:rPr>
          <w:rStyle w:val="default"/>
          <w:rFonts w:cs="FrankRuehl"/>
          <w:rtl/>
        </w:rPr>
        <w:t>–</w:t>
      </w:r>
    </w:p>
    <w:p w14:paraId="16678F0D" w14:textId="77777777" w:rsidR="005F7168" w:rsidRDefault="005F7168">
      <w:pPr>
        <w:pStyle w:val="P00"/>
        <w:spacing w:before="72"/>
        <w:ind w:left="0" w:right="1134"/>
        <w:rPr>
          <w:rStyle w:val="default"/>
          <w:rFonts w:cs="FrankRuehl" w:hint="cs"/>
          <w:rtl/>
        </w:rPr>
      </w:pPr>
      <w:r>
        <w:rPr>
          <w:rStyle w:val="default"/>
          <w:rFonts w:cs="FrankRuehl" w:hint="cs"/>
          <w:rtl/>
        </w:rPr>
        <w:tab/>
        <w:t xml:space="preserve">"מעגל משולב" </w:t>
      </w:r>
      <w:r>
        <w:rPr>
          <w:rStyle w:val="default"/>
          <w:rFonts w:cs="FrankRuehl"/>
          <w:rtl/>
        </w:rPr>
        <w:t>–</w:t>
      </w:r>
      <w:r>
        <w:rPr>
          <w:rStyle w:val="default"/>
          <w:rFonts w:cs="FrankRuehl" w:hint="cs"/>
          <w:rtl/>
        </w:rPr>
        <w:t xml:space="preserve"> מוצר, בצורתו הסופית או בצורת הביניים שלו, שמתקיימים בו שני אלה:</w:t>
      </w:r>
    </w:p>
    <w:p w14:paraId="1DE7AFC1" w14:textId="77777777" w:rsidR="005F7168" w:rsidRDefault="005F71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רכיביו, אשר לפחות אחד מהם הוא אלמנט פעיל, והקישורים ביניהם, כולם או חלקם, משולבים בתוך או על גבי שכבה או שכברות של חומר;</w:t>
      </w:r>
    </w:p>
    <w:p w14:paraId="5C4E4445" w14:textId="77777777" w:rsidR="005F7168" w:rsidRDefault="005F7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המוצר מיועד לבצע פעולה אלקטרונית;</w:t>
      </w:r>
    </w:p>
    <w:p w14:paraId="419DFE02" w14:textId="77777777" w:rsidR="005F7168" w:rsidRDefault="005F7168">
      <w:pPr>
        <w:pStyle w:val="P00"/>
        <w:spacing w:before="72"/>
        <w:ind w:left="0" w:right="1134"/>
        <w:rPr>
          <w:rStyle w:val="default"/>
          <w:rFonts w:cs="FrankRuehl" w:hint="cs"/>
          <w:rtl/>
        </w:rPr>
      </w:pPr>
      <w:r>
        <w:rPr>
          <w:rStyle w:val="default"/>
          <w:rFonts w:cs="FrankRuehl" w:hint="cs"/>
          <w:rtl/>
        </w:rPr>
        <w:tab/>
        <w:t xml:space="preserve">"טופוגרפיה" </w:t>
      </w:r>
      <w:r>
        <w:rPr>
          <w:rStyle w:val="default"/>
          <w:rFonts w:cs="FrankRuehl"/>
          <w:rtl/>
        </w:rPr>
        <w:t>–</w:t>
      </w:r>
      <w:r>
        <w:rPr>
          <w:rStyle w:val="default"/>
          <w:rFonts w:cs="FrankRuehl" w:hint="cs"/>
          <w:rtl/>
        </w:rPr>
        <w:t xml:space="preserve"> מערך צורתו התלת ממדית של מעגל משולב, או מערך צורה תלת ממדית שהוכן לשם ייצור מעגל משולב, בכל דרך שבה הוא מבוטא או מקובע;</w:t>
      </w:r>
    </w:p>
    <w:p w14:paraId="65265EA1" w14:textId="77777777" w:rsidR="005F7168" w:rsidRDefault="005F7168">
      <w:pPr>
        <w:pStyle w:val="P00"/>
        <w:spacing w:before="72"/>
        <w:ind w:left="0" w:right="1134"/>
        <w:rPr>
          <w:rStyle w:val="default"/>
          <w:rFonts w:cs="FrankRuehl" w:hint="cs"/>
          <w:rtl/>
        </w:rPr>
      </w:pPr>
      <w:r>
        <w:rPr>
          <w:rStyle w:val="default"/>
          <w:rFonts w:cs="FrankRuehl" w:hint="cs"/>
          <w:rtl/>
        </w:rPr>
        <w:tab/>
        <w:t xml:space="preserve">"מועד היצירה", של טופוגרפיה </w:t>
      </w:r>
      <w:r>
        <w:rPr>
          <w:rStyle w:val="default"/>
          <w:rFonts w:cs="FrankRuehl"/>
          <w:rtl/>
        </w:rPr>
        <w:t>–</w:t>
      </w:r>
      <w:r>
        <w:rPr>
          <w:rStyle w:val="default"/>
          <w:rFonts w:cs="FrankRuehl" w:hint="cs"/>
          <w:rtl/>
        </w:rPr>
        <w:t xml:space="preserve"> המועד שבו קיבלה הטופוגרפיה ביטוי בכתב או קובעה בתבנית מוחשית;</w:t>
      </w:r>
    </w:p>
    <w:p w14:paraId="0C092068" w14:textId="77777777" w:rsidR="005F7168" w:rsidRDefault="005F7168">
      <w:pPr>
        <w:pStyle w:val="P00"/>
        <w:spacing w:before="72"/>
        <w:ind w:left="0" w:right="1134"/>
        <w:rPr>
          <w:rStyle w:val="default"/>
          <w:rFonts w:cs="FrankRuehl" w:hint="cs"/>
          <w:rtl/>
        </w:rPr>
      </w:pPr>
      <w:r>
        <w:rPr>
          <w:rStyle w:val="default"/>
          <w:rFonts w:cs="FrankRuehl" w:hint="cs"/>
          <w:rtl/>
        </w:rPr>
        <w:tab/>
        <w:t xml:space="preserve">"חוק הפטנטים" </w:t>
      </w:r>
      <w:r>
        <w:rPr>
          <w:rStyle w:val="default"/>
          <w:rFonts w:cs="FrankRuehl"/>
          <w:rtl/>
        </w:rPr>
        <w:t>–</w:t>
      </w:r>
      <w:r>
        <w:rPr>
          <w:rStyle w:val="default"/>
          <w:rFonts w:cs="FrankRuehl" w:hint="cs"/>
          <w:rtl/>
        </w:rPr>
        <w:t xml:space="preserve"> חוק הפטנטים, התשכ"ז-1967.</w:t>
      </w:r>
    </w:p>
    <w:p w14:paraId="552CE80F" w14:textId="77777777" w:rsidR="005F7168" w:rsidRDefault="005F7168">
      <w:pPr>
        <w:pStyle w:val="P00"/>
        <w:spacing w:before="72"/>
        <w:ind w:left="0" w:right="1134"/>
        <w:rPr>
          <w:rStyle w:val="big-number"/>
          <w:rFonts w:cs="FrankRuehl" w:hint="cs"/>
          <w:sz w:val="26"/>
          <w:szCs w:val="26"/>
          <w:rtl/>
        </w:rPr>
      </w:pPr>
      <w:bookmarkStart w:id="1" w:name="Seif2"/>
      <w:bookmarkEnd w:id="1"/>
      <w:r>
        <w:rPr>
          <w:rFonts w:cs="Miriam"/>
          <w:lang w:val="he-IL"/>
        </w:rPr>
        <w:pict w14:anchorId="3E3FF54F">
          <v:rect id="_x0000_s1032" style="position:absolute;left:0;text-align:left;margin-left:464.5pt;margin-top:8.05pt;width:75.05pt;height:24.3pt;z-index:251650560" o:allowincell="f" filled="f" stroked="f" strokecolor="lime" strokeweight=".25pt">
            <v:textbox style="mso-next-textbox:#_x0000_s1032" inset="0,0,0,0">
              <w:txbxContent>
                <w:p w14:paraId="426FB423" w14:textId="77777777" w:rsidR="005F7168" w:rsidRDefault="005F7168">
                  <w:pPr>
                    <w:pStyle w:val="a7"/>
                    <w:rPr>
                      <w:rFonts w:hint="cs"/>
                      <w:noProof/>
                      <w:rtl/>
                    </w:rPr>
                  </w:pPr>
                  <w:r>
                    <w:rPr>
                      <w:rFonts w:hint="cs"/>
                      <w:rtl/>
                    </w:rPr>
                    <w:t>תחום תחולתו של החוק</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הוראות חוק זה יחולו על טופוגרפיה מקורית, אשר מתקיים בה אחד מאלה:</w:t>
      </w:r>
    </w:p>
    <w:p w14:paraId="36CF5CB8" w14:textId="77777777" w:rsidR="005F7168" w:rsidRDefault="005F7168">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יוצרה, במועד יצירתה, היה אזרח ישראלי או תושב ישראל;</w:t>
      </w:r>
    </w:p>
    <w:p w14:paraId="4C24CD71" w14:textId="77777777" w:rsidR="005F7168" w:rsidRDefault="005F7168">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יוצרה הוא אדם או תאגיד שהיה לו בישראל, במועד יצירתה, מפעל פעיל ליצירת טופוגרפיות או לייצור מעגלים משולבים.</w:t>
      </w:r>
    </w:p>
    <w:p w14:paraId="3AEA56A5" w14:textId="77777777" w:rsidR="005F7168" w:rsidRDefault="005F7168">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שר המשפטים רשאי להורות בצו כי הוראות חוק זה, כולן או מקצתן, יחולו על טופוגרפיה מקורית שאין מתקיימות בה הוראות סעיף קטן (א), אם הדבר נקבע באמנה בין-לאומית שישראל צד לה.</w:t>
      </w:r>
    </w:p>
    <w:p w14:paraId="4B0AD5AD" w14:textId="77777777" w:rsidR="005F7168" w:rsidRDefault="005F7168">
      <w:pPr>
        <w:pStyle w:val="P00"/>
        <w:spacing w:before="72"/>
        <w:ind w:left="0" w:right="1134"/>
        <w:rPr>
          <w:rStyle w:val="big-number"/>
          <w:rFonts w:cs="FrankRuehl" w:hint="cs"/>
          <w:sz w:val="26"/>
          <w:szCs w:val="26"/>
          <w:rtl/>
        </w:rPr>
      </w:pPr>
      <w:bookmarkStart w:id="2" w:name="Seif3"/>
      <w:bookmarkEnd w:id="2"/>
      <w:r>
        <w:rPr>
          <w:rFonts w:cs="Miriam"/>
          <w:lang w:val="he-IL"/>
        </w:rPr>
        <w:pict w14:anchorId="36B2B8A8">
          <v:rect id="_x0000_s1036" style="position:absolute;left:0;text-align:left;margin-left:464.5pt;margin-top:8.05pt;width:75.05pt;height:16.35pt;z-index:251651584" o:allowincell="f" filled="f" stroked="f" strokecolor="lime" strokeweight=".25pt">
            <v:textbox style="mso-next-textbox:#_x0000_s1036" inset="0,0,0,0">
              <w:txbxContent>
                <w:p w14:paraId="199E035F" w14:textId="77777777" w:rsidR="005F7168" w:rsidRDefault="005F7168">
                  <w:pPr>
                    <w:spacing w:line="160" w:lineRule="exact"/>
                    <w:rPr>
                      <w:rFonts w:cs="Miriam" w:hint="cs"/>
                      <w:noProof/>
                      <w:sz w:val="18"/>
                      <w:szCs w:val="18"/>
                      <w:rtl/>
                    </w:rPr>
                  </w:pPr>
                  <w:r>
                    <w:rPr>
                      <w:rFonts w:cs="Miriam" w:hint="cs"/>
                      <w:sz w:val="18"/>
                      <w:szCs w:val="18"/>
                      <w:rtl/>
                    </w:rPr>
                    <w:t>דרישת המקוריות</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טופוגרפיה היא מקורית בהתקיים בה אחד מאלה:</w:t>
      </w:r>
    </w:p>
    <w:p w14:paraId="79B4309A" w14:textId="77777777" w:rsidR="005F7168" w:rsidRDefault="005F7168">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היא פרי פיתוח עצמאי של יוצרה, ובמועד יצירתה לא היתה מקובלת בשימוש בקרב העוסקים ביצירת טופוגרפיות או בייצור מעגלים משולבים;</w:t>
      </w:r>
    </w:p>
    <w:p w14:paraId="10B96D39" w14:textId="77777777" w:rsidR="005F7168" w:rsidRDefault="005F7168">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היא כוללת שילוב של רכיבים וקישורים מקובלים בשימוש, ובלבד שהשילוב כמכלול עונה על דרישת המקוריות שבפסקה (1).</w:t>
      </w:r>
    </w:p>
    <w:p w14:paraId="349FDF20" w14:textId="77777777" w:rsidR="005F7168" w:rsidRDefault="005F7168">
      <w:pPr>
        <w:pStyle w:val="P00"/>
        <w:spacing w:before="72"/>
        <w:ind w:left="0" w:right="1134"/>
        <w:rPr>
          <w:rStyle w:val="default"/>
          <w:rFonts w:cs="FrankRuehl" w:hint="cs"/>
          <w:rtl/>
        </w:rPr>
      </w:pPr>
      <w:bookmarkStart w:id="3" w:name="Seif9"/>
      <w:bookmarkEnd w:id="3"/>
      <w:r>
        <w:rPr>
          <w:rFonts w:cs="Miriam"/>
          <w:szCs w:val="32"/>
          <w:rtl/>
          <w:lang w:val="he-IL"/>
        </w:rPr>
        <w:pict w14:anchorId="0162E086">
          <v:shapetype id="_x0000_t202" coordsize="21600,21600" o:spt="202" path="m,l,21600r21600,l21600,xe">
            <v:stroke joinstyle="miter"/>
            <v:path gradientshapeok="t" o:connecttype="rect"/>
          </v:shapetype>
          <v:shape id="_x0000_s1061" type="#_x0000_t202" style="position:absolute;left:0;text-align:left;margin-left:470.35pt;margin-top:7.1pt;width:1in;height:15.6pt;z-index:251657728" filled="f" stroked="f">
            <v:textbox inset="1mm,0,1mm,0">
              <w:txbxContent>
                <w:p w14:paraId="036D89C1" w14:textId="77777777" w:rsidR="005F7168" w:rsidRDefault="005F7168">
                  <w:pPr>
                    <w:spacing w:line="160" w:lineRule="exact"/>
                    <w:rPr>
                      <w:rFonts w:cs="Miriam" w:hint="cs"/>
                      <w:sz w:val="18"/>
                      <w:szCs w:val="18"/>
                      <w:rtl/>
                    </w:rPr>
                  </w:pPr>
                  <w:r>
                    <w:rPr>
                      <w:rFonts w:cs="Miriam" w:hint="cs"/>
                      <w:sz w:val="18"/>
                      <w:szCs w:val="18"/>
                      <w:rtl/>
                    </w:rPr>
                    <w:t>הבעל הראשון של הטופוגרפיה</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יוצר הטופוגרפיה הוא הבעל הראשון של הטופוגרפיה.</w:t>
      </w:r>
    </w:p>
    <w:p w14:paraId="743FAA09" w14:textId="77777777" w:rsidR="005F7168" w:rsidRDefault="005F71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נוצרה הטופוגרפיה על ידי עובד עקב שירותו ובתקופת שירותו אצל מעביד, ייחשב המעביד כיוצר הטופוגרפיה, אלא אם כן נקבע אחרת בחוזה ביניהם.</w:t>
      </w:r>
    </w:p>
    <w:p w14:paraId="496B0C30" w14:textId="77777777" w:rsidR="005F7168" w:rsidRDefault="005F7168">
      <w:pPr>
        <w:pStyle w:val="P00"/>
        <w:spacing w:before="72"/>
        <w:ind w:left="0" w:right="1134"/>
        <w:rPr>
          <w:rStyle w:val="default"/>
          <w:rFonts w:cs="FrankRuehl" w:hint="cs"/>
          <w:rtl/>
        </w:rPr>
      </w:pPr>
      <w:bookmarkStart w:id="4" w:name="Seif4"/>
      <w:bookmarkEnd w:id="4"/>
      <w:r>
        <w:rPr>
          <w:rFonts w:cs="Miriam"/>
          <w:szCs w:val="32"/>
          <w:rtl/>
          <w:lang w:val="he-IL"/>
        </w:rPr>
        <w:pict w14:anchorId="494C1FD7">
          <v:shape id="_x0000_s1055" type="#_x0000_t202" style="position:absolute;left:0;text-align:left;margin-left:459pt;margin-top:5.1pt;width:85.5pt;height:26.95pt;z-index:251652608" filled="f" stroked="f">
            <v:textbox>
              <w:txbxContent>
                <w:p w14:paraId="2A49B1F6" w14:textId="77777777" w:rsidR="005F7168" w:rsidRDefault="005F7168">
                  <w:pPr>
                    <w:spacing w:line="160" w:lineRule="exact"/>
                    <w:rPr>
                      <w:rFonts w:cs="Miriam" w:hint="cs"/>
                      <w:sz w:val="18"/>
                      <w:szCs w:val="18"/>
                      <w:rtl/>
                    </w:rPr>
                  </w:pPr>
                  <w:r>
                    <w:rPr>
                      <w:rFonts w:cs="Miriam" w:hint="cs"/>
                      <w:sz w:val="18"/>
                      <w:szCs w:val="18"/>
                      <w:rtl/>
                    </w:rPr>
                    <w:t xml:space="preserve">העברה ורשיון </w:t>
                  </w:r>
                  <w:r>
                    <w:rPr>
                      <w:rFonts w:cs="Miriam"/>
                      <w:sz w:val="18"/>
                      <w:szCs w:val="18"/>
                      <w:rtl/>
                    </w:rPr>
                    <w:t>–</w:t>
                  </w:r>
                  <w:r>
                    <w:rPr>
                      <w:rFonts w:cs="Miriam" w:hint="cs"/>
                      <w:sz w:val="18"/>
                      <w:szCs w:val="18"/>
                      <w:rtl/>
                    </w:rPr>
                    <w:t xml:space="preserve"> דרישת כתב</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חוזה להעברת זכויות בטופוגרפיה או להענקת רשיון לניצול הזכויות בטופוגרפיה ייעשה בכתב.</w:t>
      </w:r>
    </w:p>
    <w:p w14:paraId="2ABF5D17" w14:textId="77777777" w:rsidR="005F7168" w:rsidRDefault="005F7168">
      <w:pPr>
        <w:pStyle w:val="P00"/>
        <w:spacing w:before="72"/>
        <w:ind w:left="0" w:right="1134"/>
        <w:rPr>
          <w:rStyle w:val="default"/>
          <w:rFonts w:cs="FrankRuehl" w:hint="cs"/>
          <w:rtl/>
        </w:rPr>
      </w:pPr>
      <w:bookmarkStart w:id="5" w:name="Seif5"/>
      <w:bookmarkEnd w:id="5"/>
      <w:r>
        <w:rPr>
          <w:rFonts w:cs="Miriam"/>
          <w:szCs w:val="32"/>
          <w:rtl/>
          <w:lang w:val="he-IL"/>
        </w:rPr>
        <w:pict w14:anchorId="086E4690">
          <v:shape id="_x0000_s1056" type="#_x0000_t202" style="position:absolute;left:0;text-align:left;margin-left:459pt;margin-top:3.65pt;width:85.5pt;height:26.05pt;z-index:251653632" filled="f" stroked="f">
            <v:textbox>
              <w:txbxContent>
                <w:p w14:paraId="78135A8A" w14:textId="77777777" w:rsidR="005F7168" w:rsidRDefault="005F7168">
                  <w:pPr>
                    <w:spacing w:line="160" w:lineRule="exact"/>
                    <w:rPr>
                      <w:rFonts w:cs="Miriam" w:hint="cs"/>
                      <w:sz w:val="18"/>
                      <w:szCs w:val="18"/>
                      <w:rtl/>
                    </w:rPr>
                  </w:pPr>
                  <w:r>
                    <w:rPr>
                      <w:rFonts w:cs="Miriam" w:hint="cs"/>
                      <w:sz w:val="18"/>
                      <w:szCs w:val="18"/>
                      <w:rtl/>
                    </w:rPr>
                    <w:t>מהות הזכות הבלעדית</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לבעל הטופוגרפיה הזכות הבלעדית לעשות או להרשות לאחר לעשות בטופוגרפיה, כל אחת מהפעולות המפורטות להלן:</w:t>
      </w:r>
    </w:p>
    <w:p w14:paraId="0A62F20F" w14:textId="77777777" w:rsidR="005F7168" w:rsidRDefault="005F716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העתקת הטופוגרפיה או חלק ממנה, לרבות בדרך של גילום הטופוגרפיה במעגל משולב;</w:t>
      </w:r>
    </w:p>
    <w:p w14:paraId="10ECCD7E" w14:textId="77777777" w:rsidR="005F7168" w:rsidRDefault="005F716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ייבוא, מכירה, או הפצה אחרת למטרות מסחר, של </w:t>
      </w:r>
      <w:r>
        <w:rPr>
          <w:rStyle w:val="default"/>
          <w:rFonts w:cs="FrankRuehl"/>
          <w:rtl/>
        </w:rPr>
        <w:t>–</w:t>
      </w:r>
    </w:p>
    <w:p w14:paraId="67941C69" w14:textId="77777777" w:rsidR="005F7168" w:rsidRDefault="005F716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הטופוגרפיה;</w:t>
      </w:r>
    </w:p>
    <w:p w14:paraId="3812C67B" w14:textId="77777777" w:rsidR="005F7168" w:rsidRDefault="005F716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מעגל משולב שבו מגולמת הטופוגרפיה;</w:t>
      </w:r>
    </w:p>
    <w:p w14:paraId="43552A76" w14:textId="77777777" w:rsidR="005F7168" w:rsidRDefault="005F716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חפץ המכיל מעגל משולב כאמור בפסקת משנה (ב), וזאת רק כל עוד מכיל </w:t>
      </w:r>
      <w:r>
        <w:rPr>
          <w:rStyle w:val="default"/>
          <w:rFonts w:cs="FrankRuehl" w:hint="cs"/>
          <w:rtl/>
        </w:rPr>
        <w:lastRenderedPageBreak/>
        <w:t>החפץ העתקה של הטופוגרפיה שנעשתה תוך הפרת פסקה (1).</w:t>
      </w:r>
    </w:p>
    <w:p w14:paraId="354AB92D" w14:textId="77777777" w:rsidR="005F7168" w:rsidRDefault="005F7168">
      <w:pPr>
        <w:pStyle w:val="P00"/>
        <w:spacing w:before="72"/>
        <w:ind w:left="0" w:right="1134"/>
        <w:rPr>
          <w:rStyle w:val="default"/>
          <w:rFonts w:cs="FrankRuehl" w:hint="cs"/>
          <w:rtl/>
        </w:rPr>
      </w:pPr>
      <w:bookmarkStart w:id="6" w:name="Seif10"/>
      <w:bookmarkEnd w:id="6"/>
      <w:r>
        <w:rPr>
          <w:rFonts w:cs="Miriam"/>
          <w:szCs w:val="32"/>
          <w:rtl/>
          <w:lang w:val="he-IL"/>
        </w:rPr>
        <w:pict w14:anchorId="0995BDE2">
          <v:shape id="_x0000_s1062" type="#_x0000_t202" style="position:absolute;left:0;text-align:left;margin-left:470.35pt;margin-top:7.1pt;width:1in;height:20.95pt;z-index:251658752" filled="f" stroked="f">
            <v:textbox inset="1mm,0,1mm,0">
              <w:txbxContent>
                <w:p w14:paraId="52D1B8F4" w14:textId="77777777" w:rsidR="005F7168" w:rsidRDefault="005F7168">
                  <w:pPr>
                    <w:spacing w:line="160" w:lineRule="exact"/>
                    <w:rPr>
                      <w:rFonts w:cs="Miriam" w:hint="cs"/>
                      <w:sz w:val="18"/>
                      <w:szCs w:val="18"/>
                      <w:rtl/>
                    </w:rPr>
                  </w:pPr>
                  <w:r>
                    <w:rPr>
                      <w:rFonts w:cs="Miriam" w:hint="cs"/>
                      <w:sz w:val="18"/>
                      <w:szCs w:val="18"/>
                      <w:rtl/>
                    </w:rPr>
                    <w:t>טופוגרפיות מקוריות אחרות</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לבעל הטופוגרפיה לא תהיה זכות ביחס לכל אחד מאלה:</w:t>
      </w:r>
    </w:p>
    <w:p w14:paraId="0EAEB1B1" w14:textId="77777777" w:rsidR="005F7168" w:rsidRDefault="005F716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טופוגרפיה מקורית אחרת שנוצרה על סמך ניתוח והערכה של הטופוגרפיה;</w:t>
      </w:r>
    </w:p>
    <w:p w14:paraId="5EE38B92" w14:textId="77777777" w:rsidR="005F7168" w:rsidRDefault="005F716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טופוגרפיה מקורית זהה, שנוצרה באופן עצמאי.</w:t>
      </w:r>
    </w:p>
    <w:p w14:paraId="5A6E49B0" w14:textId="77777777" w:rsidR="005F7168" w:rsidRDefault="005F7168">
      <w:pPr>
        <w:pStyle w:val="P00"/>
        <w:spacing w:before="72"/>
        <w:ind w:left="0" w:right="1134"/>
        <w:rPr>
          <w:rStyle w:val="default"/>
          <w:rFonts w:cs="FrankRuehl" w:hint="cs"/>
          <w:rtl/>
        </w:rPr>
      </w:pPr>
      <w:bookmarkStart w:id="7" w:name="Seif6"/>
      <w:bookmarkEnd w:id="7"/>
      <w:r>
        <w:rPr>
          <w:rFonts w:cs="Miriam"/>
          <w:szCs w:val="32"/>
          <w:rtl/>
          <w:lang w:val="he-IL"/>
        </w:rPr>
        <w:pict w14:anchorId="50A24A16">
          <v:shape id="_x0000_s1058" type="#_x0000_t202" style="position:absolute;left:0;text-align:left;margin-left:459pt;margin-top:2.75pt;width:85.5pt;height:21.85pt;z-index:251654656" filled="f" stroked="f">
            <v:textbox>
              <w:txbxContent>
                <w:p w14:paraId="76B75D43" w14:textId="77777777" w:rsidR="005F7168" w:rsidRDefault="005F7168">
                  <w:pPr>
                    <w:spacing w:line="160" w:lineRule="exact"/>
                    <w:rPr>
                      <w:rFonts w:cs="Miriam" w:hint="cs"/>
                      <w:sz w:val="18"/>
                      <w:szCs w:val="18"/>
                      <w:rtl/>
                    </w:rPr>
                  </w:pPr>
                  <w:r>
                    <w:rPr>
                      <w:rFonts w:cs="Miriam" w:hint="cs"/>
                      <w:sz w:val="18"/>
                      <w:szCs w:val="18"/>
                      <w:rtl/>
                    </w:rPr>
                    <w:t>מיצוי זכויות</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הוראות סעיף 6(2)(ב) ו-(ג) לא יחולו לגבי מעגל משולב אשר נמכר או הופץ על ידי בעל הטופוגרפיה או בהרשאתו, בישראל או מחוץ לישראל.</w:t>
      </w:r>
    </w:p>
    <w:p w14:paraId="540DC31F" w14:textId="77777777" w:rsidR="005F7168" w:rsidRDefault="005F7168">
      <w:pPr>
        <w:pStyle w:val="P00"/>
        <w:spacing w:before="72"/>
        <w:ind w:left="0" w:right="1134"/>
        <w:rPr>
          <w:rStyle w:val="default"/>
          <w:rFonts w:cs="FrankRuehl" w:hint="cs"/>
          <w:rtl/>
        </w:rPr>
      </w:pPr>
      <w:bookmarkStart w:id="8" w:name="Seif7"/>
      <w:bookmarkEnd w:id="8"/>
      <w:r>
        <w:rPr>
          <w:rFonts w:cs="Miriam"/>
          <w:szCs w:val="32"/>
          <w:rtl/>
          <w:lang w:val="he-IL"/>
        </w:rPr>
        <w:pict w14:anchorId="7D0116AA">
          <v:shape id="_x0000_s1059" type="#_x0000_t202" style="position:absolute;left:0;text-align:left;margin-left:459pt;margin-top:1.8pt;width:85.5pt;height:14.1pt;z-index:251655680" filled="f" stroked="f">
            <v:textbox>
              <w:txbxContent>
                <w:p w14:paraId="1A4E8FBF" w14:textId="77777777" w:rsidR="005F7168" w:rsidRDefault="005F7168">
                  <w:pPr>
                    <w:spacing w:line="160" w:lineRule="exact"/>
                    <w:rPr>
                      <w:rFonts w:cs="Miriam" w:hint="cs"/>
                      <w:sz w:val="18"/>
                      <w:szCs w:val="18"/>
                      <w:rtl/>
                    </w:rPr>
                  </w:pPr>
                  <w:r>
                    <w:rPr>
                      <w:rFonts w:cs="Miriam" w:hint="cs"/>
                      <w:sz w:val="18"/>
                      <w:szCs w:val="18"/>
                      <w:rtl/>
                    </w:rPr>
                    <w:t>תקופת ההגנה</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(א)</w:t>
      </w:r>
      <w:r>
        <w:rPr>
          <w:rStyle w:val="default"/>
          <w:rFonts w:cs="FrankRuehl" w:hint="cs"/>
          <w:rtl/>
        </w:rPr>
        <w:tab/>
        <w:t>תחילתה של הזכות הבלעדית בטופוגרפיה, על פי חוק זה, במועד יצירת טופוגרפיה.</w:t>
      </w:r>
    </w:p>
    <w:p w14:paraId="2F036277" w14:textId="77777777" w:rsidR="005F7168" w:rsidRDefault="005F71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הזכות הבלעדית בטופוגרפיה תפקע במועד המוקדם מבין אלה:</w:t>
      </w:r>
    </w:p>
    <w:p w14:paraId="2FE53FC8" w14:textId="77777777" w:rsidR="005F7168" w:rsidRDefault="005F716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בתום עשר שנים מהמועד שבו נמכרו או הופצו כדין לראשונה, באופן מסחרי, בישראל או מחוץ לישראל, הטופוגרפיה או מעגל משולב שבו מגולמת הטופוגרפיה;</w:t>
      </w:r>
    </w:p>
    <w:p w14:paraId="08CC9940" w14:textId="77777777" w:rsidR="005F7168" w:rsidRDefault="005F716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בתום חמש עשרה שנים ממועד יצירת הטופוגרפיה.</w:t>
      </w:r>
    </w:p>
    <w:p w14:paraId="2C1FEB91" w14:textId="77777777" w:rsidR="005F7168" w:rsidRDefault="005F7168">
      <w:pPr>
        <w:pStyle w:val="P00"/>
        <w:spacing w:before="72"/>
        <w:ind w:left="0" w:right="1134"/>
        <w:rPr>
          <w:rStyle w:val="default"/>
          <w:rFonts w:cs="FrankRuehl" w:hint="cs"/>
          <w:rtl/>
        </w:rPr>
      </w:pPr>
      <w:bookmarkStart w:id="9" w:name="Seif8"/>
      <w:bookmarkEnd w:id="9"/>
      <w:r>
        <w:rPr>
          <w:rFonts w:cs="Miriam"/>
          <w:szCs w:val="32"/>
          <w:rtl/>
          <w:lang w:val="he-IL"/>
        </w:rPr>
        <w:pict w14:anchorId="2DCF6E72">
          <v:shape id="_x0000_s1060" type="#_x0000_t202" style="position:absolute;left:0;text-align:left;margin-left:459pt;margin-top:.9pt;width:85.5pt;height:22.05pt;z-index:251656704" filled="f" stroked="f">
            <v:textbox>
              <w:txbxContent>
                <w:p w14:paraId="44772CFE" w14:textId="77777777" w:rsidR="005F7168" w:rsidRDefault="005F7168">
                  <w:pPr>
                    <w:spacing w:line="160" w:lineRule="exact"/>
                    <w:rPr>
                      <w:rFonts w:cs="Miriam" w:hint="cs"/>
                      <w:sz w:val="18"/>
                      <w:szCs w:val="18"/>
                      <w:rtl/>
                    </w:rPr>
                  </w:pPr>
                  <w:r>
                    <w:rPr>
                      <w:rFonts w:cs="Miriam" w:hint="cs"/>
                      <w:sz w:val="18"/>
                      <w:szCs w:val="18"/>
                      <w:rtl/>
                    </w:rPr>
                    <w:t xml:space="preserve">הפרת הזכות הבלעדית </w:t>
                  </w:r>
                  <w:r>
                    <w:rPr>
                      <w:rFonts w:cs="Miriam"/>
                      <w:sz w:val="18"/>
                      <w:szCs w:val="18"/>
                      <w:rtl/>
                    </w:rPr>
                    <w:t>–</w:t>
                  </w:r>
                  <w:r>
                    <w:rPr>
                      <w:rFonts w:cs="Miriam" w:hint="cs"/>
                      <w:sz w:val="18"/>
                      <w:szCs w:val="18"/>
                      <w:rtl/>
                    </w:rPr>
                    <w:t xml:space="preserve"> עוולה</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(א)</w:t>
      </w:r>
      <w:r>
        <w:rPr>
          <w:rStyle w:val="default"/>
          <w:rFonts w:cs="FrankRuehl" w:hint="cs"/>
          <w:rtl/>
        </w:rPr>
        <w:tab/>
        <w:t>הפרת הזכות הבלעדית היא ביצוע אחת הפעולות המנויות בסעיף 6 לחוק, בלא הרשאת בעל הטופוגרפיה.</w:t>
      </w:r>
    </w:p>
    <w:p w14:paraId="5F9CDFCF" w14:textId="77777777" w:rsidR="005F7168" w:rsidRDefault="005F71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הפרת הזכות הבלעדית היא עוולה בנזיקין ופקודת הנזיקין [נוסח חדש] תחול עליה כפוף להוראות חוק זה.</w:t>
      </w:r>
    </w:p>
    <w:p w14:paraId="2042E2A4" w14:textId="77777777" w:rsidR="005F7168" w:rsidRDefault="005F7168">
      <w:pPr>
        <w:pStyle w:val="P00"/>
        <w:spacing w:before="72"/>
        <w:ind w:left="0" w:right="1134"/>
        <w:rPr>
          <w:rStyle w:val="default"/>
          <w:rFonts w:cs="FrankRuehl" w:hint="cs"/>
          <w:rtl/>
        </w:rPr>
      </w:pPr>
      <w:bookmarkStart w:id="10" w:name="Seif11"/>
      <w:bookmarkEnd w:id="10"/>
      <w:r>
        <w:rPr>
          <w:rFonts w:cs="Miriam"/>
          <w:szCs w:val="32"/>
          <w:rtl/>
          <w:lang w:val="he-IL"/>
        </w:rPr>
        <w:pict w14:anchorId="09CCDA78">
          <v:shape id="_x0000_s1063" type="#_x0000_t202" style="position:absolute;left:0;text-align:left;margin-left:470.35pt;margin-top:7.1pt;width:1in;height:14.65pt;z-index:251659776" filled="f" stroked="f">
            <v:textbox inset="1mm,0,1mm,0">
              <w:txbxContent>
                <w:p w14:paraId="20A1DD40" w14:textId="77777777" w:rsidR="005F7168" w:rsidRDefault="005F7168">
                  <w:pPr>
                    <w:spacing w:line="160" w:lineRule="exact"/>
                    <w:rPr>
                      <w:rFonts w:cs="Miriam" w:hint="cs"/>
                      <w:sz w:val="18"/>
                      <w:szCs w:val="18"/>
                      <w:rtl/>
                    </w:rPr>
                  </w:pPr>
                  <w:r>
                    <w:rPr>
                      <w:rFonts w:cs="Miriam" w:hint="cs"/>
                      <w:sz w:val="18"/>
                      <w:szCs w:val="18"/>
                      <w:rtl/>
                    </w:rPr>
                    <w:t>פעולות מותרות</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על אף הוראות סעיף 10, מותר לבצע את הפעולות המנויות בסעיף זה בלא הרשאת בעל הטופוגרפיה ובלא תשלום:</w:t>
      </w:r>
    </w:p>
    <w:p w14:paraId="40FD6A45" w14:textId="77777777" w:rsidR="005F7168" w:rsidRDefault="005F716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כל פעולה ביחס לחלקים בלתי מקוריים של הטופוגרפיה;</w:t>
      </w:r>
    </w:p>
    <w:p w14:paraId="54E2B7DA" w14:textId="77777777" w:rsidR="005F7168" w:rsidRDefault="005F716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העתקה למטרות פרטיות;</w:t>
      </w:r>
    </w:p>
    <w:p w14:paraId="18B3F76C" w14:textId="77777777" w:rsidR="005F7168" w:rsidRDefault="005F716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העתקה לצורך הערכה, ניתוח, מחקר או הוראה;</w:t>
      </w:r>
    </w:p>
    <w:p w14:paraId="4B2799D0" w14:textId="77777777" w:rsidR="005F7168" w:rsidRDefault="005F716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יצירת טופוגרפיה מקורית אחרת על סמך ניתוח והערכה של הטופוגרפיה.</w:t>
      </w:r>
    </w:p>
    <w:p w14:paraId="4944A784" w14:textId="77777777" w:rsidR="005F7168" w:rsidRDefault="005F7168">
      <w:pPr>
        <w:pStyle w:val="P00"/>
        <w:spacing w:before="72"/>
        <w:ind w:left="0" w:right="1134"/>
        <w:rPr>
          <w:rStyle w:val="default"/>
          <w:rFonts w:cs="FrankRuehl" w:hint="cs"/>
          <w:rtl/>
        </w:rPr>
      </w:pPr>
      <w:bookmarkStart w:id="11" w:name="Seif12"/>
      <w:bookmarkEnd w:id="11"/>
      <w:r>
        <w:rPr>
          <w:rFonts w:cs="Miriam"/>
          <w:szCs w:val="32"/>
          <w:rtl/>
          <w:lang w:val="he-IL"/>
        </w:rPr>
        <w:pict w14:anchorId="12E5D2E9">
          <v:shape id="_x0000_s1064" type="#_x0000_t202" style="position:absolute;left:0;text-align:left;margin-left:470.35pt;margin-top:7.1pt;width:1in;height:20.95pt;z-index:251660800" filled="f" stroked="f">
            <v:textbox inset="1mm,0,1mm,0">
              <w:txbxContent>
                <w:p w14:paraId="31E44AAC" w14:textId="77777777" w:rsidR="005F7168" w:rsidRDefault="005F7168">
                  <w:pPr>
                    <w:spacing w:line="160" w:lineRule="exact"/>
                    <w:rPr>
                      <w:rFonts w:cs="Miriam" w:hint="cs"/>
                      <w:sz w:val="18"/>
                      <w:szCs w:val="18"/>
                      <w:rtl/>
                    </w:rPr>
                  </w:pPr>
                  <w:r>
                    <w:rPr>
                      <w:rFonts w:cs="Miriam" w:hint="cs"/>
                      <w:sz w:val="18"/>
                      <w:szCs w:val="18"/>
                      <w:rtl/>
                    </w:rPr>
                    <w:t>אי ידיעה על הפרה</w:t>
                  </w:r>
                </w:p>
              </w:txbxContent>
            </v:textbox>
            <w10:anchorlock/>
          </v:shape>
        </w:pict>
      </w:r>
      <w:r>
        <w:rPr>
          <w:rStyle w:val="default"/>
          <w:rFonts w:cs="Miriam" w:hint="cs"/>
          <w:sz w:val="32"/>
          <w:szCs w:val="32"/>
          <w:rtl/>
        </w:rPr>
        <w:t>12</w:t>
      </w:r>
      <w:r>
        <w:rPr>
          <w:rStyle w:val="default"/>
          <w:rFonts w:cs="FrankRuehl" w:hint="cs"/>
          <w:rtl/>
        </w:rPr>
        <w:t>.</w:t>
      </w:r>
      <w:r>
        <w:rPr>
          <w:rStyle w:val="default"/>
          <w:rFonts w:cs="FrankRuehl" w:hint="cs"/>
          <w:rtl/>
        </w:rPr>
        <w:tab/>
        <w:t>(א)</w:t>
      </w:r>
      <w:r>
        <w:rPr>
          <w:rStyle w:val="default"/>
          <w:rFonts w:cs="FrankRuehl" w:hint="cs"/>
          <w:rtl/>
        </w:rPr>
        <w:tab/>
        <w:t>רכש או הזמין אדם מעגל משולב או חפץ המכיל מעגל משולב, כאשר לא ידע ולא היה עליו לדעת, בעת הקניה או ההזמנה, כי המעגל המשולב מהווה העתקה מפרה של טופוגרפיה המוגנת על פי חוק זה, רשאי הוא לבצע בו את הפעולות המנויות בסעיף 6(2)(ב) ו-(ג), ולא יהיה אחראי בשל הפרת זכות בלעדית.</w:t>
      </w:r>
    </w:p>
    <w:p w14:paraId="69DB3C75" w14:textId="77777777" w:rsidR="005F7168" w:rsidRDefault="005F71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מי שביצע את הפעולות המנויות בסעיף 6(2)(ב) ו-(ג), ישלם לבעל הטופוגרפיה תמלוגים סבירים בעבורן, וזאת החל ביום שקיבל הודעה כי המעגל המשולב מהווה העתקה מפרה.</w:t>
      </w:r>
    </w:p>
    <w:p w14:paraId="1AAB359D" w14:textId="77777777" w:rsidR="007C4499" w:rsidRDefault="007C4499" w:rsidP="007C4499">
      <w:pPr>
        <w:pStyle w:val="P00"/>
        <w:spacing w:before="72"/>
        <w:ind w:left="0" w:right="1134"/>
        <w:rPr>
          <w:rStyle w:val="default"/>
          <w:rFonts w:cs="FrankRuehl" w:hint="cs"/>
          <w:rtl/>
        </w:rPr>
      </w:pPr>
      <w:bookmarkStart w:id="12" w:name="Seif17"/>
      <w:bookmarkEnd w:id="12"/>
      <w:r>
        <w:rPr>
          <w:rFonts w:cs="Miriam"/>
          <w:szCs w:val="32"/>
          <w:rtl/>
          <w:lang w:val="he-IL"/>
        </w:rPr>
        <w:pict w14:anchorId="15D8F9A8">
          <v:shape id="_x0000_s1069" type="#_x0000_t202" style="position:absolute;left:0;text-align:left;margin-left:467.1pt;margin-top:7.1pt;width:75.25pt;height:54.2pt;z-index:251665920" filled="f" stroked="f">
            <v:textbox style="mso-next-textbox:#_x0000_s1069" inset="1mm,0,1mm,0">
              <w:txbxContent>
                <w:p w14:paraId="40EEC462" w14:textId="77777777" w:rsidR="007C4499" w:rsidRDefault="007C4499" w:rsidP="007C4499">
                  <w:pPr>
                    <w:spacing w:line="160" w:lineRule="exact"/>
                    <w:rPr>
                      <w:rFonts w:cs="Miriam" w:hint="cs"/>
                      <w:sz w:val="18"/>
                      <w:szCs w:val="18"/>
                      <w:rtl/>
                    </w:rPr>
                  </w:pPr>
                  <w:r>
                    <w:rPr>
                      <w:rFonts w:cs="Miriam" w:hint="cs"/>
                      <w:sz w:val="18"/>
                      <w:szCs w:val="18"/>
                      <w:rtl/>
                    </w:rPr>
                    <w:t>סעדים לעניין נכסים שהופקו תוך הפרת הזכות הבלעדית בטופוגרפיה</w:t>
                  </w:r>
                </w:p>
                <w:p w14:paraId="22F0B37A" w14:textId="77777777" w:rsidR="007C4499" w:rsidRDefault="007C4499" w:rsidP="007C4499">
                  <w:pPr>
                    <w:spacing w:line="160" w:lineRule="exact"/>
                    <w:rPr>
                      <w:rFonts w:cs="Miriam" w:hint="cs"/>
                      <w:sz w:val="18"/>
                      <w:szCs w:val="18"/>
                      <w:rtl/>
                    </w:rPr>
                  </w:pPr>
                  <w:r>
                    <w:rPr>
                      <w:rFonts w:cs="Miriam" w:hint="cs"/>
                      <w:sz w:val="18"/>
                      <w:szCs w:val="18"/>
                      <w:rtl/>
                    </w:rPr>
                    <w:t>(תיקון מס' 1) תשע"ז-2017</w:t>
                  </w:r>
                </w:p>
              </w:txbxContent>
            </v:textbox>
            <w10:anchorlock/>
          </v:shape>
        </w:pict>
      </w:r>
      <w:r>
        <w:rPr>
          <w:rStyle w:val="default"/>
          <w:rFonts w:cs="Miriam" w:hint="cs"/>
          <w:sz w:val="32"/>
          <w:szCs w:val="32"/>
          <w:rtl/>
        </w:rPr>
        <w:t>12</w:t>
      </w:r>
      <w:r>
        <w:rPr>
          <w:rStyle w:val="default"/>
          <w:rFonts w:cs="FrankRuehl" w:hint="cs"/>
          <w:rtl/>
        </w:rPr>
        <w:t>א.</w:t>
      </w:r>
      <w:r>
        <w:rPr>
          <w:rStyle w:val="default"/>
          <w:rFonts w:cs="FrankRuehl" w:hint="cs"/>
          <w:rtl/>
        </w:rPr>
        <w:tab/>
        <w:t>(א)</w:t>
      </w:r>
      <w:r>
        <w:rPr>
          <w:rStyle w:val="default"/>
          <w:rFonts w:cs="FrankRuehl" w:hint="cs"/>
          <w:rtl/>
        </w:rPr>
        <w:tab/>
        <w:t xml:space="preserve">בסיום הדיון בתובענה בשל הפרת הזכות הבלעדית בטופוגרפיה, רשאי בית המשפט, לאחר ששקל בין השאר את חומרת ההפרה ואת עניינו של אדם אחר הנוגע בדבר שאינו צד לתובענה, להורות על </w:t>
      </w:r>
      <w:r>
        <w:rPr>
          <w:rStyle w:val="default"/>
          <w:rFonts w:cs="FrankRuehl"/>
          <w:rtl/>
        </w:rPr>
        <w:t>–</w:t>
      </w:r>
    </w:p>
    <w:p w14:paraId="35348B19" w14:textId="77777777" w:rsidR="007C4499" w:rsidRDefault="007C4499" w:rsidP="007C44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עשיית פעולה לגבי הנכסים שהופקו תוך הפרת הזכות (בסעיף זה </w:t>
      </w:r>
      <w:r>
        <w:rPr>
          <w:rStyle w:val="default"/>
          <w:rFonts w:cs="FrankRuehl"/>
          <w:rtl/>
        </w:rPr>
        <w:t>–</w:t>
      </w:r>
      <w:r>
        <w:rPr>
          <w:rStyle w:val="default"/>
          <w:rFonts w:cs="FrankRuehl" w:hint="cs"/>
          <w:rtl/>
        </w:rPr>
        <w:t xml:space="preserve"> נכסים מפרים) שמטרתה למנוע נזק מבעל הזכות בטופוגרפיה, ובכלל זה העברת הבעלות באותם נכסים לידי התובע אם ביקש זאת, או השמדתם; ואולם הורה בית המשפט על העברת הבעלות כאמור, רשאי הוא, אם מצא כי התובע עשוי לעשות שימוש בנכסים המפרים, לחייבו בתשלום כפי שיקבע;</w:t>
      </w:r>
    </w:p>
    <w:p w14:paraId="3BC9075D" w14:textId="77777777" w:rsidR="007C4499" w:rsidRDefault="007C4499" w:rsidP="007C44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עשיית פעולה בנכסים ששימושם העיקרי והמרכזי היה לייצורם של נכסים מפרים שמטרתה למנוע את המשך ההפרה שבה דן בית המשפט או הפרה אחרת של זכות בטופוגרפיה.</w:t>
      </w:r>
    </w:p>
    <w:p w14:paraId="2A2C46FD" w14:textId="77777777" w:rsidR="007C4499" w:rsidRDefault="007C4499" w:rsidP="007C44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יחולו גם לגבי נכס המצוי בידי אדם שלא הפר בעצמו את הזכות כאמור, והכול בכפוף להוראות סעיף 34 לחוק המכר, התשכ"ח-1968.</w:t>
      </w:r>
    </w:p>
    <w:p w14:paraId="7FAC2755" w14:textId="77777777" w:rsidR="007C4499" w:rsidRPr="007C4499" w:rsidRDefault="007C4499" w:rsidP="007C4499">
      <w:pPr>
        <w:pStyle w:val="P00"/>
        <w:spacing w:before="0"/>
        <w:ind w:left="0" w:right="1134"/>
        <w:rPr>
          <w:rStyle w:val="default"/>
          <w:rFonts w:cs="FrankRuehl" w:hint="cs"/>
          <w:vanish/>
          <w:color w:val="FF0000"/>
          <w:sz w:val="20"/>
          <w:szCs w:val="20"/>
          <w:shd w:val="clear" w:color="auto" w:fill="FFFF99"/>
          <w:rtl/>
        </w:rPr>
      </w:pPr>
      <w:bookmarkStart w:id="13" w:name="Rov17"/>
      <w:r w:rsidRPr="007C4499">
        <w:rPr>
          <w:rStyle w:val="default"/>
          <w:rFonts w:cs="FrankRuehl" w:hint="cs"/>
          <w:vanish/>
          <w:color w:val="FF0000"/>
          <w:sz w:val="20"/>
          <w:szCs w:val="20"/>
          <w:shd w:val="clear" w:color="auto" w:fill="FFFF99"/>
          <w:rtl/>
        </w:rPr>
        <w:t>מיום 7.8.2017</w:t>
      </w:r>
    </w:p>
    <w:p w14:paraId="0A6DD667" w14:textId="77777777" w:rsidR="007C4499" w:rsidRPr="007C4499" w:rsidRDefault="007C4499" w:rsidP="007C4499">
      <w:pPr>
        <w:pStyle w:val="P00"/>
        <w:spacing w:before="0"/>
        <w:ind w:left="0" w:right="1134"/>
        <w:rPr>
          <w:rStyle w:val="default"/>
          <w:rFonts w:cs="FrankRuehl" w:hint="cs"/>
          <w:vanish/>
          <w:sz w:val="20"/>
          <w:szCs w:val="20"/>
          <w:shd w:val="clear" w:color="auto" w:fill="FFFF99"/>
          <w:rtl/>
        </w:rPr>
      </w:pPr>
      <w:r w:rsidRPr="007C4499">
        <w:rPr>
          <w:rStyle w:val="default"/>
          <w:rFonts w:cs="FrankRuehl" w:hint="cs"/>
          <w:b/>
          <w:bCs/>
          <w:vanish/>
          <w:sz w:val="20"/>
          <w:szCs w:val="20"/>
          <w:shd w:val="clear" w:color="auto" w:fill="FFFF99"/>
          <w:rtl/>
        </w:rPr>
        <w:t xml:space="preserve">תיקון מס' </w:t>
      </w:r>
      <w:r w:rsidRPr="007C4499">
        <w:rPr>
          <w:rStyle w:val="default"/>
          <w:rFonts w:cs="FrankRuehl" w:hint="cs"/>
          <w:b/>
          <w:bCs/>
          <w:vanish/>
          <w:szCs w:val="20"/>
          <w:shd w:val="clear" w:color="auto" w:fill="FFFF99"/>
          <w:rtl/>
        </w:rPr>
        <w:t>1</w:t>
      </w:r>
    </w:p>
    <w:p w14:paraId="32C6DDE6" w14:textId="77777777" w:rsidR="007C4499" w:rsidRPr="007C4499" w:rsidRDefault="007C4499" w:rsidP="007C4499">
      <w:pPr>
        <w:pStyle w:val="P00"/>
        <w:spacing w:before="0"/>
        <w:ind w:left="0" w:right="1134"/>
        <w:rPr>
          <w:rStyle w:val="default"/>
          <w:rFonts w:cs="FrankRuehl" w:hint="cs"/>
          <w:vanish/>
          <w:szCs w:val="20"/>
          <w:shd w:val="clear" w:color="auto" w:fill="FFFF99"/>
          <w:rtl/>
        </w:rPr>
      </w:pPr>
      <w:hyperlink r:id="rId7" w:history="1">
        <w:r w:rsidRPr="007C4499">
          <w:rPr>
            <w:rStyle w:val="Hyperlink"/>
            <w:rFonts w:cs="FrankRuehl" w:hint="cs"/>
            <w:vanish/>
            <w:szCs w:val="20"/>
            <w:shd w:val="clear" w:color="auto" w:fill="FFFF99"/>
            <w:rtl/>
          </w:rPr>
          <w:t>ס"ח תשע"ז מס' 2662</w:t>
        </w:r>
      </w:hyperlink>
      <w:r w:rsidRPr="007C4499">
        <w:rPr>
          <w:rStyle w:val="default"/>
          <w:rFonts w:cs="FrankRuehl" w:hint="cs"/>
          <w:vanish/>
          <w:sz w:val="20"/>
          <w:szCs w:val="20"/>
          <w:shd w:val="clear" w:color="auto" w:fill="FFFF99"/>
          <w:rtl/>
        </w:rPr>
        <w:t xml:space="preserve"> מיום 7.8.2017 עמ' 1200 (</w:t>
      </w:r>
      <w:hyperlink r:id="rId8" w:history="1">
        <w:r w:rsidRPr="007C4499">
          <w:rPr>
            <w:rStyle w:val="Hyperlink"/>
            <w:rFonts w:cs="FrankRuehl" w:hint="cs"/>
            <w:vanish/>
            <w:szCs w:val="20"/>
            <w:shd w:val="clear" w:color="auto" w:fill="FFFF99"/>
            <w:rtl/>
          </w:rPr>
          <w:t>ה"ח 928</w:t>
        </w:r>
      </w:hyperlink>
      <w:r w:rsidRPr="007C4499">
        <w:rPr>
          <w:rStyle w:val="default"/>
          <w:rFonts w:cs="FrankRuehl" w:hint="cs"/>
          <w:vanish/>
          <w:sz w:val="20"/>
          <w:szCs w:val="20"/>
          <w:shd w:val="clear" w:color="auto" w:fill="FFFF99"/>
          <w:rtl/>
        </w:rPr>
        <w:t>)</w:t>
      </w:r>
    </w:p>
    <w:p w14:paraId="123B880A" w14:textId="77777777" w:rsidR="007C4499" w:rsidRPr="007C4499" w:rsidRDefault="007C4499" w:rsidP="007C4499">
      <w:pPr>
        <w:pStyle w:val="P00"/>
        <w:spacing w:before="0"/>
        <w:ind w:left="0" w:right="1134"/>
        <w:rPr>
          <w:rStyle w:val="default"/>
          <w:rFonts w:cs="FrankRuehl" w:hint="cs"/>
          <w:sz w:val="2"/>
          <w:szCs w:val="2"/>
          <w:shd w:val="clear" w:color="auto" w:fill="FFFF99"/>
          <w:rtl/>
        </w:rPr>
      </w:pPr>
      <w:r w:rsidRPr="007C4499">
        <w:rPr>
          <w:rStyle w:val="default"/>
          <w:rFonts w:cs="FrankRuehl" w:hint="cs"/>
          <w:b/>
          <w:bCs/>
          <w:vanish/>
          <w:szCs w:val="20"/>
          <w:shd w:val="clear" w:color="auto" w:fill="FFFF99"/>
          <w:rtl/>
        </w:rPr>
        <w:t>הוספת סעיף 12א</w:t>
      </w:r>
      <w:bookmarkEnd w:id="13"/>
    </w:p>
    <w:p w14:paraId="10DEA60D" w14:textId="77777777" w:rsidR="005F7168" w:rsidRDefault="005F7168">
      <w:pPr>
        <w:pStyle w:val="P00"/>
        <w:spacing w:before="72"/>
        <w:ind w:left="0" w:right="1134"/>
        <w:rPr>
          <w:rStyle w:val="default"/>
          <w:rFonts w:cs="FrankRuehl" w:hint="cs"/>
          <w:rtl/>
        </w:rPr>
      </w:pPr>
      <w:bookmarkStart w:id="14" w:name="Seif13"/>
      <w:bookmarkEnd w:id="14"/>
      <w:r>
        <w:rPr>
          <w:rFonts w:cs="Miriam"/>
          <w:szCs w:val="32"/>
          <w:rtl/>
          <w:lang w:val="he-IL"/>
        </w:rPr>
        <w:pict w14:anchorId="3FEE60AC">
          <v:shape id="_x0000_s1065" type="#_x0000_t202" style="position:absolute;left:0;text-align:left;margin-left:470.35pt;margin-top:7.1pt;width:1in;height:20.95pt;z-index:251661824" filled="f" stroked="f">
            <v:textbox inset="1mm,0,1mm,0">
              <w:txbxContent>
                <w:p w14:paraId="75F666FE" w14:textId="77777777" w:rsidR="005F7168" w:rsidRDefault="005F7168">
                  <w:pPr>
                    <w:spacing w:line="160" w:lineRule="exact"/>
                    <w:rPr>
                      <w:rFonts w:cs="Miriam" w:hint="cs"/>
                      <w:sz w:val="18"/>
                      <w:szCs w:val="18"/>
                      <w:rtl/>
                    </w:rPr>
                  </w:pPr>
                  <w:r>
                    <w:rPr>
                      <w:rFonts w:cs="Miriam" w:hint="cs"/>
                      <w:sz w:val="18"/>
                      <w:szCs w:val="18"/>
                      <w:rtl/>
                    </w:rPr>
                    <w:t>הגבלת הזכות הבלעדית</w:t>
                  </w:r>
                </w:p>
              </w:txbxContent>
            </v:textbox>
            <w10:anchorlock/>
          </v:shape>
        </w:pict>
      </w:r>
      <w:r>
        <w:rPr>
          <w:rStyle w:val="default"/>
          <w:rFonts w:cs="Miriam" w:hint="cs"/>
          <w:sz w:val="32"/>
          <w:szCs w:val="32"/>
          <w:rtl/>
        </w:rPr>
        <w:t>13</w:t>
      </w:r>
      <w:r>
        <w:rPr>
          <w:rStyle w:val="default"/>
          <w:rFonts w:cs="FrankRuehl" w:hint="cs"/>
          <w:rtl/>
        </w:rPr>
        <w:t>.</w:t>
      </w:r>
      <w:r>
        <w:rPr>
          <w:rStyle w:val="default"/>
          <w:rFonts w:cs="FrankRuehl" w:hint="cs"/>
          <w:rtl/>
        </w:rPr>
        <w:tab/>
        <w:t>(א)</w:t>
      </w:r>
      <w:r>
        <w:rPr>
          <w:rStyle w:val="default"/>
          <w:rFonts w:cs="FrankRuehl" w:hint="cs"/>
          <w:rtl/>
        </w:rPr>
        <w:tab/>
        <w:t>רשם הפטנטים, כמשמעותו בחוק הפטנטים, רשאי ליתן רשיון כפיה לניצול טופוגרפיה; לענין זה, יראו טופוגרפיה כאמצאה מוגנת בפטנט, מועד יצירת הטופוגרפיה ייחשב כיום שבו ניתן עליה פטנט, והוראות חוק הפטנטים, למעט סעיף 121, יחולו בשינויים המחויבים.</w:t>
      </w:r>
    </w:p>
    <w:p w14:paraId="4894FFF6" w14:textId="77777777" w:rsidR="005F7168" w:rsidRDefault="005F71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כמשמעותו בפרק ו' לחוק הפטנטים רשאי להתיר ניצול הזכויות בטופוגרפיה לטובת המדינה, ולענין זה יחולו הוראות חוק הפטנטים בשינויים המחויבים.</w:t>
      </w:r>
    </w:p>
    <w:p w14:paraId="172C65E6" w14:textId="77777777" w:rsidR="005F7168" w:rsidRDefault="005F7168">
      <w:pPr>
        <w:pStyle w:val="P00"/>
        <w:spacing w:before="72"/>
        <w:ind w:left="0" w:right="1134"/>
        <w:rPr>
          <w:rStyle w:val="default"/>
          <w:rFonts w:cs="FrankRuehl" w:hint="cs"/>
          <w:rtl/>
        </w:rPr>
      </w:pPr>
      <w:bookmarkStart w:id="15" w:name="Seif14"/>
      <w:bookmarkEnd w:id="15"/>
      <w:r>
        <w:rPr>
          <w:rFonts w:cs="Miriam"/>
          <w:szCs w:val="32"/>
          <w:rtl/>
          <w:lang w:val="he-IL"/>
        </w:rPr>
        <w:pict w14:anchorId="36FF7AA1">
          <v:shape id="_x0000_s1066" type="#_x0000_t202" style="position:absolute;left:0;text-align:left;margin-left:470.35pt;margin-top:7.1pt;width:1in;height:10.95pt;z-index:251662848" filled="f" stroked="f">
            <v:textbox inset="1mm,0,1mm,0">
              <w:txbxContent>
                <w:p w14:paraId="6A4EDD61" w14:textId="77777777" w:rsidR="005F7168" w:rsidRDefault="005F7168">
                  <w:pPr>
                    <w:spacing w:line="160" w:lineRule="exact"/>
                    <w:rPr>
                      <w:rFonts w:cs="Miriam" w:hint="cs"/>
                      <w:sz w:val="18"/>
                      <w:szCs w:val="18"/>
                      <w:rtl/>
                    </w:rPr>
                  </w:pPr>
                  <w:r>
                    <w:rPr>
                      <w:rFonts w:cs="Miriam" w:hint="cs"/>
                      <w:sz w:val="18"/>
                      <w:szCs w:val="18"/>
                      <w:rtl/>
                    </w:rPr>
                    <w:t>תקנות</w:t>
                  </w:r>
                </w:p>
              </w:txbxContent>
            </v:textbox>
            <w10:anchorlock/>
          </v:shape>
        </w:pict>
      </w:r>
      <w:r>
        <w:rPr>
          <w:rStyle w:val="default"/>
          <w:rFonts w:cs="Miriam" w:hint="cs"/>
          <w:sz w:val="32"/>
          <w:szCs w:val="32"/>
          <w:rtl/>
        </w:rPr>
        <w:t>14</w:t>
      </w:r>
      <w:r>
        <w:rPr>
          <w:rStyle w:val="default"/>
          <w:rFonts w:cs="FrankRuehl" w:hint="cs"/>
          <w:rtl/>
        </w:rPr>
        <w:t>.</w:t>
      </w:r>
      <w:r>
        <w:rPr>
          <w:rStyle w:val="default"/>
          <w:rFonts w:cs="FrankRuehl" w:hint="cs"/>
          <w:rtl/>
        </w:rPr>
        <w:tab/>
        <w:t>שר המשפטים ממונה על ביצוע חוק זה, והוא רשאי באישור ועדת החוקה חוק ומשפט של הכנסת, להתקין תקנות לביצועו.</w:t>
      </w:r>
    </w:p>
    <w:p w14:paraId="1D4DE0C1" w14:textId="77777777" w:rsidR="005F7168" w:rsidRDefault="005F7168">
      <w:pPr>
        <w:pStyle w:val="P00"/>
        <w:spacing w:before="72"/>
        <w:ind w:left="0" w:right="1134"/>
        <w:rPr>
          <w:rStyle w:val="default"/>
          <w:rFonts w:cs="FrankRuehl" w:hint="cs"/>
          <w:rtl/>
        </w:rPr>
      </w:pPr>
      <w:bookmarkStart w:id="16" w:name="Seif15"/>
      <w:bookmarkEnd w:id="16"/>
      <w:r>
        <w:rPr>
          <w:rFonts w:cs="Miriam"/>
          <w:szCs w:val="32"/>
          <w:rtl/>
          <w:lang w:val="he-IL"/>
        </w:rPr>
        <w:pict w14:anchorId="02104BA8">
          <v:shape id="_x0000_s1067" type="#_x0000_t202" style="position:absolute;left:0;text-align:left;margin-left:470.35pt;margin-top:7.1pt;width:1in;height:11.4pt;z-index:251663872" filled="f" stroked="f">
            <v:textbox inset="1mm,0,1mm,0">
              <w:txbxContent>
                <w:p w14:paraId="352E83BD" w14:textId="77777777" w:rsidR="005F7168" w:rsidRDefault="005F7168">
                  <w:pPr>
                    <w:spacing w:line="160" w:lineRule="exact"/>
                    <w:rPr>
                      <w:rFonts w:cs="Miriam" w:hint="cs"/>
                      <w:sz w:val="18"/>
                      <w:szCs w:val="18"/>
                      <w:rtl/>
                    </w:rPr>
                  </w:pPr>
                  <w:r>
                    <w:rPr>
                      <w:rFonts w:cs="Miriam" w:hint="cs"/>
                      <w:sz w:val="18"/>
                      <w:szCs w:val="18"/>
                      <w:rtl/>
                    </w:rPr>
                    <w:t>תחילת החוק</w:t>
                  </w:r>
                </w:p>
              </w:txbxContent>
            </v:textbox>
            <w10:anchorlock/>
          </v:shape>
        </w:pict>
      </w:r>
      <w:r>
        <w:rPr>
          <w:rStyle w:val="default"/>
          <w:rFonts w:cs="Miriam" w:hint="cs"/>
          <w:sz w:val="32"/>
          <w:szCs w:val="32"/>
          <w:rtl/>
        </w:rPr>
        <w:t>15</w:t>
      </w:r>
      <w:r>
        <w:rPr>
          <w:rStyle w:val="default"/>
          <w:rFonts w:cs="FrankRuehl" w:hint="cs"/>
          <w:rtl/>
        </w:rPr>
        <w:t>.</w:t>
      </w:r>
      <w:r>
        <w:rPr>
          <w:rStyle w:val="default"/>
          <w:rFonts w:cs="FrankRuehl" w:hint="cs"/>
          <w:rtl/>
        </w:rPr>
        <w:tab/>
        <w:t>תחילתו של חוק זה ביום כ"ג בטבת התש"ס (1 בינואר 2000).</w:t>
      </w:r>
    </w:p>
    <w:p w14:paraId="4FB4086E" w14:textId="77777777" w:rsidR="005F7168" w:rsidRDefault="005F7168">
      <w:pPr>
        <w:pStyle w:val="P00"/>
        <w:spacing w:before="72"/>
        <w:ind w:left="0" w:right="1134"/>
        <w:rPr>
          <w:rStyle w:val="default"/>
          <w:rFonts w:cs="FrankRuehl" w:hint="cs"/>
          <w:rtl/>
        </w:rPr>
      </w:pPr>
      <w:bookmarkStart w:id="17" w:name="Seif16"/>
      <w:bookmarkEnd w:id="17"/>
      <w:r>
        <w:rPr>
          <w:rFonts w:cs="Miriam"/>
          <w:szCs w:val="32"/>
          <w:rtl/>
          <w:lang w:val="he-IL"/>
        </w:rPr>
        <w:pict w14:anchorId="4633255A">
          <v:shape id="_x0000_s1068" type="#_x0000_t202" style="position:absolute;left:0;text-align:left;margin-left:470.35pt;margin-top:7.1pt;width:1in;height:20.95pt;z-index:251664896" filled="f" stroked="f">
            <v:textbox inset="1mm,0,1mm,0">
              <w:txbxContent>
                <w:p w14:paraId="10278AE1" w14:textId="77777777" w:rsidR="005F7168" w:rsidRDefault="005F7168">
                  <w:pPr>
                    <w:spacing w:line="160" w:lineRule="exact"/>
                    <w:rPr>
                      <w:rFonts w:cs="Miriam" w:hint="cs"/>
                      <w:sz w:val="18"/>
                      <w:szCs w:val="18"/>
                      <w:rtl/>
                    </w:rPr>
                  </w:pPr>
                  <w:r>
                    <w:rPr>
                      <w:rFonts w:cs="Miriam" w:hint="cs"/>
                      <w:sz w:val="18"/>
                      <w:szCs w:val="18"/>
                      <w:rtl/>
                    </w:rPr>
                    <w:t>תחולה והוראות מעבר</w:t>
                  </w:r>
                </w:p>
              </w:txbxContent>
            </v:textbox>
            <w10:anchorlock/>
          </v:shape>
        </w:pict>
      </w:r>
      <w:r>
        <w:rPr>
          <w:rStyle w:val="default"/>
          <w:rFonts w:cs="Miriam" w:hint="cs"/>
          <w:sz w:val="32"/>
          <w:szCs w:val="32"/>
          <w:rtl/>
        </w:rPr>
        <w:t>16</w:t>
      </w:r>
      <w:r>
        <w:rPr>
          <w:rStyle w:val="default"/>
          <w:rFonts w:cs="FrankRuehl" w:hint="cs"/>
          <w:rtl/>
        </w:rPr>
        <w:t>.</w:t>
      </w:r>
      <w:r>
        <w:rPr>
          <w:rStyle w:val="default"/>
          <w:rFonts w:cs="FrankRuehl" w:hint="cs"/>
          <w:rtl/>
        </w:rPr>
        <w:tab/>
        <w:t>הוראות חוק זה יחול גם על טופוגרפיות שמועד יצירתן קדם לתחילת החוק, ואולם הן לא יחולו על פעולות שבוצעו בטופוגרפיות לפני תחילת החוק.</w:t>
      </w:r>
    </w:p>
    <w:p w14:paraId="48B44644" w14:textId="77777777" w:rsidR="005F7168" w:rsidRDefault="005F7168">
      <w:pPr>
        <w:pStyle w:val="P00"/>
        <w:spacing w:before="72"/>
        <w:ind w:left="0" w:right="1134"/>
        <w:rPr>
          <w:rStyle w:val="default"/>
          <w:rFonts w:cs="FrankRuehl" w:hint="cs"/>
          <w:rtl/>
        </w:rPr>
      </w:pPr>
    </w:p>
    <w:p w14:paraId="46F88488" w14:textId="77777777" w:rsidR="005F7168" w:rsidRDefault="005F7168">
      <w:pPr>
        <w:pStyle w:val="P00"/>
        <w:spacing w:before="72"/>
        <w:ind w:left="0" w:right="1134"/>
        <w:rPr>
          <w:rStyle w:val="default"/>
          <w:rFonts w:cs="FrankRuehl" w:hint="cs"/>
          <w:rtl/>
        </w:rPr>
      </w:pPr>
    </w:p>
    <w:p w14:paraId="4701297A" w14:textId="77777777" w:rsidR="005F7168" w:rsidRDefault="005F7168">
      <w:pPr>
        <w:pStyle w:val="sig-0"/>
        <w:tabs>
          <w:tab w:val="clear" w:pos="4820"/>
          <w:tab w:val="center" w:pos="1701"/>
          <w:tab w:val="center" w:pos="3402"/>
          <w:tab w:val="center" w:pos="5103"/>
          <w:tab w:val="center" w:pos="6804"/>
        </w:tabs>
        <w:ind w:left="0" w:right="1134"/>
        <w:rPr>
          <w:rFonts w:cs="FrankRuehl" w:hint="cs"/>
          <w:sz w:val="26"/>
          <w:rtl/>
        </w:rPr>
      </w:pPr>
      <w:r>
        <w:rPr>
          <w:rFonts w:cs="FrankRuehl" w:hint="cs"/>
          <w:sz w:val="26"/>
          <w:rtl/>
        </w:rPr>
        <w:tab/>
      </w:r>
      <w:r>
        <w:rPr>
          <w:rFonts w:cs="FrankRuehl" w:hint="cs"/>
          <w:sz w:val="26"/>
          <w:rtl/>
        </w:rPr>
        <w:tab/>
        <w:t>אהוד ברק</w:t>
      </w:r>
      <w:r>
        <w:rPr>
          <w:rFonts w:cs="FrankRuehl" w:hint="cs"/>
          <w:sz w:val="26"/>
          <w:rtl/>
        </w:rPr>
        <w:tab/>
      </w:r>
      <w:r>
        <w:rPr>
          <w:rFonts w:cs="FrankRuehl" w:hint="cs"/>
          <w:sz w:val="26"/>
          <w:rtl/>
        </w:rPr>
        <w:tab/>
        <w:t>יוסף ביילין</w:t>
      </w:r>
    </w:p>
    <w:p w14:paraId="12A0FF85" w14:textId="77777777" w:rsidR="005F7168" w:rsidRDefault="005F7168">
      <w:pPr>
        <w:pStyle w:val="sig-0"/>
        <w:tabs>
          <w:tab w:val="clear" w:pos="4820"/>
          <w:tab w:val="center" w:pos="1701"/>
          <w:tab w:val="center" w:pos="3402"/>
          <w:tab w:val="center" w:pos="5103"/>
          <w:tab w:val="center" w:pos="6804"/>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המשפטים</w:t>
      </w:r>
    </w:p>
    <w:p w14:paraId="45774EC2" w14:textId="77777777" w:rsidR="005F7168" w:rsidRDefault="005F7168">
      <w:pPr>
        <w:pStyle w:val="sig-0"/>
        <w:tabs>
          <w:tab w:val="clear" w:pos="4820"/>
          <w:tab w:val="center" w:pos="1701"/>
          <w:tab w:val="center" w:pos="3402"/>
          <w:tab w:val="center" w:pos="5103"/>
          <w:tab w:val="center" w:pos="6804"/>
        </w:tabs>
        <w:ind w:left="0" w:right="1134"/>
        <w:rPr>
          <w:rFonts w:cs="FrankRuehl" w:hint="cs"/>
          <w:sz w:val="26"/>
          <w:rtl/>
        </w:rPr>
      </w:pPr>
      <w:r>
        <w:rPr>
          <w:rFonts w:cs="FrankRuehl" w:hint="cs"/>
          <w:sz w:val="26"/>
          <w:rtl/>
        </w:rPr>
        <w:tab/>
        <w:t>עזר ויצמן</w:t>
      </w:r>
      <w:r>
        <w:rPr>
          <w:rFonts w:cs="FrankRuehl" w:hint="cs"/>
          <w:sz w:val="26"/>
          <w:rtl/>
        </w:rPr>
        <w:tab/>
      </w:r>
      <w:r>
        <w:rPr>
          <w:rFonts w:cs="FrankRuehl" w:hint="cs"/>
          <w:sz w:val="26"/>
          <w:rtl/>
        </w:rPr>
        <w:tab/>
        <w:t>אברהם בורג</w:t>
      </w:r>
    </w:p>
    <w:p w14:paraId="0D154039" w14:textId="77777777" w:rsidR="005F7168" w:rsidRDefault="005F7168">
      <w:pPr>
        <w:pStyle w:val="sig-0"/>
        <w:tabs>
          <w:tab w:val="clear" w:pos="4820"/>
          <w:tab w:val="center" w:pos="1701"/>
          <w:tab w:val="center" w:pos="3402"/>
          <w:tab w:val="center" w:pos="5103"/>
          <w:tab w:val="center" w:pos="6804"/>
        </w:tabs>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14:paraId="034D72B9" w14:textId="77777777" w:rsidR="005F7168" w:rsidRDefault="005F7168">
      <w:pPr>
        <w:pStyle w:val="sig-0"/>
        <w:ind w:left="0" w:right="1134"/>
        <w:rPr>
          <w:rFonts w:cs="FrankRuehl" w:hint="cs"/>
          <w:sz w:val="26"/>
          <w:rtl/>
        </w:rPr>
      </w:pPr>
    </w:p>
    <w:p w14:paraId="4D36D688" w14:textId="77777777" w:rsidR="00202E14" w:rsidRDefault="00202E14">
      <w:pPr>
        <w:pStyle w:val="sig-0"/>
        <w:ind w:left="0" w:right="1134"/>
        <w:rPr>
          <w:rFonts w:cs="FrankRuehl" w:hint="cs"/>
          <w:sz w:val="26"/>
          <w:rtl/>
        </w:rPr>
      </w:pPr>
    </w:p>
    <w:p w14:paraId="4BD10982" w14:textId="77777777" w:rsidR="009B05B7" w:rsidRDefault="009B05B7">
      <w:pPr>
        <w:pStyle w:val="sig-0"/>
        <w:ind w:left="0" w:right="1134"/>
        <w:rPr>
          <w:rFonts w:cs="FrankRuehl"/>
          <w:sz w:val="26"/>
          <w:rtl/>
        </w:rPr>
      </w:pPr>
    </w:p>
    <w:p w14:paraId="2D669280" w14:textId="77777777" w:rsidR="009B05B7" w:rsidRDefault="009B05B7">
      <w:pPr>
        <w:pStyle w:val="sig-0"/>
        <w:ind w:left="0" w:right="1134"/>
        <w:rPr>
          <w:rFonts w:cs="FrankRuehl"/>
          <w:sz w:val="26"/>
          <w:rtl/>
        </w:rPr>
      </w:pPr>
    </w:p>
    <w:p w14:paraId="530EFCE9" w14:textId="77777777" w:rsidR="009B05B7" w:rsidRDefault="009B05B7" w:rsidP="009B05B7">
      <w:pPr>
        <w:pStyle w:val="sig-0"/>
        <w:ind w:left="0" w:right="1134"/>
        <w:jc w:val="center"/>
        <w:rPr>
          <w:rFonts w:cs="David"/>
          <w:color w:val="0000FF"/>
          <w:sz w:val="26"/>
          <w:szCs w:val="24"/>
          <w:u w:val="single"/>
          <w:rtl/>
        </w:rPr>
      </w:pPr>
      <w:hyperlink r:id="rId9" w:history="1">
        <w:r>
          <w:rPr>
            <w:rFonts w:cs="David"/>
            <w:color w:val="0000FF"/>
            <w:sz w:val="26"/>
            <w:szCs w:val="24"/>
            <w:u w:val="single"/>
            <w:rtl/>
          </w:rPr>
          <w:t>הודעה למנויים על עריכה ושינויים במסמכי פסיקה, חקיקה ועוד באתר נבו - הקש כאן</w:t>
        </w:r>
      </w:hyperlink>
    </w:p>
    <w:p w14:paraId="01094A45" w14:textId="77777777" w:rsidR="005F7168" w:rsidRPr="009B05B7" w:rsidRDefault="005F7168" w:rsidP="009B05B7">
      <w:pPr>
        <w:pStyle w:val="sig-0"/>
        <w:ind w:left="0" w:right="1134"/>
        <w:jc w:val="center"/>
        <w:rPr>
          <w:rFonts w:cs="David"/>
          <w:color w:val="0000FF"/>
          <w:sz w:val="26"/>
          <w:szCs w:val="24"/>
          <w:u w:val="single"/>
          <w:rtl/>
        </w:rPr>
      </w:pPr>
    </w:p>
    <w:sectPr w:rsidR="005F7168" w:rsidRPr="009B05B7">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C294F" w14:textId="77777777" w:rsidR="00B019CA" w:rsidRDefault="00B019CA">
      <w:r>
        <w:separator/>
      </w:r>
    </w:p>
  </w:endnote>
  <w:endnote w:type="continuationSeparator" w:id="0">
    <w:p w14:paraId="2743CD5A" w14:textId="77777777" w:rsidR="00B019CA" w:rsidRDefault="00B01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34E2" w14:textId="77777777" w:rsidR="005F7168" w:rsidRDefault="005F71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1D9C561" w14:textId="77777777" w:rsidR="005F7168" w:rsidRDefault="005F71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75D6B4" w14:textId="77777777" w:rsidR="005F7168" w:rsidRDefault="005F71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02E14">
      <w:rPr>
        <w:rFonts w:cs="TopType Jerushalmi"/>
        <w:noProof/>
        <w:color w:val="000000"/>
        <w:sz w:val="14"/>
        <w:szCs w:val="14"/>
      </w:rPr>
      <w:t>D:\Yael\hakika\Revadim</w:t>
    </w:r>
    <w:r w:rsidR="00202E14">
      <w:rPr>
        <w:rFonts w:cs="TopType Jerushalmi"/>
        <w:noProof/>
        <w:color w:val="000000"/>
        <w:sz w:val="14"/>
        <w:szCs w:val="14"/>
        <w:rtl/>
      </w:rPr>
      <w:t>\קישורים\999_574.</w:t>
    </w:r>
    <w:r w:rsidR="00202E14">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CF70" w14:textId="77777777" w:rsidR="005F7168" w:rsidRDefault="005F71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B05B7">
      <w:rPr>
        <w:rFonts w:hAnsi="FrankRuehl" w:cs="FrankRuehl"/>
        <w:noProof/>
        <w:sz w:val="24"/>
        <w:szCs w:val="24"/>
        <w:rtl/>
      </w:rPr>
      <w:t>4</w:t>
    </w:r>
    <w:r>
      <w:rPr>
        <w:rFonts w:hAnsi="FrankRuehl" w:cs="FrankRuehl"/>
        <w:sz w:val="24"/>
        <w:szCs w:val="24"/>
        <w:rtl/>
      </w:rPr>
      <w:fldChar w:fldCharType="end"/>
    </w:r>
  </w:p>
  <w:p w14:paraId="20CBD082" w14:textId="77777777" w:rsidR="005F7168" w:rsidRDefault="005F71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0AD661" w14:textId="77777777" w:rsidR="005F7168" w:rsidRDefault="005F71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02E14">
      <w:rPr>
        <w:rFonts w:cs="TopType Jerushalmi"/>
        <w:noProof/>
        <w:color w:val="000000"/>
        <w:sz w:val="14"/>
        <w:szCs w:val="14"/>
      </w:rPr>
      <w:t>D:\Yael\hakika\Revadim</w:t>
    </w:r>
    <w:r w:rsidR="00202E14">
      <w:rPr>
        <w:rFonts w:cs="TopType Jerushalmi"/>
        <w:noProof/>
        <w:color w:val="000000"/>
        <w:sz w:val="14"/>
        <w:szCs w:val="14"/>
        <w:rtl/>
      </w:rPr>
      <w:t>\קישורים\999_574.</w:t>
    </w:r>
    <w:r w:rsidR="00202E14">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CC5D0" w14:textId="77777777" w:rsidR="00B019CA" w:rsidRDefault="00B019CA" w:rsidP="00202E14">
      <w:pPr>
        <w:spacing w:before="60"/>
        <w:ind w:right="1134"/>
      </w:pPr>
      <w:r>
        <w:separator/>
      </w:r>
    </w:p>
  </w:footnote>
  <w:footnote w:type="continuationSeparator" w:id="0">
    <w:p w14:paraId="3AA35141" w14:textId="77777777" w:rsidR="00B019CA" w:rsidRDefault="00B019CA">
      <w:r>
        <w:continuationSeparator/>
      </w:r>
    </w:p>
  </w:footnote>
  <w:footnote w:id="1">
    <w:p w14:paraId="49EE9531" w14:textId="77777777" w:rsidR="005F7168" w:rsidRDefault="005F7168" w:rsidP="00202E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 מס' 1721</w:t>
        </w:r>
      </w:hyperlink>
      <w:r>
        <w:rPr>
          <w:rFonts w:cs="FrankRuehl" w:hint="cs"/>
          <w:rtl/>
        </w:rPr>
        <w:t xml:space="preserve"> מיום 30.12.1999 עמ' 42 (</w:t>
      </w:r>
      <w:hyperlink r:id="rId2" w:history="1">
        <w:r>
          <w:rPr>
            <w:rStyle w:val="Hyperlink"/>
            <w:rFonts w:cs="FrankRuehl" w:hint="cs"/>
            <w:rtl/>
          </w:rPr>
          <w:t>ה"ח תש"ס מס' 2830</w:t>
        </w:r>
      </w:hyperlink>
      <w:r w:rsidR="007D2932">
        <w:rPr>
          <w:rFonts w:cs="FrankRuehl" w:hint="cs"/>
          <w:rtl/>
        </w:rPr>
        <w:t xml:space="preserve"> עמ' 139</w:t>
      </w:r>
      <w:r>
        <w:rPr>
          <w:rFonts w:cs="FrankRuehl" w:hint="cs"/>
          <w:rtl/>
        </w:rPr>
        <w:t>).</w:t>
      </w:r>
    </w:p>
    <w:p w14:paraId="60DE4440" w14:textId="77777777" w:rsidR="0095268C" w:rsidRPr="007C4499" w:rsidRDefault="007C4499" w:rsidP="009526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C4499">
        <w:rPr>
          <w:rFonts w:cs="FrankRuehl" w:hint="cs"/>
          <w:rtl/>
        </w:rPr>
        <w:t xml:space="preserve">תוקן </w:t>
      </w:r>
      <w:hyperlink r:id="rId3" w:history="1">
        <w:r w:rsidRPr="0095268C">
          <w:rPr>
            <w:rStyle w:val="Hyperlink"/>
            <w:rFonts w:cs="FrankRuehl" w:hint="cs"/>
            <w:rtl/>
          </w:rPr>
          <w:t>ס"ח תשע"ז מס' 2662</w:t>
        </w:r>
      </w:hyperlink>
      <w:r w:rsidRPr="007C4499">
        <w:rPr>
          <w:rFonts w:cs="FrankRuehl" w:hint="cs"/>
          <w:rtl/>
        </w:rPr>
        <w:t xml:space="preserve"> מיום 7.8.2017 עמ' 1200 (</w:t>
      </w:r>
      <w:hyperlink r:id="rId4" w:history="1">
        <w:r w:rsidRPr="007C4499">
          <w:rPr>
            <w:rStyle w:val="Hyperlink"/>
            <w:rFonts w:cs="FrankRuehl" w:hint="cs"/>
            <w:rtl/>
          </w:rPr>
          <w:t>ה"ח הממשלה תשע"ה מס' 928</w:t>
        </w:r>
      </w:hyperlink>
      <w:r w:rsidRPr="007C4499">
        <w:rPr>
          <w:rFonts w:cs="FrankRuehl" w:hint="cs"/>
          <w:rtl/>
        </w:rPr>
        <w:t xml:space="preserve"> עמ' 696) </w:t>
      </w:r>
      <w:r w:rsidRPr="007C4499">
        <w:rPr>
          <w:rFonts w:cs="FrankRuehl"/>
          <w:rtl/>
        </w:rPr>
        <w:t>–</w:t>
      </w:r>
      <w:r w:rsidRPr="007C4499">
        <w:rPr>
          <w:rFonts w:cs="FrankRuehl" w:hint="cs"/>
          <w:rtl/>
        </w:rPr>
        <w:t xml:space="preserve"> תיקון מס' 1 בסעיף 12</w:t>
      </w:r>
      <w:r>
        <w:rPr>
          <w:rFonts w:cs="FrankRuehl" w:hint="cs"/>
          <w:rtl/>
        </w:rPr>
        <w:t>5</w:t>
      </w:r>
      <w:r w:rsidRPr="007C4499">
        <w:rPr>
          <w:rFonts w:cs="FrankRuehl" w:hint="cs"/>
          <w:rtl/>
        </w:rPr>
        <w:t xml:space="preserve"> לחוק העיצובים, תשע"ז-2017</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77380" w14:textId="77777777" w:rsidR="005F7168" w:rsidRDefault="005F716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906B975" w14:textId="77777777" w:rsidR="005F7168" w:rsidRDefault="005F71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05B40A" w14:textId="77777777" w:rsidR="005F7168" w:rsidRDefault="005F716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C517" w14:textId="77777777" w:rsidR="005F7168" w:rsidRDefault="005F716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להגנת מעגלים משולבים, תש"ס-1999</w:t>
    </w:r>
  </w:p>
  <w:p w14:paraId="4B39EDFA" w14:textId="77777777" w:rsidR="005F7168" w:rsidRDefault="005F71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6B7BF2" w14:textId="77777777" w:rsidR="005F7168" w:rsidRDefault="005F716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9805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2932"/>
    <w:rsid w:val="00021C9F"/>
    <w:rsid w:val="00202E14"/>
    <w:rsid w:val="003B7D38"/>
    <w:rsid w:val="00434776"/>
    <w:rsid w:val="005F7168"/>
    <w:rsid w:val="00775164"/>
    <w:rsid w:val="007C4499"/>
    <w:rsid w:val="007D2932"/>
    <w:rsid w:val="00820613"/>
    <w:rsid w:val="00897C15"/>
    <w:rsid w:val="0095268C"/>
    <w:rsid w:val="009B05B7"/>
    <w:rsid w:val="00A02E23"/>
    <w:rsid w:val="00B019CA"/>
    <w:rsid w:val="00C3708D"/>
    <w:rsid w:val="00CF1125"/>
    <w:rsid w:val="00D43C4B"/>
    <w:rsid w:val="00FB002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8F90FFD"/>
  <w15:chartTrackingRefBased/>
  <w15:docId w15:val="{20DD54D5-23D4-4194-A67C-EE2BF783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customStyle="1" w:styleId="P000">
    <w:name w:val="P00 תו"/>
    <w:link w:val="P00"/>
    <w:rsid w:val="007C4499"/>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928.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14/law-2662.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662.pdf" TargetMode="External"/><Relationship Id="rId2" Type="http://schemas.openxmlformats.org/officeDocument/2006/relationships/hyperlink" Target="http://www.nevo.co.il/Law_word/law17/PROP-2830.pdf" TargetMode="External"/><Relationship Id="rId1" Type="http://schemas.openxmlformats.org/officeDocument/2006/relationships/hyperlink" Target="http://www.nevo.co.il/Law_word/law14/LAW-1721.pdf" TargetMode="External"/><Relationship Id="rId4" Type="http://schemas.openxmlformats.org/officeDocument/2006/relationships/hyperlink" Target="http://www.nevo.co.il/Law_word/law15/memshala-9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7335</CharactersWithSpaces>
  <SharedDoc>false</SharedDoc>
  <HLinks>
    <vt:vector size="144" baseType="variant">
      <vt:variant>
        <vt:i4>393283</vt:i4>
      </vt:variant>
      <vt:variant>
        <vt:i4>108</vt:i4>
      </vt:variant>
      <vt:variant>
        <vt:i4>0</vt:i4>
      </vt:variant>
      <vt:variant>
        <vt:i4>5</vt:i4>
      </vt:variant>
      <vt:variant>
        <vt:lpwstr>http://www.nevo.co.il/advertisements/nevo-100.doc</vt:lpwstr>
      </vt:variant>
      <vt:variant>
        <vt:lpwstr/>
      </vt:variant>
      <vt:variant>
        <vt:i4>8257618</vt:i4>
      </vt:variant>
      <vt:variant>
        <vt:i4>105</vt:i4>
      </vt:variant>
      <vt:variant>
        <vt:i4>0</vt:i4>
      </vt:variant>
      <vt:variant>
        <vt:i4>5</vt:i4>
      </vt:variant>
      <vt:variant>
        <vt:lpwstr>http://www.nevo.co.il/Law_word/law15/memshala-928.pdf</vt:lpwstr>
      </vt:variant>
      <vt:variant>
        <vt:lpwstr/>
      </vt:variant>
      <vt:variant>
        <vt:i4>8060941</vt:i4>
      </vt:variant>
      <vt:variant>
        <vt:i4>102</vt:i4>
      </vt:variant>
      <vt:variant>
        <vt:i4>0</vt:i4>
      </vt:variant>
      <vt:variant>
        <vt:i4>5</vt:i4>
      </vt:variant>
      <vt:variant>
        <vt:lpwstr>http://www.nevo.co.il/Law_word/law14/law-2662.pdf</vt:lpwstr>
      </vt:variant>
      <vt:variant>
        <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3407915</vt:i4>
      </vt:variant>
      <vt:variant>
        <vt:i4>72</vt:i4>
      </vt:variant>
      <vt:variant>
        <vt:i4>0</vt:i4>
      </vt:variant>
      <vt:variant>
        <vt:i4>5</vt:i4>
      </vt:variant>
      <vt:variant>
        <vt:lpwstr/>
      </vt:variant>
      <vt:variant>
        <vt:lpwstr>Seif17</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8257618</vt:i4>
      </vt:variant>
      <vt:variant>
        <vt:i4>9</vt:i4>
      </vt:variant>
      <vt:variant>
        <vt:i4>0</vt:i4>
      </vt:variant>
      <vt:variant>
        <vt:i4>5</vt:i4>
      </vt:variant>
      <vt:variant>
        <vt:lpwstr>http://www.nevo.co.il/Law_word/law15/memshala-928.pdf</vt:lpwstr>
      </vt:variant>
      <vt:variant>
        <vt:lpwstr/>
      </vt:variant>
      <vt:variant>
        <vt:i4>8060941</vt:i4>
      </vt:variant>
      <vt:variant>
        <vt:i4>6</vt:i4>
      </vt:variant>
      <vt:variant>
        <vt:i4>0</vt:i4>
      </vt:variant>
      <vt:variant>
        <vt:i4>5</vt:i4>
      </vt:variant>
      <vt:variant>
        <vt:lpwstr>http://www.nevo.co.il/law_word/law14/law-2662.pdf</vt:lpwstr>
      </vt:variant>
      <vt:variant>
        <vt:lpwstr/>
      </vt:variant>
      <vt:variant>
        <vt:i4>65660</vt:i4>
      </vt:variant>
      <vt:variant>
        <vt:i4>3</vt:i4>
      </vt:variant>
      <vt:variant>
        <vt:i4>0</vt:i4>
      </vt:variant>
      <vt:variant>
        <vt:i4>5</vt:i4>
      </vt:variant>
      <vt:variant>
        <vt:lpwstr>http://www.nevo.co.il/Law_word/law17/PROP-2830.pdf</vt:lpwstr>
      </vt:variant>
      <vt:variant>
        <vt:lpwstr/>
      </vt:variant>
      <vt:variant>
        <vt:i4>8126479</vt:i4>
      </vt:variant>
      <vt:variant>
        <vt:i4>0</vt:i4>
      </vt:variant>
      <vt:variant>
        <vt:i4>0</vt:i4>
      </vt:variant>
      <vt:variant>
        <vt:i4>5</vt:i4>
      </vt:variant>
      <vt:variant>
        <vt:lpwstr>http://www.nevo.co.il/Law_word/law14/LAW-1721.pdf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להגנת מעגלים משולבים, תש"ס-1999</vt:lpwstr>
  </property>
  <property fmtid="{D5CDD505-2E9C-101B-9397-08002B2CF9AE}" pid="4" name="LAWNUMBER">
    <vt:lpwstr>0574</vt:lpwstr>
  </property>
  <property fmtid="{D5CDD505-2E9C-101B-9397-08002B2CF9AE}" pid="5" name="TYPE">
    <vt:lpwstr>01</vt:lpwstr>
  </property>
  <property fmtid="{D5CDD505-2E9C-101B-9397-08002B2CF9AE}" pid="6" name="CHNAME">
    <vt:lpwstr>פטנטים</vt:lpwstr>
  </property>
  <property fmtid="{D5CDD505-2E9C-101B-9397-08002B2CF9AE}" pid="7" name="LINKK2">
    <vt:lpwstr>http://www.nevo.co.il/Law_word/law17/PROP-2830.pdf;רשומות – הצעות חוק ודברי הסבר#ה"ח תש"ס מס' 2830 #עמ' 139</vt:lpwstr>
  </property>
  <property fmtid="{D5CDD505-2E9C-101B-9397-08002B2CF9AE}" pid="8" name="LINKK3">
    <vt:lpwstr>http://www.nevo.co.il/law_word/law14/law-2662.pdf;‎רשומות - ספר חוקים#תוקן ס"ח תשע"ז מס' ‏‏2662 #מיום 7.8.2017 עמ' 1200– תיקון מס' 1 בסעיף 125 לחוק העיצובים, תשע"ז-2017‏</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http://www.nevo.co.il/Law_word/law14/LAW-1721.pdf;רשומות - ספר חוקים#פורסם ס"ח תש"ס מס' 1721 #מיום 30.12.1999 #עמ' 42</vt:lpwstr>
  </property>
  <property fmtid="{D5CDD505-2E9C-101B-9397-08002B2CF9AE}" pid="22" name="MEKOR_NAME1">
    <vt:lpwstr>פקודת העיריות </vt:lpwstr>
  </property>
  <property fmtid="{D5CDD505-2E9C-101B-9397-08002B2CF9AE}" pid="23" name="MEKOR_SAIF1">
    <vt:lpwstr>347X</vt:lpwstr>
  </property>
  <property fmtid="{D5CDD505-2E9C-101B-9397-08002B2CF9AE}" pid="24" name="NOSE11">
    <vt:lpwstr>משפט פרטי וכלכלה</vt:lpwstr>
  </property>
  <property fmtid="{D5CDD505-2E9C-101B-9397-08002B2CF9AE}" pid="25" name="NOSE21">
    <vt:lpwstr>קניין</vt:lpwstr>
  </property>
  <property fmtid="{D5CDD505-2E9C-101B-9397-08002B2CF9AE}" pid="26" name="NOSE31">
    <vt:lpwstr>קניין רוחני</vt:lpwstr>
  </property>
  <property fmtid="{D5CDD505-2E9C-101B-9397-08002B2CF9AE}" pid="27" name="NOSE41">
    <vt:lpwstr>פטנטים</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