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7ADF" w:rsidRDefault="004C7ADF">
      <w:pPr>
        <w:pStyle w:val="big-header"/>
        <w:ind w:left="0" w:right="1134"/>
        <w:rPr>
          <w:rFonts w:cs="FrankRuehl" w:hint="cs"/>
          <w:sz w:val="32"/>
          <w:rtl/>
        </w:rPr>
      </w:pPr>
      <w:r>
        <w:rPr>
          <w:rFonts w:cs="FrankRuehl"/>
          <w:sz w:val="32"/>
          <w:rtl/>
        </w:rPr>
        <w:t>חוק להגנת רכוש מופקד, תשכ"ה</w:t>
      </w:r>
      <w:r>
        <w:rPr>
          <w:rFonts w:cs="FrankRuehl" w:hint="cs"/>
          <w:sz w:val="32"/>
          <w:rtl/>
        </w:rPr>
        <w:t>-</w:t>
      </w:r>
      <w:r>
        <w:rPr>
          <w:rFonts w:cs="FrankRuehl"/>
          <w:sz w:val="32"/>
          <w:rtl/>
        </w:rPr>
        <w:t>1964</w:t>
      </w:r>
    </w:p>
    <w:p w:rsidR="0015696D" w:rsidRDefault="0015696D" w:rsidP="0015696D">
      <w:pPr>
        <w:spacing w:line="320" w:lineRule="auto"/>
        <w:jc w:val="left"/>
        <w:rPr>
          <w:rFonts w:hint="cs"/>
          <w:rtl/>
        </w:rPr>
      </w:pPr>
    </w:p>
    <w:p w:rsidR="006D1A4D" w:rsidRDefault="006D1A4D" w:rsidP="0015696D">
      <w:pPr>
        <w:spacing w:line="320" w:lineRule="auto"/>
        <w:jc w:val="left"/>
        <w:rPr>
          <w:rFonts w:hint="cs"/>
          <w:rtl/>
        </w:rPr>
      </w:pPr>
    </w:p>
    <w:p w:rsidR="0015696D" w:rsidRPr="0015696D" w:rsidRDefault="0015696D" w:rsidP="0015696D">
      <w:pPr>
        <w:spacing w:line="320" w:lineRule="auto"/>
        <w:jc w:val="left"/>
        <w:rPr>
          <w:rFonts w:cs="Miriam"/>
          <w:szCs w:val="22"/>
          <w:rtl/>
        </w:rPr>
      </w:pPr>
      <w:r w:rsidRPr="0015696D">
        <w:rPr>
          <w:rFonts w:cs="Miriam"/>
          <w:szCs w:val="22"/>
          <w:rtl/>
        </w:rPr>
        <w:t>משפט פרטי וכלכלה</w:t>
      </w:r>
      <w:r w:rsidRPr="0015696D">
        <w:rPr>
          <w:rFonts w:cs="FrankRuehl"/>
          <w:szCs w:val="26"/>
          <w:rtl/>
        </w:rPr>
        <w:t xml:space="preserve"> – קניין – האפוטרופוס הכללי</w:t>
      </w:r>
    </w:p>
    <w:p w:rsidR="004C7ADF" w:rsidRDefault="004C7ADF">
      <w:pPr>
        <w:pStyle w:val="big-header"/>
        <w:ind w:left="0" w:right="1134"/>
        <w:rPr>
          <w:rFonts w:cs="FrankRuehl"/>
          <w:sz w:val="32"/>
          <w:rtl/>
        </w:rPr>
      </w:pPr>
      <w:r>
        <w:rPr>
          <w:rFonts w:cs="FrankRuehl"/>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4C7ADF">
        <w:tblPrEx>
          <w:tblCellMar>
            <w:top w:w="0" w:type="dxa"/>
            <w:bottom w:w="0" w:type="dxa"/>
          </w:tblCellMar>
        </w:tblPrEx>
        <w:trPr>
          <w:jc w:val="right"/>
        </w:trPr>
        <w:tc>
          <w:tcPr>
            <w:tcW w:w="850" w:type="dxa"/>
          </w:tcPr>
          <w:p w:rsidR="004C7ADF" w:rsidRDefault="004C7ADF">
            <w:pPr>
              <w:spacing w:line="240" w:lineRule="auto"/>
              <w:jc w:val="left"/>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4C7ADF" w:rsidRDefault="004C7ADF">
            <w:pPr>
              <w:spacing w:line="240" w:lineRule="auto"/>
              <w:jc w:val="left"/>
              <w:rPr>
                <w:sz w:val="24"/>
              </w:rPr>
            </w:pPr>
            <w:hyperlink w:anchor="Seif0" w:tooltip="הגדרות" w:history="1">
              <w:r>
                <w:rPr>
                  <w:rStyle w:val="Hyperlink"/>
                </w:rPr>
                <w:t>Go</w:t>
              </w:r>
            </w:hyperlink>
          </w:p>
        </w:tc>
        <w:tc>
          <w:tcPr>
            <w:tcW w:w="5669" w:type="dxa"/>
          </w:tcPr>
          <w:p w:rsidR="004C7ADF" w:rsidRDefault="004C7ADF">
            <w:pPr>
              <w:spacing w:line="240" w:lineRule="auto"/>
              <w:jc w:val="left"/>
              <w:rPr>
                <w:sz w:val="24"/>
                <w:rtl/>
              </w:rPr>
            </w:pPr>
            <w:r>
              <w:rPr>
                <w:sz w:val="24"/>
                <w:rtl/>
              </w:rPr>
              <w:t>הגדרות</w:t>
            </w:r>
          </w:p>
        </w:tc>
        <w:tc>
          <w:tcPr>
            <w:tcW w:w="1247" w:type="dxa"/>
          </w:tcPr>
          <w:p w:rsidR="004C7ADF" w:rsidRDefault="004C7ADF">
            <w:pPr>
              <w:spacing w:line="240" w:lineRule="auto"/>
              <w:jc w:val="left"/>
              <w:rPr>
                <w:sz w:val="24"/>
              </w:rPr>
            </w:pPr>
            <w:r>
              <w:rPr>
                <w:sz w:val="24"/>
                <w:rtl/>
              </w:rPr>
              <w:t xml:space="preserve">סעיף 1 </w:t>
            </w:r>
          </w:p>
        </w:tc>
      </w:tr>
      <w:tr w:rsidR="004C7ADF">
        <w:tblPrEx>
          <w:tblCellMar>
            <w:top w:w="0" w:type="dxa"/>
            <w:bottom w:w="0" w:type="dxa"/>
          </w:tblCellMar>
        </w:tblPrEx>
        <w:trPr>
          <w:jc w:val="right"/>
        </w:trPr>
        <w:tc>
          <w:tcPr>
            <w:tcW w:w="850" w:type="dxa"/>
          </w:tcPr>
          <w:p w:rsidR="004C7ADF" w:rsidRDefault="004C7ADF">
            <w:pPr>
              <w:spacing w:line="240" w:lineRule="auto"/>
              <w:jc w:val="left"/>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4C7ADF" w:rsidRDefault="004C7ADF">
            <w:pPr>
              <w:spacing w:line="240" w:lineRule="auto"/>
              <w:jc w:val="left"/>
              <w:rPr>
                <w:sz w:val="24"/>
              </w:rPr>
            </w:pPr>
            <w:hyperlink w:anchor="Seif1" w:tooltip="הודעה על טיפול בנכס" w:history="1">
              <w:r>
                <w:rPr>
                  <w:rStyle w:val="Hyperlink"/>
                </w:rPr>
                <w:t>Go</w:t>
              </w:r>
            </w:hyperlink>
          </w:p>
        </w:tc>
        <w:tc>
          <w:tcPr>
            <w:tcW w:w="5669" w:type="dxa"/>
          </w:tcPr>
          <w:p w:rsidR="004C7ADF" w:rsidRDefault="004C7ADF">
            <w:pPr>
              <w:spacing w:line="240" w:lineRule="auto"/>
              <w:jc w:val="left"/>
              <w:rPr>
                <w:sz w:val="24"/>
                <w:rtl/>
              </w:rPr>
            </w:pPr>
            <w:r>
              <w:rPr>
                <w:sz w:val="24"/>
                <w:rtl/>
              </w:rPr>
              <w:t>הודעה על טיפול בנכס</w:t>
            </w:r>
          </w:p>
        </w:tc>
        <w:tc>
          <w:tcPr>
            <w:tcW w:w="1247" w:type="dxa"/>
          </w:tcPr>
          <w:p w:rsidR="004C7ADF" w:rsidRDefault="004C7ADF">
            <w:pPr>
              <w:spacing w:line="240" w:lineRule="auto"/>
              <w:jc w:val="left"/>
              <w:rPr>
                <w:sz w:val="24"/>
              </w:rPr>
            </w:pPr>
            <w:r>
              <w:rPr>
                <w:sz w:val="24"/>
                <w:rtl/>
              </w:rPr>
              <w:t xml:space="preserve">סעיף 2 </w:t>
            </w:r>
          </w:p>
        </w:tc>
      </w:tr>
      <w:tr w:rsidR="004C7ADF">
        <w:tblPrEx>
          <w:tblCellMar>
            <w:top w:w="0" w:type="dxa"/>
            <w:bottom w:w="0" w:type="dxa"/>
          </w:tblCellMar>
        </w:tblPrEx>
        <w:trPr>
          <w:jc w:val="right"/>
        </w:trPr>
        <w:tc>
          <w:tcPr>
            <w:tcW w:w="850" w:type="dxa"/>
          </w:tcPr>
          <w:p w:rsidR="004C7ADF" w:rsidRDefault="004C7ADF">
            <w:pPr>
              <w:spacing w:line="240" w:lineRule="auto"/>
              <w:jc w:val="left"/>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4C7ADF" w:rsidRDefault="004C7ADF">
            <w:pPr>
              <w:spacing w:line="240" w:lineRule="auto"/>
              <w:jc w:val="left"/>
              <w:rPr>
                <w:sz w:val="24"/>
              </w:rPr>
            </w:pPr>
            <w:hyperlink w:anchor="Seif2" w:tooltip="תוכן ההודעה" w:history="1">
              <w:r>
                <w:rPr>
                  <w:rStyle w:val="Hyperlink"/>
                </w:rPr>
                <w:t>Go</w:t>
              </w:r>
            </w:hyperlink>
          </w:p>
        </w:tc>
        <w:tc>
          <w:tcPr>
            <w:tcW w:w="5669" w:type="dxa"/>
          </w:tcPr>
          <w:p w:rsidR="004C7ADF" w:rsidRDefault="004C7ADF">
            <w:pPr>
              <w:spacing w:line="240" w:lineRule="auto"/>
              <w:jc w:val="left"/>
              <w:rPr>
                <w:sz w:val="24"/>
                <w:rtl/>
              </w:rPr>
            </w:pPr>
            <w:r>
              <w:rPr>
                <w:sz w:val="24"/>
                <w:rtl/>
              </w:rPr>
              <w:t>תוכן ההודעה</w:t>
            </w:r>
          </w:p>
        </w:tc>
        <w:tc>
          <w:tcPr>
            <w:tcW w:w="1247" w:type="dxa"/>
          </w:tcPr>
          <w:p w:rsidR="004C7ADF" w:rsidRDefault="004C7ADF">
            <w:pPr>
              <w:spacing w:line="240" w:lineRule="auto"/>
              <w:jc w:val="left"/>
              <w:rPr>
                <w:sz w:val="24"/>
              </w:rPr>
            </w:pPr>
            <w:r>
              <w:rPr>
                <w:sz w:val="24"/>
                <w:rtl/>
              </w:rPr>
              <w:t xml:space="preserve">סעיף 3 </w:t>
            </w:r>
          </w:p>
        </w:tc>
      </w:tr>
      <w:tr w:rsidR="004C7ADF">
        <w:tblPrEx>
          <w:tblCellMar>
            <w:top w:w="0" w:type="dxa"/>
            <w:bottom w:w="0" w:type="dxa"/>
          </w:tblCellMar>
        </w:tblPrEx>
        <w:trPr>
          <w:jc w:val="right"/>
        </w:trPr>
        <w:tc>
          <w:tcPr>
            <w:tcW w:w="850" w:type="dxa"/>
          </w:tcPr>
          <w:p w:rsidR="004C7ADF" w:rsidRDefault="004C7ADF">
            <w:pPr>
              <w:spacing w:line="240" w:lineRule="auto"/>
              <w:jc w:val="left"/>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4C7ADF" w:rsidRDefault="004C7ADF">
            <w:pPr>
              <w:spacing w:line="240" w:lineRule="auto"/>
              <w:jc w:val="left"/>
              <w:rPr>
                <w:sz w:val="24"/>
              </w:rPr>
            </w:pPr>
            <w:hyperlink w:anchor="Seif3" w:tooltip="זמן ההודעה" w:history="1">
              <w:r>
                <w:rPr>
                  <w:rStyle w:val="Hyperlink"/>
                </w:rPr>
                <w:t>Go</w:t>
              </w:r>
            </w:hyperlink>
          </w:p>
        </w:tc>
        <w:tc>
          <w:tcPr>
            <w:tcW w:w="5669" w:type="dxa"/>
          </w:tcPr>
          <w:p w:rsidR="004C7ADF" w:rsidRDefault="004C7ADF">
            <w:pPr>
              <w:spacing w:line="240" w:lineRule="auto"/>
              <w:jc w:val="left"/>
              <w:rPr>
                <w:sz w:val="24"/>
                <w:rtl/>
              </w:rPr>
            </w:pPr>
            <w:r>
              <w:rPr>
                <w:sz w:val="24"/>
                <w:rtl/>
              </w:rPr>
              <w:t>זמן ההודעה</w:t>
            </w:r>
          </w:p>
        </w:tc>
        <w:tc>
          <w:tcPr>
            <w:tcW w:w="1247" w:type="dxa"/>
          </w:tcPr>
          <w:p w:rsidR="004C7ADF" w:rsidRDefault="004C7ADF">
            <w:pPr>
              <w:spacing w:line="240" w:lineRule="auto"/>
              <w:jc w:val="left"/>
              <w:rPr>
                <w:sz w:val="24"/>
              </w:rPr>
            </w:pPr>
            <w:r>
              <w:rPr>
                <w:sz w:val="24"/>
                <w:rtl/>
              </w:rPr>
              <w:t xml:space="preserve">סעיף 4 </w:t>
            </w:r>
          </w:p>
        </w:tc>
      </w:tr>
      <w:tr w:rsidR="004C7ADF">
        <w:tblPrEx>
          <w:tblCellMar>
            <w:top w:w="0" w:type="dxa"/>
            <w:bottom w:w="0" w:type="dxa"/>
          </w:tblCellMar>
        </w:tblPrEx>
        <w:trPr>
          <w:jc w:val="right"/>
        </w:trPr>
        <w:tc>
          <w:tcPr>
            <w:tcW w:w="850" w:type="dxa"/>
          </w:tcPr>
          <w:p w:rsidR="004C7ADF" w:rsidRDefault="004C7ADF">
            <w:pPr>
              <w:spacing w:line="240" w:lineRule="auto"/>
              <w:jc w:val="left"/>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4C7ADF" w:rsidRDefault="004C7ADF">
            <w:pPr>
              <w:spacing w:line="240" w:lineRule="auto"/>
              <w:jc w:val="left"/>
              <w:rPr>
                <w:sz w:val="24"/>
              </w:rPr>
            </w:pPr>
            <w:hyperlink w:anchor="Seif4" w:tooltip="דינו של העובר על סעיף 2" w:history="1">
              <w:r>
                <w:rPr>
                  <w:rStyle w:val="Hyperlink"/>
                </w:rPr>
                <w:t>Go</w:t>
              </w:r>
            </w:hyperlink>
          </w:p>
        </w:tc>
        <w:tc>
          <w:tcPr>
            <w:tcW w:w="5669" w:type="dxa"/>
          </w:tcPr>
          <w:p w:rsidR="004C7ADF" w:rsidRDefault="004C7ADF">
            <w:pPr>
              <w:spacing w:line="240" w:lineRule="auto"/>
              <w:jc w:val="left"/>
              <w:rPr>
                <w:sz w:val="24"/>
                <w:rtl/>
              </w:rPr>
            </w:pPr>
            <w:r>
              <w:rPr>
                <w:sz w:val="24"/>
                <w:rtl/>
              </w:rPr>
              <w:t>דינו של העובר על סעיף 2</w:t>
            </w:r>
          </w:p>
        </w:tc>
        <w:tc>
          <w:tcPr>
            <w:tcW w:w="1247" w:type="dxa"/>
          </w:tcPr>
          <w:p w:rsidR="004C7ADF" w:rsidRDefault="004C7ADF">
            <w:pPr>
              <w:spacing w:line="240" w:lineRule="auto"/>
              <w:jc w:val="left"/>
              <w:rPr>
                <w:sz w:val="24"/>
              </w:rPr>
            </w:pPr>
            <w:r>
              <w:rPr>
                <w:sz w:val="24"/>
                <w:rtl/>
              </w:rPr>
              <w:t xml:space="preserve">סעיף 5 </w:t>
            </w:r>
          </w:p>
        </w:tc>
      </w:tr>
      <w:tr w:rsidR="004C7ADF">
        <w:tblPrEx>
          <w:tblCellMar>
            <w:top w:w="0" w:type="dxa"/>
            <w:bottom w:w="0" w:type="dxa"/>
          </w:tblCellMar>
        </w:tblPrEx>
        <w:trPr>
          <w:jc w:val="right"/>
        </w:trPr>
        <w:tc>
          <w:tcPr>
            <w:tcW w:w="850" w:type="dxa"/>
          </w:tcPr>
          <w:p w:rsidR="004C7ADF" w:rsidRDefault="004C7ADF">
            <w:pPr>
              <w:spacing w:line="240" w:lineRule="auto"/>
              <w:jc w:val="left"/>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4C7ADF" w:rsidRDefault="004C7ADF">
            <w:pPr>
              <w:spacing w:line="240" w:lineRule="auto"/>
              <w:jc w:val="left"/>
              <w:rPr>
                <w:sz w:val="24"/>
              </w:rPr>
            </w:pPr>
            <w:hyperlink w:anchor="Seif5" w:tooltip="פסילת מינוי או הרשאה מיושנים" w:history="1">
              <w:r>
                <w:rPr>
                  <w:rStyle w:val="Hyperlink"/>
                </w:rPr>
                <w:t>Go</w:t>
              </w:r>
            </w:hyperlink>
          </w:p>
        </w:tc>
        <w:tc>
          <w:tcPr>
            <w:tcW w:w="5669" w:type="dxa"/>
          </w:tcPr>
          <w:p w:rsidR="004C7ADF" w:rsidRDefault="004C7ADF">
            <w:pPr>
              <w:spacing w:line="240" w:lineRule="auto"/>
              <w:jc w:val="left"/>
              <w:rPr>
                <w:sz w:val="24"/>
                <w:rtl/>
              </w:rPr>
            </w:pPr>
            <w:r>
              <w:rPr>
                <w:sz w:val="24"/>
                <w:rtl/>
              </w:rPr>
              <w:t>פסילת מינוי או הרשאה מיושנים</w:t>
            </w:r>
          </w:p>
        </w:tc>
        <w:tc>
          <w:tcPr>
            <w:tcW w:w="1247" w:type="dxa"/>
          </w:tcPr>
          <w:p w:rsidR="004C7ADF" w:rsidRDefault="004C7ADF">
            <w:pPr>
              <w:spacing w:line="240" w:lineRule="auto"/>
              <w:jc w:val="left"/>
              <w:rPr>
                <w:sz w:val="24"/>
              </w:rPr>
            </w:pPr>
            <w:r>
              <w:rPr>
                <w:sz w:val="24"/>
                <w:rtl/>
              </w:rPr>
              <w:t xml:space="preserve">סעיף 6 </w:t>
            </w:r>
          </w:p>
        </w:tc>
      </w:tr>
      <w:tr w:rsidR="004C7ADF">
        <w:tblPrEx>
          <w:tblCellMar>
            <w:top w:w="0" w:type="dxa"/>
            <w:bottom w:w="0" w:type="dxa"/>
          </w:tblCellMar>
        </w:tblPrEx>
        <w:trPr>
          <w:jc w:val="right"/>
        </w:trPr>
        <w:tc>
          <w:tcPr>
            <w:tcW w:w="850" w:type="dxa"/>
          </w:tcPr>
          <w:p w:rsidR="004C7ADF" w:rsidRDefault="004C7ADF">
            <w:pPr>
              <w:spacing w:line="240" w:lineRule="auto"/>
              <w:jc w:val="left"/>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4C7ADF" w:rsidRDefault="004C7ADF">
            <w:pPr>
              <w:spacing w:line="240" w:lineRule="auto"/>
              <w:jc w:val="left"/>
              <w:rPr>
                <w:sz w:val="24"/>
              </w:rPr>
            </w:pPr>
            <w:hyperlink w:anchor="Seif6" w:tooltip="פטורים מתחולת החוק תט תשכה 1965" w:history="1">
              <w:r>
                <w:rPr>
                  <w:rStyle w:val="Hyperlink"/>
                </w:rPr>
                <w:t>Go</w:t>
              </w:r>
            </w:hyperlink>
          </w:p>
        </w:tc>
        <w:tc>
          <w:tcPr>
            <w:tcW w:w="5669" w:type="dxa"/>
          </w:tcPr>
          <w:p w:rsidR="004C7ADF" w:rsidRDefault="004C7ADF">
            <w:pPr>
              <w:spacing w:line="240" w:lineRule="auto"/>
              <w:jc w:val="left"/>
              <w:rPr>
                <w:rFonts w:hint="cs"/>
                <w:sz w:val="24"/>
                <w:rtl/>
              </w:rPr>
            </w:pPr>
            <w:r>
              <w:rPr>
                <w:sz w:val="24"/>
                <w:rtl/>
              </w:rPr>
              <w:t>פטורים מתחולת החוק</w:t>
            </w:r>
          </w:p>
        </w:tc>
        <w:tc>
          <w:tcPr>
            <w:tcW w:w="1247" w:type="dxa"/>
          </w:tcPr>
          <w:p w:rsidR="004C7ADF" w:rsidRDefault="004C7ADF">
            <w:pPr>
              <w:spacing w:line="240" w:lineRule="auto"/>
              <w:jc w:val="left"/>
              <w:rPr>
                <w:sz w:val="24"/>
              </w:rPr>
            </w:pPr>
            <w:r>
              <w:rPr>
                <w:sz w:val="24"/>
                <w:rtl/>
              </w:rPr>
              <w:t xml:space="preserve">סעיף 7 </w:t>
            </w:r>
          </w:p>
        </w:tc>
      </w:tr>
      <w:tr w:rsidR="004C7ADF">
        <w:tblPrEx>
          <w:tblCellMar>
            <w:top w:w="0" w:type="dxa"/>
            <w:bottom w:w="0" w:type="dxa"/>
          </w:tblCellMar>
        </w:tblPrEx>
        <w:trPr>
          <w:jc w:val="right"/>
        </w:trPr>
        <w:tc>
          <w:tcPr>
            <w:tcW w:w="850" w:type="dxa"/>
          </w:tcPr>
          <w:p w:rsidR="004C7ADF" w:rsidRDefault="004C7ADF">
            <w:pPr>
              <w:spacing w:line="240" w:lineRule="auto"/>
              <w:jc w:val="left"/>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4C7ADF" w:rsidRDefault="004C7ADF">
            <w:pPr>
              <w:spacing w:line="240" w:lineRule="auto"/>
              <w:jc w:val="left"/>
              <w:rPr>
                <w:sz w:val="24"/>
              </w:rPr>
            </w:pPr>
            <w:hyperlink w:anchor="Seif7" w:tooltip="ביצוע ותקנות" w:history="1">
              <w:r>
                <w:rPr>
                  <w:rStyle w:val="Hyperlink"/>
                </w:rPr>
                <w:t>Go</w:t>
              </w:r>
            </w:hyperlink>
          </w:p>
        </w:tc>
        <w:tc>
          <w:tcPr>
            <w:tcW w:w="5669" w:type="dxa"/>
          </w:tcPr>
          <w:p w:rsidR="004C7ADF" w:rsidRDefault="004C7ADF">
            <w:pPr>
              <w:spacing w:line="240" w:lineRule="auto"/>
              <w:jc w:val="left"/>
              <w:rPr>
                <w:sz w:val="24"/>
                <w:rtl/>
              </w:rPr>
            </w:pPr>
            <w:r>
              <w:rPr>
                <w:sz w:val="24"/>
                <w:rtl/>
              </w:rPr>
              <w:t>ביצוע ותקנות</w:t>
            </w:r>
          </w:p>
        </w:tc>
        <w:tc>
          <w:tcPr>
            <w:tcW w:w="1247" w:type="dxa"/>
          </w:tcPr>
          <w:p w:rsidR="004C7ADF" w:rsidRDefault="004C7ADF">
            <w:pPr>
              <w:spacing w:line="240" w:lineRule="auto"/>
              <w:jc w:val="left"/>
              <w:rPr>
                <w:sz w:val="24"/>
              </w:rPr>
            </w:pPr>
            <w:r>
              <w:rPr>
                <w:sz w:val="24"/>
                <w:rtl/>
              </w:rPr>
              <w:t xml:space="preserve">סעיף 8 </w:t>
            </w:r>
          </w:p>
        </w:tc>
      </w:tr>
    </w:tbl>
    <w:p w:rsidR="004C7ADF" w:rsidRDefault="004C7ADF">
      <w:pPr>
        <w:pStyle w:val="big-header"/>
        <w:ind w:left="0" w:right="1134"/>
        <w:rPr>
          <w:rFonts w:cs="FrankRuehl"/>
          <w:sz w:val="32"/>
          <w:rtl/>
        </w:rPr>
      </w:pPr>
    </w:p>
    <w:p w:rsidR="004C7ADF" w:rsidRDefault="004C7ADF" w:rsidP="0015696D">
      <w:pPr>
        <w:pStyle w:val="big-header"/>
        <w:ind w:left="0" w:right="1134"/>
        <w:rPr>
          <w:rStyle w:val="default"/>
          <w:rFonts w:cs="FrankRuehl" w:hint="cs"/>
          <w:rtl/>
        </w:rPr>
      </w:pPr>
      <w:r>
        <w:rPr>
          <w:rFonts w:cs="FrankRuehl"/>
          <w:sz w:val="32"/>
          <w:rtl/>
        </w:rPr>
        <w:br w:type="page"/>
      </w:r>
      <w:r>
        <w:rPr>
          <w:rFonts w:cs="FrankRuehl"/>
          <w:sz w:val="32"/>
          <w:rtl/>
        </w:rPr>
        <w:lastRenderedPageBreak/>
        <w:t>חו</w:t>
      </w:r>
      <w:r>
        <w:rPr>
          <w:rFonts w:cs="FrankRuehl" w:hint="cs"/>
          <w:sz w:val="32"/>
          <w:rtl/>
        </w:rPr>
        <w:t>ק להגנת רכוש מופקד, תשכ"ה-</w:t>
      </w:r>
      <w:r>
        <w:rPr>
          <w:rFonts w:cs="FrankRuehl"/>
          <w:sz w:val="32"/>
          <w:rtl/>
        </w:rPr>
        <w:t>1964</w:t>
      </w:r>
      <w:r>
        <w:rPr>
          <w:rStyle w:val="default"/>
          <w:rtl/>
        </w:rPr>
        <w:footnoteReference w:customMarkFollows="1" w:id="1"/>
        <w:t>*</w:t>
      </w:r>
    </w:p>
    <w:p w:rsidR="004C7ADF" w:rsidRDefault="004C7ADF">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8pt;z-index:251654144" o:allowincell="f" filled="f" stroked="f" strokecolor="lime" strokeweight=".25pt">
            <v:textbox inset="0,0,0,0">
              <w:txbxContent>
                <w:p w:rsidR="004C7ADF" w:rsidRDefault="004C7ADF">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w:t>
      </w:r>
      <w:r>
        <w:rPr>
          <w:rStyle w:val="default"/>
          <w:rFonts w:cs="FrankRuehl"/>
          <w:rtl/>
        </w:rPr>
        <w:t>–</w:t>
      </w:r>
    </w:p>
    <w:p w:rsidR="004C7ADF" w:rsidRDefault="004C7ADF">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אפוטרופוס הכללי" </w:t>
      </w:r>
      <w:r>
        <w:rPr>
          <w:rStyle w:val="default"/>
          <w:rFonts w:cs="FrankRuehl"/>
          <w:rtl/>
        </w:rPr>
        <w:t xml:space="preserve">– </w:t>
      </w:r>
      <w:r>
        <w:rPr>
          <w:rStyle w:val="default"/>
          <w:rFonts w:cs="FrankRuehl" w:hint="cs"/>
          <w:rtl/>
        </w:rPr>
        <w:t>כמשמעותו בפקודת האפוטרופוס הכללי, 1944;</w:t>
      </w:r>
    </w:p>
    <w:p w:rsidR="004C7ADF" w:rsidRDefault="004C7ADF">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 xml:space="preserve">כס" </w:t>
      </w:r>
      <w:r>
        <w:rPr>
          <w:rStyle w:val="default"/>
          <w:rFonts w:cs="FrankRuehl"/>
          <w:rtl/>
        </w:rPr>
        <w:t xml:space="preserve">– </w:t>
      </w:r>
      <w:r>
        <w:rPr>
          <w:rStyle w:val="default"/>
          <w:rFonts w:cs="FrankRuehl" w:hint="cs"/>
          <w:rtl/>
        </w:rPr>
        <w:t>מקרקעין ומיטלטלין, וכן זכויות וטובות הנאה מכל סוג שהוא.</w:t>
      </w:r>
    </w:p>
    <w:p w:rsidR="004C7ADF" w:rsidRDefault="004C7ADF">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16pt;z-index:251655168" o:allowincell="f" filled="f" stroked="f" strokecolor="lime" strokeweight=".25pt">
            <v:textbox inset="0,0,0,0">
              <w:txbxContent>
                <w:p w:rsidR="004C7ADF" w:rsidRDefault="004C7ADF">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דעה על </w:t>
                  </w:r>
                  <w:r>
                    <w:rPr>
                      <w:rFonts w:cs="Miriam"/>
                      <w:sz w:val="18"/>
                      <w:szCs w:val="18"/>
                      <w:rtl/>
                    </w:rPr>
                    <w:t>טי</w:t>
                  </w:r>
                  <w:r>
                    <w:rPr>
                      <w:rFonts w:cs="Miriam" w:hint="cs"/>
                      <w:sz w:val="18"/>
                      <w:szCs w:val="18"/>
                      <w:rtl/>
                    </w:rPr>
                    <w:t>פול בנכס</w:t>
                  </w:r>
                </w:p>
              </w:txbxContent>
            </v:textbox>
            <w10:anchorlock/>
          </v:rect>
        </w:pict>
      </w:r>
      <w:r>
        <w:rPr>
          <w:rStyle w:val="big-number"/>
          <w:rFonts w:cs="Miriam"/>
          <w:rtl/>
        </w:rPr>
        <w:t>2.</w:t>
      </w:r>
      <w:r>
        <w:rPr>
          <w:rStyle w:val="big-number"/>
          <w:rFonts w:cs="Miriam"/>
          <w:rtl/>
        </w:rPr>
        <w:tab/>
      </w:r>
      <w:r>
        <w:rPr>
          <w:rStyle w:val="default"/>
          <w:rFonts w:cs="FrankRuehl"/>
          <w:rtl/>
        </w:rPr>
        <w:t>מי</w:t>
      </w:r>
      <w:r>
        <w:rPr>
          <w:rStyle w:val="default"/>
          <w:rFonts w:cs="FrankRuehl" w:hint="cs"/>
          <w:rtl/>
        </w:rPr>
        <w:t xml:space="preserve"> שנמסר נכס להנהלתו או לשליטתו לטובתו של אחר (להלן </w:t>
      </w:r>
      <w:r>
        <w:rPr>
          <w:rStyle w:val="default"/>
          <w:rFonts w:cs="FrankRuehl"/>
          <w:rtl/>
        </w:rPr>
        <w:t xml:space="preserve">– </w:t>
      </w:r>
      <w:r>
        <w:rPr>
          <w:rStyle w:val="default"/>
          <w:rFonts w:cs="FrankRuehl" w:hint="cs"/>
          <w:rtl/>
        </w:rPr>
        <w:t>בעל זכות) על פי הרשאה או מינוי או בחזקת נאמן, ימסור לאפוטרופוס הכללי הודעה על כך בכתב, כאמור בסעיפים 3 ו-4, אם עברו עשר שנים מיום ההרשאה, המינוי או תחילת הנאמנות, או מיום שניתנו לו על ידי בעל הזכות הוראו</w:t>
      </w:r>
      <w:r>
        <w:rPr>
          <w:rStyle w:val="default"/>
          <w:rFonts w:cs="FrankRuehl"/>
          <w:rtl/>
        </w:rPr>
        <w:t>ת</w:t>
      </w:r>
      <w:r>
        <w:rPr>
          <w:rStyle w:val="default"/>
          <w:rFonts w:cs="FrankRuehl" w:hint="cs"/>
          <w:rtl/>
        </w:rPr>
        <w:t xml:space="preserve"> ביחס לנכס או מיום שבעל הזכות הסכים בכתב שהודעה כ</w:t>
      </w:r>
      <w:r>
        <w:rPr>
          <w:rStyle w:val="default"/>
          <w:rFonts w:cs="FrankRuehl"/>
          <w:rtl/>
        </w:rPr>
        <w:t>א</w:t>
      </w:r>
      <w:r>
        <w:rPr>
          <w:rStyle w:val="default"/>
          <w:rFonts w:cs="FrankRuehl" w:hint="cs"/>
          <w:rtl/>
        </w:rPr>
        <w:t>מ</w:t>
      </w:r>
      <w:r>
        <w:rPr>
          <w:rStyle w:val="default"/>
          <w:rFonts w:cs="FrankRuehl"/>
          <w:rtl/>
        </w:rPr>
        <w:t>ו</w:t>
      </w:r>
      <w:r>
        <w:rPr>
          <w:rStyle w:val="default"/>
          <w:rFonts w:cs="FrankRuehl" w:hint="cs"/>
          <w:rtl/>
        </w:rPr>
        <w:t>ר לא תימסר, הכל לפי המאוחר יותר.</w:t>
      </w:r>
    </w:p>
    <w:p w:rsidR="004C7ADF" w:rsidRDefault="004C7ADF">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8pt;z-index:251656192" o:allowincell="f" filled="f" stroked="f" strokecolor="lime" strokeweight=".25pt">
            <v:textbox inset="0,0,0,0">
              <w:txbxContent>
                <w:p w:rsidR="004C7ADF" w:rsidRDefault="004C7ADF">
                  <w:pPr>
                    <w:spacing w:line="160" w:lineRule="exact"/>
                    <w:jc w:val="left"/>
                    <w:rPr>
                      <w:rFonts w:cs="Miriam"/>
                      <w:noProof/>
                      <w:sz w:val="18"/>
                      <w:szCs w:val="18"/>
                      <w:rtl/>
                    </w:rPr>
                  </w:pPr>
                  <w:r>
                    <w:rPr>
                      <w:rFonts w:cs="Miriam"/>
                      <w:sz w:val="18"/>
                      <w:szCs w:val="18"/>
                      <w:rtl/>
                    </w:rPr>
                    <w:t>תו</w:t>
                  </w:r>
                  <w:r>
                    <w:rPr>
                      <w:rFonts w:cs="Miriam" w:hint="cs"/>
                      <w:sz w:val="18"/>
                      <w:szCs w:val="18"/>
                      <w:rtl/>
                    </w:rPr>
                    <w:t>כן ההודעה</w:t>
                  </w:r>
                </w:p>
              </w:txbxContent>
            </v:textbox>
            <w10:anchorlock/>
          </v:rect>
        </w:pict>
      </w:r>
      <w:r>
        <w:rPr>
          <w:rStyle w:val="big-number"/>
          <w:rFonts w:cs="Miriam"/>
          <w:rtl/>
        </w:rPr>
        <w:t>3.</w:t>
      </w:r>
      <w:r>
        <w:rPr>
          <w:rStyle w:val="big-number"/>
          <w:rFonts w:cs="Miriam"/>
          <w:rtl/>
        </w:rPr>
        <w:tab/>
      </w:r>
      <w:r>
        <w:rPr>
          <w:rStyle w:val="default"/>
          <w:rFonts w:cs="FrankRuehl"/>
          <w:rtl/>
        </w:rPr>
        <w:t>הה</w:t>
      </w:r>
      <w:r>
        <w:rPr>
          <w:rStyle w:val="default"/>
          <w:rFonts w:cs="FrankRuehl" w:hint="cs"/>
          <w:rtl/>
        </w:rPr>
        <w:t>ודעה תכלול את תיאור הנכס, שם בעל הזכות ומענו הידוע לאחרונה, וכן פרטים על קיום הקשר בין האדם החייב בהודעה ובין בעל הזכות במידה שהם ידועים לו.</w:t>
      </w:r>
    </w:p>
    <w:p w:rsidR="004C7ADF" w:rsidRDefault="004C7ADF">
      <w:pPr>
        <w:pStyle w:val="P00"/>
        <w:spacing w:before="72"/>
        <w:ind w:left="0" w:right="1134"/>
        <w:rPr>
          <w:rStyle w:val="default"/>
          <w:rFonts w:cs="FrankRuehl"/>
          <w:rtl/>
        </w:rPr>
      </w:pPr>
      <w:bookmarkStart w:id="3" w:name="Seif3"/>
      <w:bookmarkEnd w:id="3"/>
      <w:r>
        <w:rPr>
          <w:lang w:val="he-IL"/>
        </w:rPr>
        <w:pict>
          <v:rect id="_x0000_s1029" style="position:absolute;left:0;text-align:left;margin-left:464.5pt;margin-top:8.05pt;width:75.05pt;height:8pt;z-index:251657216" o:allowincell="f" filled="f" stroked="f" strokecolor="lime" strokeweight=".25pt">
            <v:textbox inset="0,0,0,0">
              <w:txbxContent>
                <w:p w:rsidR="004C7ADF" w:rsidRDefault="004C7ADF">
                  <w:pPr>
                    <w:spacing w:line="160" w:lineRule="exact"/>
                    <w:jc w:val="left"/>
                    <w:rPr>
                      <w:rFonts w:cs="Miriam"/>
                      <w:noProof/>
                      <w:sz w:val="18"/>
                      <w:szCs w:val="18"/>
                      <w:rtl/>
                    </w:rPr>
                  </w:pPr>
                  <w:r>
                    <w:rPr>
                      <w:rFonts w:cs="Miriam"/>
                      <w:sz w:val="18"/>
                      <w:szCs w:val="18"/>
                      <w:rtl/>
                    </w:rPr>
                    <w:t>זמ</w:t>
                  </w:r>
                  <w:r>
                    <w:rPr>
                      <w:rFonts w:cs="Miriam" w:hint="cs"/>
                      <w:sz w:val="18"/>
                      <w:szCs w:val="18"/>
                      <w:rtl/>
                    </w:rPr>
                    <w:t>ן ההודע</w:t>
                  </w:r>
                  <w:r>
                    <w:rPr>
                      <w:rFonts w:cs="Miriam"/>
                      <w:sz w:val="18"/>
                      <w:szCs w:val="18"/>
                      <w:rtl/>
                    </w:rPr>
                    <w:t>ה</w:t>
                  </w:r>
                </w:p>
              </w:txbxContent>
            </v:textbox>
            <w10:anchorlock/>
          </v:rect>
        </w:pict>
      </w:r>
      <w:r>
        <w:rPr>
          <w:rStyle w:val="big-number"/>
          <w:rFonts w:cs="Miriam"/>
          <w:rtl/>
        </w:rPr>
        <w:t>4.</w:t>
      </w:r>
      <w:r>
        <w:rPr>
          <w:rStyle w:val="big-number"/>
          <w:rFonts w:cs="Miriam"/>
          <w:rtl/>
        </w:rPr>
        <w:tab/>
      </w:r>
      <w:r>
        <w:rPr>
          <w:rStyle w:val="default"/>
          <w:rFonts w:cs="FrankRuehl"/>
          <w:rtl/>
        </w:rPr>
        <w:t>הה</w:t>
      </w:r>
      <w:r>
        <w:rPr>
          <w:rStyle w:val="default"/>
          <w:rFonts w:cs="FrankRuehl" w:hint="cs"/>
          <w:rtl/>
        </w:rPr>
        <w:t>ודעה תימסר תוך ששה חדשים מיום שמלאו עשר שנים כאמור בסעיף 2; מלאו עשר</w:t>
      </w:r>
      <w:r>
        <w:rPr>
          <w:rStyle w:val="default"/>
          <w:rFonts w:cs="FrankRuehl"/>
          <w:rtl/>
        </w:rPr>
        <w:t xml:space="preserve"> ה</w:t>
      </w:r>
      <w:r>
        <w:rPr>
          <w:rStyle w:val="default"/>
          <w:rFonts w:cs="FrankRuehl" w:hint="cs"/>
          <w:rtl/>
        </w:rPr>
        <w:t>שנים לפני תחילתו של חוק זה, תימסר ההודעה תוך ששה חדשים מיום תחילתו של החוק.</w:t>
      </w:r>
    </w:p>
    <w:p w:rsidR="004C7ADF" w:rsidRDefault="004C7ADF">
      <w:pPr>
        <w:pStyle w:val="P00"/>
        <w:spacing w:before="72"/>
        <w:ind w:left="0" w:right="1134"/>
        <w:rPr>
          <w:rStyle w:val="default"/>
          <w:rFonts w:cs="FrankRuehl"/>
          <w:rtl/>
        </w:rPr>
      </w:pPr>
      <w:bookmarkStart w:id="4" w:name="Seif4"/>
      <w:bookmarkEnd w:id="4"/>
      <w:r>
        <w:rPr>
          <w:lang w:val="he-IL"/>
        </w:rPr>
        <w:pict>
          <v:rect id="_x0000_s1030" style="position:absolute;left:0;text-align:left;margin-left:464.5pt;margin-top:8.05pt;width:75.05pt;height:16pt;z-index:251658240" o:allowincell="f" filled="f" stroked="f" strokecolor="lime" strokeweight=".25pt">
            <v:textbox inset="0,0,0,0">
              <w:txbxContent>
                <w:p w:rsidR="004C7ADF" w:rsidRDefault="004C7ADF">
                  <w:pPr>
                    <w:spacing w:line="160" w:lineRule="exact"/>
                    <w:jc w:val="left"/>
                    <w:rPr>
                      <w:rFonts w:cs="Miriam"/>
                      <w:noProof/>
                      <w:sz w:val="18"/>
                      <w:szCs w:val="18"/>
                      <w:rtl/>
                    </w:rPr>
                  </w:pPr>
                  <w:r>
                    <w:rPr>
                      <w:rFonts w:cs="Miriam"/>
                      <w:sz w:val="18"/>
                      <w:szCs w:val="18"/>
                      <w:rtl/>
                    </w:rPr>
                    <w:t>די</w:t>
                  </w:r>
                  <w:r>
                    <w:rPr>
                      <w:rFonts w:cs="Miriam" w:hint="cs"/>
                      <w:sz w:val="18"/>
                      <w:szCs w:val="18"/>
                      <w:rtl/>
                    </w:rPr>
                    <w:t>נו של העובר על סעיף 2</w:t>
                  </w:r>
                </w:p>
              </w:txbxContent>
            </v:textbox>
            <w10:anchorlock/>
          </v:rect>
        </w:pict>
      </w:r>
      <w:r>
        <w:rPr>
          <w:rStyle w:val="big-number"/>
          <w:rFonts w:cs="Miriam"/>
          <w:rtl/>
        </w:rPr>
        <w:t>5.</w:t>
      </w:r>
      <w:r>
        <w:rPr>
          <w:rStyle w:val="big-number"/>
          <w:rFonts w:cs="Miriam"/>
          <w:rtl/>
        </w:rPr>
        <w:tab/>
      </w:r>
      <w:r>
        <w:rPr>
          <w:rStyle w:val="default"/>
          <w:rFonts w:cs="FrankRuehl"/>
          <w:rtl/>
        </w:rPr>
        <w:t>הע</w:t>
      </w:r>
      <w:r>
        <w:rPr>
          <w:rStyle w:val="default"/>
          <w:rFonts w:cs="FrankRuehl" w:hint="cs"/>
          <w:rtl/>
        </w:rPr>
        <w:t xml:space="preserve">ובר על סעיף 2, דינו </w:t>
      </w:r>
      <w:r>
        <w:rPr>
          <w:rStyle w:val="default"/>
          <w:rFonts w:cs="FrankRuehl"/>
          <w:rtl/>
        </w:rPr>
        <w:t xml:space="preserve">– </w:t>
      </w:r>
      <w:r>
        <w:rPr>
          <w:rStyle w:val="default"/>
          <w:rFonts w:cs="FrankRuehl" w:hint="cs"/>
          <w:rtl/>
        </w:rPr>
        <w:t>קנס 2000 לירות, ו-500 לירות נוספות לכל חודש שב</w:t>
      </w:r>
      <w:r>
        <w:rPr>
          <w:rStyle w:val="default"/>
          <w:rFonts w:cs="FrankRuehl"/>
          <w:rtl/>
        </w:rPr>
        <w:t>ו</w:t>
      </w:r>
      <w:r>
        <w:rPr>
          <w:rStyle w:val="default"/>
          <w:rFonts w:cs="FrankRuehl" w:hint="cs"/>
          <w:rtl/>
        </w:rPr>
        <w:t xml:space="preserve"> נמשכת העבירה; אולם מי שמסר הודעה במועדה ולא כלל בה פרטים מן האמורים בסעיף 3 לא יועמד לדין אלא אם נדרש </w:t>
      </w:r>
      <w:r>
        <w:rPr>
          <w:rStyle w:val="default"/>
          <w:rFonts w:cs="FrankRuehl"/>
          <w:rtl/>
        </w:rPr>
        <w:t>על</w:t>
      </w:r>
      <w:r>
        <w:rPr>
          <w:rStyle w:val="default"/>
          <w:rFonts w:cs="FrankRuehl" w:hint="cs"/>
          <w:rtl/>
        </w:rPr>
        <w:t xml:space="preserve"> ידי האפוטרופוס הכללי למסרם ולא מסרם.</w:t>
      </w:r>
    </w:p>
    <w:p w:rsidR="004C7ADF" w:rsidRDefault="004C7ADF">
      <w:pPr>
        <w:pStyle w:val="P00"/>
        <w:spacing w:before="72"/>
        <w:ind w:left="0" w:right="1134"/>
        <w:rPr>
          <w:rStyle w:val="default"/>
          <w:rFonts w:cs="FrankRuehl"/>
          <w:rtl/>
        </w:rPr>
      </w:pPr>
      <w:bookmarkStart w:id="5" w:name="Seif5"/>
      <w:bookmarkEnd w:id="5"/>
      <w:r>
        <w:rPr>
          <w:lang w:val="he-IL"/>
        </w:rPr>
        <w:pict>
          <v:rect id="_x0000_s1031" style="position:absolute;left:0;text-align:left;margin-left:464.5pt;margin-top:8.05pt;width:75.05pt;height:16pt;z-index:251659264" o:allowincell="f" filled="f" stroked="f" strokecolor="lime" strokeweight=".25pt">
            <v:textbox inset="0,0,0,0">
              <w:txbxContent>
                <w:p w:rsidR="004C7ADF" w:rsidRDefault="004C7ADF">
                  <w:pPr>
                    <w:spacing w:line="160" w:lineRule="exact"/>
                    <w:jc w:val="left"/>
                    <w:rPr>
                      <w:rFonts w:cs="Miriam"/>
                      <w:noProof/>
                      <w:sz w:val="18"/>
                      <w:szCs w:val="18"/>
                      <w:rtl/>
                    </w:rPr>
                  </w:pPr>
                  <w:r>
                    <w:rPr>
                      <w:rFonts w:cs="Miriam"/>
                      <w:sz w:val="18"/>
                      <w:szCs w:val="18"/>
                      <w:rtl/>
                    </w:rPr>
                    <w:t>פס</w:t>
                  </w:r>
                  <w:r>
                    <w:rPr>
                      <w:rFonts w:cs="Miriam" w:hint="cs"/>
                      <w:sz w:val="18"/>
                      <w:szCs w:val="18"/>
                      <w:rtl/>
                    </w:rPr>
                    <w:t>ילת מינוי או הרשאה מיושנים</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תירשם בפנקס מקרקעין, או בכל פנקס אחר המתנהל על פי חיקוק, פעולה שתקפה תלוי ברישום, אם צד לפעולה מיוצג על ידי ממונה או על ידי מורשה על פי מינוי או הרשאה הניתנים לחזרה, ומיום המינוי או ההרשאה עברו עשר שנים, א</w:t>
      </w:r>
      <w:r>
        <w:rPr>
          <w:rStyle w:val="default"/>
          <w:rFonts w:cs="FrankRuehl"/>
          <w:rtl/>
        </w:rPr>
        <w:t>לא</w:t>
      </w:r>
      <w:r>
        <w:rPr>
          <w:rStyle w:val="default"/>
          <w:rFonts w:cs="FrankRuehl" w:hint="cs"/>
          <w:rtl/>
        </w:rPr>
        <w:t xml:space="preserve"> אם הוגשה בכתב הסכמת הממנה או המרשה לפעולה ולא עברה שנה מיום מתן ההסכמה, או אם בית המשפט התיר את הרישום.</w:t>
      </w:r>
    </w:p>
    <w:p w:rsidR="004C7ADF" w:rsidRDefault="004C7AD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ין הוראות סעיף זה באות להכשיר כל פגם במינוי, בהרשאה או בפעולה המונע את הרישום על פי כל דין אחר.</w:t>
      </w:r>
    </w:p>
    <w:p w:rsidR="004C7ADF" w:rsidRDefault="004C7ADF">
      <w:pPr>
        <w:pStyle w:val="P00"/>
        <w:spacing w:before="72"/>
        <w:ind w:left="0" w:right="1134"/>
        <w:rPr>
          <w:rStyle w:val="default"/>
          <w:rFonts w:cs="FrankRuehl" w:hint="cs"/>
          <w:rtl/>
        </w:rPr>
      </w:pPr>
      <w:bookmarkStart w:id="6" w:name="Seif6"/>
      <w:bookmarkEnd w:id="6"/>
      <w:r>
        <w:rPr>
          <w:lang w:val="he-IL"/>
        </w:rPr>
        <w:pict>
          <v:rect id="_x0000_s1032" style="position:absolute;left:0;text-align:left;margin-left:464.5pt;margin-top:8.05pt;width:75.05pt;height:28.85pt;z-index:251660288" o:allowincell="f" filled="f" stroked="f" strokecolor="lime" strokeweight=".25pt">
            <v:textbox inset="0,0,0,0">
              <w:txbxContent>
                <w:p w:rsidR="004C7ADF" w:rsidRDefault="004C7ADF">
                  <w:pPr>
                    <w:spacing w:line="160" w:lineRule="exact"/>
                    <w:jc w:val="left"/>
                    <w:rPr>
                      <w:rFonts w:cs="Miriam"/>
                      <w:noProof/>
                      <w:sz w:val="18"/>
                      <w:szCs w:val="18"/>
                      <w:rtl/>
                    </w:rPr>
                  </w:pPr>
                  <w:r>
                    <w:rPr>
                      <w:rFonts w:cs="Miriam"/>
                      <w:sz w:val="18"/>
                      <w:szCs w:val="18"/>
                      <w:rtl/>
                    </w:rPr>
                    <w:t>פט</w:t>
                  </w:r>
                  <w:r>
                    <w:rPr>
                      <w:rFonts w:cs="Miriam" w:hint="cs"/>
                      <w:sz w:val="18"/>
                      <w:szCs w:val="18"/>
                      <w:rtl/>
                    </w:rPr>
                    <w:t>ורים מתחולת החוק</w:t>
                  </w:r>
                </w:p>
                <w:p w:rsidR="004C7ADF" w:rsidRDefault="004C7ADF">
                  <w:pPr>
                    <w:spacing w:line="160" w:lineRule="exact"/>
                    <w:jc w:val="left"/>
                    <w:rPr>
                      <w:rFonts w:cs="Miriam"/>
                      <w:noProof/>
                      <w:sz w:val="18"/>
                      <w:szCs w:val="18"/>
                      <w:rtl/>
                    </w:rPr>
                  </w:pPr>
                  <w:r>
                    <w:rPr>
                      <w:rFonts w:cs="Miriam"/>
                      <w:sz w:val="18"/>
                      <w:szCs w:val="18"/>
                      <w:rtl/>
                    </w:rPr>
                    <w:t>ת"</w:t>
                  </w:r>
                  <w:r>
                    <w:rPr>
                      <w:rFonts w:cs="Miriam" w:hint="cs"/>
                      <w:sz w:val="18"/>
                      <w:szCs w:val="18"/>
                      <w:rtl/>
                    </w:rPr>
                    <w:t>ט תשכ"ה-</w:t>
                  </w:r>
                  <w:r>
                    <w:rPr>
                      <w:rFonts w:cs="Miriam"/>
                      <w:sz w:val="18"/>
                      <w:szCs w:val="18"/>
                      <w:rtl/>
                    </w:rPr>
                    <w:t>196</w:t>
                  </w:r>
                  <w:r>
                    <w:rPr>
                      <w:rFonts w:cs="Miriam" w:hint="cs"/>
                      <w:sz w:val="18"/>
                      <w:szCs w:val="18"/>
                      <w:rtl/>
                    </w:rPr>
                    <w:t>5</w:t>
                  </w:r>
                </w:p>
              </w:txbxContent>
            </v:textbox>
            <w10:anchorlock/>
          </v:rect>
        </w:pict>
      </w:r>
      <w:r>
        <w:rPr>
          <w:rStyle w:val="big-number"/>
          <w:rFonts w:cs="Miriam"/>
          <w:rtl/>
        </w:rPr>
        <w:t>7.</w:t>
      </w:r>
      <w:r>
        <w:rPr>
          <w:rStyle w:val="big-number"/>
          <w:rFonts w:cs="Miriam"/>
          <w:rtl/>
        </w:rPr>
        <w:tab/>
      </w:r>
      <w:r>
        <w:rPr>
          <w:rStyle w:val="default"/>
          <w:rFonts w:cs="FrankRuehl"/>
          <w:rtl/>
        </w:rPr>
        <w:t>הו</w:t>
      </w:r>
      <w:r>
        <w:rPr>
          <w:rStyle w:val="default"/>
          <w:rFonts w:cs="FrankRuehl" w:hint="cs"/>
          <w:rtl/>
        </w:rPr>
        <w:t>ראות חוק זה לא יחולו על מי שהורשה או נתמנה לנהל נכס או לשלוט בו או לעשות בו פעולה, או שהוא נאמן על נכס, מכוח חוק או תקנה בת-פועל תחיקתי או</w:t>
      </w:r>
      <w:r>
        <w:rPr>
          <w:rStyle w:val="default"/>
          <w:rFonts w:cs="FrankRuehl"/>
          <w:rtl/>
        </w:rPr>
        <w:t xml:space="preserve"> מ</w:t>
      </w:r>
      <w:r>
        <w:rPr>
          <w:rStyle w:val="default"/>
          <w:rFonts w:cs="FrankRuehl" w:hint="cs"/>
          <w:rtl/>
        </w:rPr>
        <w:t>טעם בית המשפט.</w:t>
      </w:r>
    </w:p>
    <w:p w:rsidR="004C7ADF" w:rsidRDefault="004C7ADF">
      <w:pPr>
        <w:pStyle w:val="P00"/>
        <w:spacing w:before="0"/>
        <w:ind w:left="0" w:right="1134"/>
        <w:rPr>
          <w:rStyle w:val="default"/>
          <w:rFonts w:cs="FrankRuehl" w:hint="cs"/>
          <w:vanish/>
          <w:color w:val="FF0000"/>
          <w:sz w:val="20"/>
          <w:szCs w:val="20"/>
          <w:shd w:val="clear" w:color="auto" w:fill="FFFF99"/>
          <w:rtl/>
        </w:rPr>
      </w:pPr>
      <w:bookmarkStart w:id="7" w:name="Rov10"/>
      <w:r>
        <w:rPr>
          <w:rStyle w:val="default"/>
          <w:rFonts w:cs="FrankRuehl" w:hint="cs"/>
          <w:vanish/>
          <w:color w:val="FF0000"/>
          <w:sz w:val="20"/>
          <w:szCs w:val="20"/>
          <w:shd w:val="clear" w:color="auto" w:fill="FFFF99"/>
          <w:rtl/>
        </w:rPr>
        <w:t>מיום 11.1.1965</w:t>
      </w:r>
    </w:p>
    <w:p w:rsidR="004C7ADF" w:rsidRDefault="004C7ADF">
      <w:pPr>
        <w:pStyle w:val="P00"/>
        <w:spacing w:before="0"/>
        <w:ind w:left="0" w:right="1134"/>
        <w:rPr>
          <w:rStyle w:val="default"/>
          <w:rFonts w:cs="FrankRuehl" w:hint="cs"/>
          <w:vanish/>
          <w:sz w:val="20"/>
          <w:szCs w:val="20"/>
          <w:shd w:val="clear" w:color="auto" w:fill="FFFF99"/>
          <w:rtl/>
        </w:rPr>
      </w:pPr>
      <w:r>
        <w:rPr>
          <w:rStyle w:val="default"/>
          <w:rFonts w:cs="FrankRuehl" w:hint="cs"/>
          <w:b/>
          <w:bCs/>
          <w:vanish/>
          <w:sz w:val="20"/>
          <w:szCs w:val="20"/>
          <w:shd w:val="clear" w:color="auto" w:fill="FFFF99"/>
          <w:rtl/>
        </w:rPr>
        <w:t>ת"ט תשכ"ה-1965</w:t>
      </w:r>
    </w:p>
    <w:p w:rsidR="004C7ADF" w:rsidRDefault="004C7ADF">
      <w:pPr>
        <w:pStyle w:val="P00"/>
        <w:spacing w:before="0"/>
        <w:ind w:left="0" w:right="1134"/>
        <w:rPr>
          <w:rStyle w:val="default"/>
          <w:rFonts w:cs="FrankRuehl" w:hint="cs"/>
          <w:vanish/>
          <w:sz w:val="20"/>
          <w:szCs w:val="20"/>
          <w:shd w:val="clear" w:color="auto" w:fill="FFFF99"/>
          <w:rtl/>
        </w:rPr>
      </w:pPr>
      <w:hyperlink r:id="rId6" w:history="1">
        <w:r>
          <w:rPr>
            <w:rStyle w:val="Hyperlink"/>
            <w:rFonts w:cs="FrankRuehl" w:hint="cs"/>
            <w:vanish/>
            <w:szCs w:val="20"/>
            <w:shd w:val="clear" w:color="auto" w:fill="FFFF99"/>
            <w:rtl/>
          </w:rPr>
          <w:t>ס"ח תשכ"ה מס' 443</w:t>
        </w:r>
      </w:hyperlink>
      <w:r>
        <w:rPr>
          <w:rStyle w:val="default"/>
          <w:rFonts w:cs="FrankRuehl" w:hint="cs"/>
          <w:vanish/>
          <w:sz w:val="20"/>
          <w:szCs w:val="20"/>
          <w:shd w:val="clear" w:color="auto" w:fill="FFFF99"/>
          <w:rtl/>
        </w:rPr>
        <w:t xml:space="preserve"> מיום 11.1.1965 עמ' 45 (</w:t>
      </w:r>
      <w:hyperlink r:id="rId7" w:history="1">
        <w:r>
          <w:rPr>
            <w:rStyle w:val="Hyperlink"/>
            <w:rFonts w:cs="FrankRuehl" w:hint="cs"/>
            <w:vanish/>
            <w:szCs w:val="20"/>
            <w:shd w:val="clear" w:color="auto" w:fill="FFFF99"/>
            <w:rtl/>
          </w:rPr>
          <w:t>ה"ח 622</w:t>
        </w:r>
      </w:hyperlink>
      <w:r>
        <w:rPr>
          <w:rStyle w:val="default"/>
          <w:rFonts w:cs="FrankRuehl" w:hint="cs"/>
          <w:vanish/>
          <w:sz w:val="20"/>
          <w:szCs w:val="20"/>
          <w:shd w:val="clear" w:color="auto" w:fill="FFFF99"/>
          <w:rtl/>
        </w:rPr>
        <w:t>)</w:t>
      </w:r>
    </w:p>
    <w:p w:rsidR="004C7ADF" w:rsidRDefault="004C7ADF">
      <w:pPr>
        <w:pStyle w:val="P00"/>
        <w:ind w:left="0" w:right="1134"/>
        <w:rPr>
          <w:rStyle w:val="default"/>
          <w:rFonts w:cs="FrankRuehl" w:hint="cs"/>
          <w:sz w:val="2"/>
          <w:szCs w:val="2"/>
          <w:rtl/>
        </w:rPr>
      </w:pPr>
      <w:r>
        <w:rPr>
          <w:rStyle w:val="big-number"/>
          <w:rFonts w:cs="FrankRuehl" w:hint="cs"/>
          <w:vanish/>
          <w:sz w:val="22"/>
          <w:szCs w:val="22"/>
          <w:shd w:val="clear" w:color="auto" w:fill="FFFF99"/>
          <w:rtl/>
        </w:rPr>
        <w:t>7</w:t>
      </w:r>
      <w:r>
        <w:rPr>
          <w:rStyle w:val="big-number"/>
          <w:rFonts w:cs="FrankRuehl"/>
          <w:vanish/>
          <w:sz w:val="22"/>
          <w:szCs w:val="22"/>
          <w:shd w:val="clear" w:color="auto" w:fill="FFFF99"/>
          <w:rtl/>
        </w:rPr>
        <w:t>.</w:t>
      </w:r>
      <w:r>
        <w:rPr>
          <w:rStyle w:val="big-number"/>
          <w:rFonts w:cs="FrankRuehl"/>
          <w:vanish/>
          <w:sz w:val="22"/>
          <w:szCs w:val="22"/>
          <w:shd w:val="clear" w:color="auto" w:fill="FFFF99"/>
          <w:rtl/>
        </w:rPr>
        <w:tab/>
      </w:r>
      <w:r>
        <w:rPr>
          <w:rStyle w:val="default"/>
          <w:rFonts w:cs="FrankRuehl"/>
          <w:vanish/>
          <w:sz w:val="22"/>
          <w:szCs w:val="22"/>
          <w:shd w:val="clear" w:color="auto" w:fill="FFFF99"/>
          <w:rtl/>
        </w:rPr>
        <w:t>הו</w:t>
      </w:r>
      <w:r>
        <w:rPr>
          <w:rStyle w:val="default"/>
          <w:rFonts w:cs="FrankRuehl" w:hint="cs"/>
          <w:vanish/>
          <w:sz w:val="22"/>
          <w:szCs w:val="22"/>
          <w:shd w:val="clear" w:color="auto" w:fill="FFFF99"/>
          <w:rtl/>
        </w:rPr>
        <w:t xml:space="preserve">ראות חוק זה לא יחולו על מי שהורשה או נתמנה לנהל נכס או לשלוט בו או לעשות בו פעולה, או שהוא נאמן על נכס, מכוח חוק </w:t>
      </w:r>
      <w:r>
        <w:rPr>
          <w:rStyle w:val="default"/>
          <w:rFonts w:cs="FrankRuehl" w:hint="cs"/>
          <w:strike/>
          <w:vanish/>
          <w:sz w:val="22"/>
          <w:szCs w:val="22"/>
          <w:shd w:val="clear" w:color="auto" w:fill="FFFF99"/>
          <w:rtl/>
        </w:rPr>
        <w:t>או תקנה בת-פועל, תחיקתי</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או תקנה בת-פועל תחיקתי,</w:t>
      </w:r>
      <w:r>
        <w:rPr>
          <w:rStyle w:val="default"/>
          <w:rFonts w:cs="FrankRuehl" w:hint="cs"/>
          <w:vanish/>
          <w:sz w:val="22"/>
          <w:szCs w:val="22"/>
          <w:shd w:val="clear" w:color="auto" w:fill="FFFF99"/>
          <w:rtl/>
        </w:rPr>
        <w:t xml:space="preserve"> או</w:t>
      </w:r>
      <w:r>
        <w:rPr>
          <w:rStyle w:val="default"/>
          <w:rFonts w:cs="FrankRuehl"/>
          <w:vanish/>
          <w:sz w:val="22"/>
          <w:szCs w:val="22"/>
          <w:shd w:val="clear" w:color="auto" w:fill="FFFF99"/>
          <w:rtl/>
        </w:rPr>
        <w:t xml:space="preserve"> מ</w:t>
      </w:r>
      <w:r>
        <w:rPr>
          <w:rStyle w:val="default"/>
          <w:rFonts w:cs="FrankRuehl" w:hint="cs"/>
          <w:vanish/>
          <w:sz w:val="22"/>
          <w:szCs w:val="22"/>
          <w:shd w:val="clear" w:color="auto" w:fill="FFFF99"/>
          <w:rtl/>
        </w:rPr>
        <w:t>טעם בית המשפט.</w:t>
      </w:r>
      <w:bookmarkEnd w:id="7"/>
    </w:p>
    <w:p w:rsidR="004C7ADF" w:rsidRDefault="004C7ADF">
      <w:pPr>
        <w:pStyle w:val="P00"/>
        <w:spacing w:before="72"/>
        <w:ind w:left="0" w:right="1134"/>
        <w:rPr>
          <w:rStyle w:val="default"/>
          <w:rFonts w:cs="FrankRuehl"/>
          <w:rtl/>
        </w:rPr>
      </w:pPr>
      <w:bookmarkStart w:id="8" w:name="Seif7"/>
      <w:bookmarkEnd w:id="8"/>
      <w:r>
        <w:rPr>
          <w:lang w:val="he-IL"/>
        </w:rPr>
        <w:pict>
          <v:rect id="_x0000_s1033" style="position:absolute;left:0;text-align:left;margin-left:464.5pt;margin-top:8.05pt;width:75.05pt;height:8pt;z-index:251661312" o:allowincell="f" filled="f" stroked="f" strokecolor="lime" strokeweight=".25pt">
            <v:textbox inset="0,0,0,0">
              <w:txbxContent>
                <w:p w:rsidR="004C7ADF" w:rsidRDefault="004C7ADF">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Fonts w:cs="Miriam"/>
          <w:rtl/>
        </w:rPr>
        <w:t>8.</w:t>
      </w:r>
      <w:r>
        <w:rPr>
          <w:rStyle w:val="big-number"/>
          <w:rFonts w:cs="Miriam"/>
          <w:rtl/>
        </w:rPr>
        <w:tab/>
      </w:r>
      <w:r>
        <w:rPr>
          <w:rStyle w:val="default"/>
          <w:rFonts w:cs="FrankRuehl"/>
          <w:rtl/>
        </w:rPr>
        <w:t>שר</w:t>
      </w:r>
      <w:r>
        <w:rPr>
          <w:rStyle w:val="default"/>
          <w:rFonts w:cs="FrankRuehl" w:hint="cs"/>
          <w:rtl/>
        </w:rPr>
        <w:t xml:space="preserve"> המשפטים ממונה על ביצוע חוק זה והוא רשאי להתקין</w:t>
      </w:r>
      <w:r>
        <w:rPr>
          <w:rStyle w:val="default"/>
          <w:rFonts w:cs="FrankRuehl"/>
          <w:rtl/>
        </w:rPr>
        <w:t xml:space="preserve"> </w:t>
      </w:r>
      <w:r>
        <w:rPr>
          <w:rStyle w:val="default"/>
          <w:rFonts w:cs="FrankRuehl" w:hint="cs"/>
          <w:rtl/>
        </w:rPr>
        <w:t>תקנות בכל ענין הנוגע לביצועו.</w:t>
      </w:r>
    </w:p>
    <w:p w:rsidR="004C7ADF" w:rsidRDefault="004C7ADF">
      <w:pPr>
        <w:pStyle w:val="P00"/>
        <w:spacing w:before="72"/>
        <w:ind w:left="0" w:right="1134"/>
        <w:rPr>
          <w:rStyle w:val="default"/>
          <w:rFonts w:cs="FrankRuehl" w:hint="cs"/>
          <w:rtl/>
        </w:rPr>
      </w:pPr>
    </w:p>
    <w:p w:rsidR="004C7ADF" w:rsidRDefault="004C7ADF">
      <w:pPr>
        <w:pStyle w:val="P00"/>
        <w:spacing w:before="72"/>
        <w:ind w:left="0" w:right="1134"/>
        <w:rPr>
          <w:rStyle w:val="default"/>
          <w:rFonts w:cs="FrankRuehl" w:hint="cs"/>
          <w:rtl/>
        </w:rPr>
      </w:pPr>
    </w:p>
    <w:p w:rsidR="004C7ADF" w:rsidRDefault="004C7ADF" w:rsidP="006D1A4D">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Pr>
          <w:rFonts w:cs="FrankRuehl"/>
          <w:sz w:val="26"/>
          <w:szCs w:val="26"/>
          <w:rtl/>
        </w:rPr>
        <w:tab/>
      </w:r>
      <w:r>
        <w:rPr>
          <w:rFonts w:cs="FrankRuehl"/>
          <w:sz w:val="26"/>
          <w:szCs w:val="26"/>
          <w:rtl/>
        </w:rPr>
        <w:tab/>
        <w:t>ל</w:t>
      </w:r>
      <w:r>
        <w:rPr>
          <w:rFonts w:cs="FrankRuehl" w:hint="cs"/>
          <w:sz w:val="26"/>
          <w:szCs w:val="26"/>
          <w:rtl/>
        </w:rPr>
        <w:t>וי אשכול</w:t>
      </w:r>
      <w:r>
        <w:rPr>
          <w:rFonts w:cs="FrankRuehl"/>
          <w:sz w:val="26"/>
          <w:szCs w:val="26"/>
          <w:rtl/>
        </w:rPr>
        <w:tab/>
        <w:t>ד</w:t>
      </w:r>
      <w:r>
        <w:rPr>
          <w:rFonts w:cs="FrankRuehl" w:hint="cs"/>
          <w:sz w:val="26"/>
          <w:szCs w:val="26"/>
          <w:rtl/>
        </w:rPr>
        <w:t>ב יוסף</w:t>
      </w:r>
    </w:p>
    <w:p w:rsidR="004C7ADF" w:rsidRDefault="004C7ADF" w:rsidP="006D1A4D">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t>ש</w:t>
      </w:r>
      <w:r>
        <w:rPr>
          <w:rFonts w:cs="FrankRuehl" w:hint="cs"/>
          <w:sz w:val="22"/>
          <w:rtl/>
        </w:rPr>
        <w:t>ר המשפטים</w:t>
      </w:r>
    </w:p>
    <w:p w:rsidR="004C7ADF" w:rsidRDefault="004C7ADF" w:rsidP="006D1A4D">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Pr>
          <w:rFonts w:cs="FrankRuehl"/>
          <w:sz w:val="26"/>
          <w:szCs w:val="26"/>
          <w:rtl/>
        </w:rPr>
        <w:tab/>
        <w:t>ש</w:t>
      </w:r>
      <w:r>
        <w:rPr>
          <w:rFonts w:cs="FrankRuehl" w:hint="cs"/>
          <w:sz w:val="26"/>
          <w:szCs w:val="26"/>
          <w:rtl/>
        </w:rPr>
        <w:t>ניאור זלמן שזר</w:t>
      </w:r>
    </w:p>
    <w:p w:rsidR="004C7ADF" w:rsidRDefault="004C7ADF" w:rsidP="006D1A4D">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sz w:val="22"/>
          <w:rtl/>
        </w:rPr>
        <w:tab/>
        <w:t>נ</w:t>
      </w:r>
      <w:r>
        <w:rPr>
          <w:rFonts w:cs="FrankRuehl" w:hint="cs"/>
          <w:sz w:val="22"/>
          <w:rtl/>
        </w:rPr>
        <w:t>שיא המדינה</w:t>
      </w:r>
    </w:p>
    <w:p w:rsidR="004C7ADF" w:rsidRDefault="004C7ADF">
      <w:pPr>
        <w:pStyle w:val="P00"/>
        <w:spacing w:before="72"/>
        <w:ind w:left="0" w:right="1134"/>
        <w:rPr>
          <w:rStyle w:val="default"/>
          <w:rFonts w:cs="FrankRuehl"/>
          <w:rtl/>
        </w:rPr>
      </w:pPr>
    </w:p>
    <w:p w:rsidR="004C7ADF" w:rsidRDefault="004C7ADF">
      <w:pPr>
        <w:pStyle w:val="P00"/>
        <w:spacing w:before="72"/>
        <w:ind w:left="0" w:right="1134"/>
        <w:rPr>
          <w:rStyle w:val="default"/>
          <w:rFonts w:cs="FrankRuehl"/>
          <w:rtl/>
        </w:rPr>
      </w:pPr>
    </w:p>
    <w:p w:rsidR="004C7ADF" w:rsidRDefault="004C7ADF">
      <w:pPr>
        <w:ind w:right="1134"/>
        <w:rPr>
          <w:rFonts w:cs="David"/>
          <w:sz w:val="24"/>
          <w:rtl/>
        </w:rPr>
      </w:pPr>
      <w:bookmarkStart w:id="9" w:name="LawPartEnd"/>
    </w:p>
    <w:bookmarkEnd w:id="9"/>
    <w:p w:rsidR="004C7ADF" w:rsidRDefault="004C7ADF">
      <w:pPr>
        <w:ind w:right="1134"/>
        <w:rPr>
          <w:rFonts w:cs="David"/>
          <w:sz w:val="24"/>
          <w:rtl/>
        </w:rPr>
      </w:pPr>
    </w:p>
    <w:sectPr w:rsidR="004C7ADF">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B5E53" w:rsidRDefault="00DB5E53">
      <w:r>
        <w:separator/>
      </w:r>
    </w:p>
  </w:endnote>
  <w:endnote w:type="continuationSeparator" w:id="0">
    <w:p w:rsidR="00DB5E53" w:rsidRDefault="00DB5E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C7ADF" w:rsidRDefault="004C7AD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4C7ADF" w:rsidRDefault="004C7AD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4C7ADF" w:rsidRDefault="004C7AD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Z:\00000000-law\yael\revadim\06-04-16\024_001.doc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C7ADF" w:rsidRDefault="004C7AD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D1A4D">
      <w:rPr>
        <w:rFonts w:hAnsi="FrankRuehl" w:cs="FrankRuehl"/>
        <w:noProof/>
        <w:sz w:val="24"/>
        <w:szCs w:val="24"/>
        <w:rtl/>
      </w:rPr>
      <w:t>1</w:t>
    </w:r>
    <w:r>
      <w:rPr>
        <w:rFonts w:hAnsi="FrankRuehl" w:cs="FrankRuehl"/>
        <w:sz w:val="24"/>
        <w:szCs w:val="24"/>
        <w:rtl/>
      </w:rPr>
      <w:fldChar w:fldCharType="end"/>
    </w:r>
  </w:p>
  <w:p w:rsidR="004C7ADF" w:rsidRDefault="004C7AD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4C7ADF" w:rsidRDefault="004C7AD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Z:\00000000-law\yael\revadim\06-04-16\024_001.doc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B5E53" w:rsidRDefault="00DB5E53">
      <w:r>
        <w:separator/>
      </w:r>
    </w:p>
  </w:footnote>
  <w:footnote w:type="continuationSeparator" w:id="0">
    <w:p w:rsidR="00DB5E53" w:rsidRDefault="00DB5E53">
      <w:r>
        <w:continuationSeparator/>
      </w:r>
    </w:p>
  </w:footnote>
  <w:footnote w:id="1">
    <w:p w:rsidR="006D1A4D" w:rsidRDefault="004C7ADF" w:rsidP="006D1A4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Pr>
            <w:rStyle w:val="Hyperlink"/>
            <w:rFonts w:cs="FrankRuehl" w:hint="cs"/>
            <w:rtl/>
          </w:rPr>
          <w:t>ס"ח תשכ"ה מס' 441</w:t>
        </w:r>
      </w:hyperlink>
      <w:r>
        <w:rPr>
          <w:rFonts w:cs="FrankRuehl" w:hint="cs"/>
          <w:rtl/>
        </w:rPr>
        <w:t xml:space="preserve"> מיום 8.1.1965 עמ' 24 (ה"ח תשכ"ד מס' 597 עמ' 80).</w:t>
      </w:r>
    </w:p>
    <w:p w:rsidR="004C7ADF" w:rsidRDefault="004C7ADF" w:rsidP="006D1A4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ת"ט </w:t>
      </w:r>
      <w:hyperlink r:id="rId2" w:history="1">
        <w:r>
          <w:rPr>
            <w:rStyle w:val="Hyperlink"/>
            <w:rFonts w:cs="FrankRuehl" w:hint="cs"/>
            <w:rtl/>
          </w:rPr>
          <w:t>ס"ח תשכ"ה מס' 443</w:t>
        </w:r>
      </w:hyperlink>
      <w:r>
        <w:rPr>
          <w:rFonts w:cs="FrankRuehl" w:hint="cs"/>
          <w:rtl/>
        </w:rPr>
        <w:t xml:space="preserve"> מיום 11.1.1965 עמ' 45.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C7ADF" w:rsidRDefault="004C7AD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להגנת רכוש מופקד, תשכ"ה–1964</w:t>
    </w:r>
  </w:p>
  <w:p w:rsidR="004C7ADF" w:rsidRDefault="004C7AD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C7ADF" w:rsidRDefault="004C7ADF">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C7ADF" w:rsidRDefault="004C7AD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להגנת רכוש מופקד, תשכ"ה</w:t>
    </w:r>
    <w:r>
      <w:rPr>
        <w:rFonts w:hAnsi="FrankRuehl" w:cs="FrankRuehl" w:hint="cs"/>
        <w:color w:val="000000"/>
        <w:sz w:val="28"/>
        <w:szCs w:val="28"/>
        <w:rtl/>
      </w:rPr>
      <w:t>-</w:t>
    </w:r>
    <w:r>
      <w:rPr>
        <w:rFonts w:hAnsi="FrankRuehl" w:cs="FrankRuehl"/>
        <w:color w:val="000000"/>
        <w:sz w:val="28"/>
        <w:szCs w:val="28"/>
        <w:rtl/>
      </w:rPr>
      <w:t>1964</w:t>
    </w:r>
  </w:p>
  <w:p w:rsidR="004C7ADF" w:rsidRDefault="004C7AD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C7ADF" w:rsidRDefault="004C7ADF">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5696D"/>
    <w:rsid w:val="0015696D"/>
    <w:rsid w:val="004C7ADF"/>
    <w:rsid w:val="005F7243"/>
    <w:rsid w:val="006D1A4D"/>
    <w:rsid w:val="00DB5E5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FC17D663-BD27-46EE-B2D0-DB6D13DDB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_word/law/PROP-0622.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14/LAW-0443.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14/LAW-0443.pdf" TargetMode="External"/><Relationship Id="rId1" Type="http://schemas.openxmlformats.org/officeDocument/2006/relationships/hyperlink" Target="http://www.nevo.co.il/Law_word/law14/LAW-044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פרק 24</vt:lpstr>
    </vt:vector>
  </TitlesOfParts>
  <Company/>
  <LinksUpToDate>false</LinksUpToDate>
  <CharactersWithSpaces>3069</CharactersWithSpaces>
  <SharedDoc>false</SharedDoc>
  <HLinks>
    <vt:vector size="72" baseType="variant">
      <vt:variant>
        <vt:i4>3801166</vt:i4>
      </vt:variant>
      <vt:variant>
        <vt:i4>51</vt:i4>
      </vt:variant>
      <vt:variant>
        <vt:i4>0</vt:i4>
      </vt:variant>
      <vt:variant>
        <vt:i4>5</vt:i4>
      </vt:variant>
      <vt:variant>
        <vt:lpwstr>http://www.nevo.co.il/Law_word/law/PROP-0622.pdf</vt:lpwstr>
      </vt:variant>
      <vt:variant>
        <vt:lpwstr/>
      </vt:variant>
      <vt:variant>
        <vt:i4>8060942</vt:i4>
      </vt:variant>
      <vt:variant>
        <vt:i4>48</vt:i4>
      </vt:variant>
      <vt:variant>
        <vt:i4>0</vt:i4>
      </vt:variant>
      <vt:variant>
        <vt:i4>5</vt:i4>
      </vt:variant>
      <vt:variant>
        <vt:lpwstr>http://www.nevo.co.il/Law_word/law14/LAW-0443.pdf</vt:lpwstr>
      </vt:variant>
      <vt:variant>
        <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8060942</vt:i4>
      </vt:variant>
      <vt:variant>
        <vt:i4>3</vt:i4>
      </vt:variant>
      <vt:variant>
        <vt:i4>0</vt:i4>
      </vt:variant>
      <vt:variant>
        <vt:i4>5</vt:i4>
      </vt:variant>
      <vt:variant>
        <vt:lpwstr>http://www.nevo.co.il/Law_word/law14/LAW-0443.pdf</vt:lpwstr>
      </vt:variant>
      <vt:variant>
        <vt:lpwstr/>
      </vt:variant>
      <vt:variant>
        <vt:i4>8060940</vt:i4>
      </vt:variant>
      <vt:variant>
        <vt:i4>0</vt:i4>
      </vt:variant>
      <vt:variant>
        <vt:i4>0</vt:i4>
      </vt:variant>
      <vt:variant>
        <vt:i4>5</vt:i4>
      </vt:variant>
      <vt:variant>
        <vt:lpwstr>http://www.nevo.co.il/Law_word/law14/LAW-0441.pdf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24</dc:title>
  <dc:subject/>
  <dc:creator>Shimon Doodkin</dc:creator>
  <cp:keywords/>
  <dc:description/>
  <cp:lastModifiedBy>Shimon Doodkin</cp:lastModifiedBy>
  <cp:revision>2</cp:revision>
  <dcterms:created xsi:type="dcterms:W3CDTF">2023-06-05T19:03:00Z</dcterms:created>
  <dcterms:modified xsi:type="dcterms:W3CDTF">2023-06-05T19:03:00Z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0024</vt:lpwstr>
  </property>
  <property fmtid="{D5CDD505-2E9C-101B-9397-08002B2CF9AE}" pid="3" name="CHNAME">
    <vt:lpwstr>אפוטרופוס כללי</vt:lpwstr>
  </property>
  <property fmtid="{D5CDD505-2E9C-101B-9397-08002B2CF9AE}" pid="4" name="LAWNAME">
    <vt:lpwstr>חוק להגנת רכוש מופקד, תשכ"ה-1964</vt:lpwstr>
  </property>
  <property fmtid="{D5CDD505-2E9C-101B-9397-08002B2CF9AE}" pid="5" name="LAWNUMBER">
    <vt:lpwstr>0001</vt:lpwstr>
  </property>
  <property fmtid="{D5CDD505-2E9C-101B-9397-08002B2CF9AE}" pid="6" name="TYPE">
    <vt:lpwstr>01</vt:lpwstr>
  </property>
  <property fmtid="{D5CDD505-2E9C-101B-9397-08002B2CF9AE}" pid="7" name="LINKK1">
    <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משפט פרטי וכלכלה</vt:lpwstr>
  </property>
  <property fmtid="{D5CDD505-2E9C-101B-9397-08002B2CF9AE}" pid="23" name="NOSE21">
    <vt:lpwstr>קניין</vt:lpwstr>
  </property>
  <property fmtid="{D5CDD505-2E9C-101B-9397-08002B2CF9AE}" pid="24" name="NOSE31">
    <vt:lpwstr>האפוטרופוס הכללי</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ies>
</file>