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009" w:rsidRDefault="0027400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להנצחת זכרו של מנחם בגין, תשנ"ח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3B1400" w:rsidRDefault="003B1400" w:rsidP="003B1400">
      <w:pPr>
        <w:spacing w:line="320" w:lineRule="auto"/>
        <w:jc w:val="left"/>
        <w:rPr>
          <w:rFonts w:hint="cs"/>
          <w:rtl/>
        </w:rPr>
      </w:pPr>
    </w:p>
    <w:p w:rsidR="00BD0AD5" w:rsidRDefault="00BD0AD5" w:rsidP="003B1400">
      <w:pPr>
        <w:spacing w:line="320" w:lineRule="auto"/>
        <w:jc w:val="left"/>
        <w:rPr>
          <w:rFonts w:hint="cs"/>
          <w:rtl/>
        </w:rPr>
      </w:pPr>
    </w:p>
    <w:p w:rsidR="003B1400" w:rsidRDefault="003B1400" w:rsidP="003B1400">
      <w:pPr>
        <w:spacing w:line="320" w:lineRule="auto"/>
        <w:jc w:val="left"/>
        <w:rPr>
          <w:rFonts w:cs="FrankRuehl"/>
          <w:szCs w:val="26"/>
          <w:rtl/>
        </w:rPr>
      </w:pPr>
      <w:r w:rsidRPr="003B1400">
        <w:rPr>
          <w:rFonts w:cs="Miriam"/>
          <w:szCs w:val="22"/>
          <w:rtl/>
        </w:rPr>
        <w:t>רשויות ומשפט מנהלי</w:t>
      </w:r>
      <w:r w:rsidRPr="003B1400">
        <w:rPr>
          <w:rFonts w:cs="FrankRuehl"/>
          <w:szCs w:val="26"/>
          <w:rtl/>
        </w:rPr>
        <w:t xml:space="preserve"> – תרבות, פנאי ומועדים – נכסי תרבות</w:t>
      </w:r>
    </w:p>
    <w:p w:rsidR="003B1400" w:rsidRPr="003B1400" w:rsidRDefault="003B1400" w:rsidP="003B1400">
      <w:pPr>
        <w:spacing w:line="320" w:lineRule="auto"/>
        <w:jc w:val="left"/>
        <w:rPr>
          <w:rFonts w:cs="Miriam"/>
          <w:szCs w:val="22"/>
          <w:rtl/>
        </w:rPr>
      </w:pPr>
      <w:r w:rsidRPr="003B1400">
        <w:rPr>
          <w:rFonts w:cs="Miriam"/>
          <w:szCs w:val="22"/>
          <w:rtl/>
        </w:rPr>
        <w:t>רשויות ומשפט מנהלי</w:t>
      </w:r>
      <w:r w:rsidRPr="003B1400">
        <w:rPr>
          <w:rFonts w:cs="FrankRuehl"/>
          <w:szCs w:val="26"/>
          <w:rtl/>
        </w:rPr>
        <w:t xml:space="preserve"> – תרבות, פנאי ומועדים – מוסדות  – הנצחה</w:t>
      </w:r>
    </w:p>
    <w:p w:rsidR="00274009" w:rsidRDefault="0027400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 – מטרת החוק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 – מטרת החוק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מטרת החוק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טרת החוק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 – פרשנות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 – פרשנו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דרו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 – המוסדות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 – המוסדו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קיום מוסדות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קיום מוסדו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א' – המרכז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סימן א – המרכז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מעמד המרכז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עמד המרכז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המועצה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מועצ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יושב ראש המועצה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יושב ראש המועצ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המועצה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פקידי המועצ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עבודת המועצה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דרי עבודת המועצ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הוועד המנהל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וועד המנהל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הוועד המנהל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פקידי הוועד המנהל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פיזור הוועד המנהל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פיזור הוועד המנהל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כינון ועד מנהל חדש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כינון ועד מנהל חדש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הוצאות וגמול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וצאות וגמול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קופת כהונ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פקיעת הכהונה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פקיעת הכהונ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העברה מכהונה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העברה מכהונ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פעולות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תוקף פעולו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ראש המרכז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ראש המרכז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ראש המרכז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תפקידי ראש המרכז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 העסקתו של ראש המרכז ופקיעת כהונתו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תנאי העסקתו של ראש המרכז ופקיעת כהונתו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מבקר פנימי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מבקר פנימי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ב' – האתר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1" w:tooltip="סימן ב – האתר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הקמת האתר ותכולתו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הקמת האתר ותכולתו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פעילויות לציבור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פעילויות לציבור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ועדה חינוכית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ועדה חינוכי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הוועדה החינוכית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תפקידי הוועדה החינוכי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ג' – המכון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2" w:tooltip="סימן ג – המכון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הקמת המכון ומטרתו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הקמת המכון ומטרתו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פעילות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פעילו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ספריה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ספרי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פרסומים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פרסומים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הוועדה המדעית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הוועדה המדעי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הוועדה המדעית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תפקידי הוועדה המדעי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lastRenderedPageBreak/>
              <w:t xml:space="preserve">סעיף 32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הפסקת כהונה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הפסקת כהונה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ד' – הארכיון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3" w:tooltip="סימן ד – הארכיון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33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הקמת הארכיון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3" w:tooltip="הקמת הארכיון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34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הטיפול בחומר הארכיוני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4" w:tooltip="הטיפול בחומר הארכיוני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35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ממונה על הארכיון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5" w:tooltip="ממונה על הארכיון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 – הוראות כלליות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 – הוראות כלליות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36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ניגוד ענינים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6" w:tooltip="ניגוד ענינים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37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מקרקעין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7" w:tooltip="מקרקעין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38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מימון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8" w:tooltip="מימון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39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9" w:tooltip="תקציב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39א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3" w:tooltip="פטור ממסים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40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עובדים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0" w:tooltip="עובדים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41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העברת נכסים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1" w:tooltip="איסור העברת נכסים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149F" w:rsidRPr="00BF14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42 </w:t>
            </w:r>
          </w:p>
        </w:tc>
        <w:tc>
          <w:tcPr>
            <w:tcW w:w="5669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2" w:tooltip="ביצוע" w:history="1">
              <w:r w:rsidRPr="00BF14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149F" w:rsidRPr="00BF149F" w:rsidRDefault="00BF149F" w:rsidP="00BF14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74009" w:rsidRDefault="00274009">
      <w:pPr>
        <w:pStyle w:val="big-header"/>
        <w:ind w:left="0" w:right="1134"/>
        <w:rPr>
          <w:rFonts w:cs="FrankRuehl"/>
          <w:sz w:val="32"/>
          <w:rtl/>
        </w:rPr>
      </w:pPr>
    </w:p>
    <w:p w:rsidR="00274009" w:rsidRDefault="00274009" w:rsidP="003B140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להנצחת זכרו של מנחם בגין, תשנ"ח-</w:t>
      </w:r>
      <w:r>
        <w:rPr>
          <w:rFonts w:cs="FrankRuehl"/>
          <w:sz w:val="32"/>
          <w:rtl/>
        </w:rPr>
        <w:t>1998</w:t>
      </w:r>
      <w:r>
        <w:rPr>
          <w:rStyle w:val="default"/>
          <w:rtl/>
        </w:rPr>
        <w:footnoteReference w:customMarkFollows="1" w:id="1"/>
        <w:t>*</w:t>
      </w:r>
    </w:p>
    <w:p w:rsidR="00274009" w:rsidRDefault="0027400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 xml:space="preserve">ק א' </w:t>
      </w:r>
      <w:r>
        <w:rPr>
          <w:rFonts w:cs="FrankRuehl"/>
          <w:noProof/>
          <w:rtl/>
        </w:rPr>
        <w:t xml:space="preserve">– </w:t>
      </w:r>
      <w:r>
        <w:rPr>
          <w:rFonts w:cs="FrankRuehl" w:hint="cs"/>
          <w:noProof/>
          <w:rtl/>
        </w:rPr>
        <w:t>מטרת החוק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8pt;z-index:25163417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רתו של חוק זה להקים מרכז שינציח לדורות את פועלו ומורשתו של מנחם בגין.</w:t>
      </w:r>
    </w:p>
    <w:p w:rsidR="00274009" w:rsidRDefault="0027400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1"/>
      <w:bookmarkEnd w:id="2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 xml:space="preserve">ק ב' </w:t>
      </w:r>
      <w:r>
        <w:rPr>
          <w:rFonts w:cs="FrankRuehl"/>
          <w:noProof/>
          <w:rtl/>
        </w:rPr>
        <w:t xml:space="preserve">– </w:t>
      </w:r>
      <w:r>
        <w:rPr>
          <w:rFonts w:cs="FrankRuehl" w:hint="cs"/>
          <w:noProof/>
          <w:rtl/>
        </w:rPr>
        <w:t>פרשנות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8pt;z-index:25163520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BD0AD5">
        <w:rPr>
          <w:rStyle w:val="default"/>
          <w:rFonts w:cs="FrankRuehl"/>
          <w:rtl/>
        </w:rPr>
        <w:t>–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מרכז"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מרכז מנחם בגין לחקר המאבק הציוני לעצמאות 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ראל;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ארכיון"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ארכיון המרכז;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אתר"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אתר ההנצחה לזכר מנחם בגין;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גנז", "חומר ארכיוני", "מוסד ממוסדות המדינה"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כהגדרתם בחוק הארכיונים, תשט"ו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1955;</w:t>
      </w:r>
    </w:p>
    <w:p w:rsidR="00BD0AD5" w:rsidRDefault="00BD0AD5" w:rsidP="00BD0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470.25pt;margin-top:7.1pt;width:1in;height:15.7pt;z-index:251678208" filled="f" stroked="f">
            <v:textbox inset="1mm,0,1mm,0">
              <w:txbxContent>
                <w:p w:rsidR="00BD0AD5" w:rsidRDefault="00BD0AD5" w:rsidP="00BD0A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"המוזאון"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מוזאון מנחם בגין כמשמעותו בסעיף 22;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50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2305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978 (</w:t>
      </w:r>
      <w:hyperlink r:id="rId7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381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D0AD5" w:rsidRPr="00BD0AD5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"המוזאון"</w:t>
      </w:r>
      <w:bookmarkEnd w:id="4"/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מכון"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המכון למחקר על שם מנחם בגין;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וסד מוכר"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כהגדרתו בחוק המועצה להשכלה גבוהה, תשי"ח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1958;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ראש הממשלה או שר שייקבע על ידו לענין חוק זה.</w:t>
      </w:r>
    </w:p>
    <w:p w:rsidR="00274009" w:rsidRDefault="0027400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" w:name="med2"/>
      <w:bookmarkEnd w:id="5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 xml:space="preserve">ק ג' </w:t>
      </w:r>
      <w:r>
        <w:rPr>
          <w:rFonts w:cs="FrankRuehl"/>
          <w:noProof/>
          <w:rtl/>
        </w:rPr>
        <w:t xml:space="preserve">– </w:t>
      </w:r>
      <w:r>
        <w:rPr>
          <w:rFonts w:cs="FrankRuehl" w:hint="cs"/>
          <w:noProof/>
          <w:rtl/>
        </w:rPr>
        <w:t>המוסדות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>
          <v:rect id="_x0000_s1028" style="position:absolute;left:0;text-align:left;margin-left:464.5pt;margin-top:8.05pt;width:75.05pt;height:26.95pt;z-index:25163622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מוסדות</w:t>
                  </w:r>
                </w:p>
                <w:p w:rsidR="00BD0AD5" w:rsidRDefault="00BD0AD5" w:rsidP="00BD0A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קם מרכז להנצחת זכרו של מנחם בגין, ו</w:t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קר המאבק הציוני לעצמאות ישראל; המרכז יכלול את האתר, המכון</w:t>
      </w:r>
      <w:r w:rsidR="00BD0AD5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הארכיון</w:t>
      </w:r>
      <w:r w:rsidR="00BD0AD5">
        <w:rPr>
          <w:rStyle w:val="default"/>
          <w:rFonts w:cs="FrankRuehl" w:hint="cs"/>
          <w:rtl/>
        </w:rPr>
        <w:t xml:space="preserve"> והמוזאון</w:t>
      </w:r>
      <w:r>
        <w:rPr>
          <w:rStyle w:val="default"/>
          <w:rFonts w:cs="FrankRuehl" w:hint="cs"/>
          <w:rtl/>
        </w:rPr>
        <w:t>.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51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2305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978 (</w:t>
      </w:r>
      <w:hyperlink r:id="rId9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381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D0AD5" w:rsidRPr="00BD0AD5" w:rsidRDefault="00BD0AD5" w:rsidP="00BD0AD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יו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קם מרכז להנצחת זכרו של מנחם בגין, ו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לח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קר המאבק הציוני לעצמאות ישראל; המרכז יכלול את האתר, </w:t>
      </w:r>
      <w:r w:rsidRPr="0062246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המכון והארכיון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46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המכון, הארכיון והמוזאון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"/>
    </w:p>
    <w:p w:rsidR="00274009" w:rsidRDefault="00274009">
      <w:pPr>
        <w:pStyle w:val="header-2"/>
        <w:ind w:left="0" w:right="1134"/>
        <w:rPr>
          <w:rFonts w:cs="Miriam"/>
          <w:rtl/>
        </w:rPr>
      </w:pPr>
      <w:bookmarkStart w:id="8" w:name="hed20"/>
      <w:bookmarkEnd w:id="8"/>
      <w:r>
        <w:rPr>
          <w:rFonts w:cs="Miriam"/>
          <w:rtl/>
        </w:rPr>
        <w:t>סי</w:t>
      </w:r>
      <w:r>
        <w:rPr>
          <w:rFonts w:cs="Miriam" w:hint="cs"/>
          <w:rtl/>
        </w:rPr>
        <w:t xml:space="preserve">מן א' </w:t>
      </w:r>
      <w:r>
        <w:rPr>
          <w:rFonts w:cs="Miriam"/>
          <w:rtl/>
        </w:rPr>
        <w:t xml:space="preserve">– </w:t>
      </w:r>
      <w:r>
        <w:rPr>
          <w:rFonts w:cs="Miriam" w:hint="cs"/>
          <w:rtl/>
        </w:rPr>
        <w:t>המרכז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>
          <v:rect id="_x0000_s1029" style="position:absolute;left:0;text-align:left;margin-left:464.5pt;margin-top:8.05pt;width:75.05pt;height:8pt;z-index:25163724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 המרכז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מרכז יהיה תאגיד.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מרכז יהיה גוף מבוקר כמשמעותו בסעיף 9(2) לחוק מבקר המדינה, תשי"ח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 [</w:t>
      </w:r>
      <w:r>
        <w:rPr>
          <w:rStyle w:val="default"/>
          <w:rFonts w:cs="FrankRuehl" w:hint="cs"/>
          <w:rtl/>
        </w:rPr>
        <w:t>נוסח משולב].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5"/>
      <w:bookmarkEnd w:id="10"/>
      <w:r>
        <w:rPr>
          <w:lang w:val="he-IL"/>
        </w:rPr>
        <w:pict>
          <v:rect id="_x0000_s1030" style="position:absolute;left:0;text-align:left;margin-left:464.5pt;margin-top:8.05pt;width:75.05pt;height:8pt;z-index:25163827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רכז תהיה מועצה בת עשרים ותשעה חברים, שימנה השר, ו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חבריה: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לושה נציגים לפי המלצת ראש הממשלה;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לפי המלצת שר הבטחון, מבין העובדים הבכירים במערכת הבטחון;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לושה נציגים לפי המלצת שר החינוך התרבות והספורט, מבין העובדים הבכירים במערכת החינוך;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גנז;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מישה אנשי הסגל האקדמי במוסדות מוכרים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ארץ, מתחום מדעי הרוח, החברה או המשפטים;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נציגים של הרשות המקומית שהמרכז פועל בתחומה, שאחד מהם הוא ראש הרשות המקומית;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מישה נציגי העמותה "קרן מורשת מנחם בגין";</w:t>
      </w:r>
    </w:p>
    <w:p w:rsidR="00274009" w:rsidRDefault="00274009" w:rsidP="00BD0A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לאתרי הנצחה לפי חוק גנים לאומיים, שמורות טבע, אתרים לאומיים ואתרי הנ</w:t>
      </w:r>
      <w:r>
        <w:rPr>
          <w:rStyle w:val="default"/>
          <w:rFonts w:cs="FrankRuehl"/>
          <w:rtl/>
        </w:rPr>
        <w:t>צח</w:t>
      </w:r>
      <w:r>
        <w:rPr>
          <w:rStyle w:val="default"/>
          <w:rFonts w:cs="FrankRuehl" w:hint="cs"/>
          <w:rtl/>
        </w:rPr>
        <w:t>ה, תשנ"ב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1992;</w:t>
      </w:r>
    </w:p>
    <w:p w:rsidR="00274009" w:rsidRDefault="00274009" w:rsidP="00BD0A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המועצה לענין הנצחת זכרם של מי שנשאו את משרת נשיא המדינה או ראש הממשלה, לפי חוק הנצחת זכרם של נשיאי ישראל וראשי ממשלותיה, תשמ"ו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1986;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בעה נציגי ציבור.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>
        <w:rPr>
          <w:lang w:val="he-IL"/>
        </w:rPr>
        <w:pict>
          <v:rect id="_x0000_s1031" style="position:absolute;left:0;text-align:left;margin-left:464.5pt;margin-top:8.05pt;width:75.05pt;height:8pt;z-index:25163929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שב ראש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תמנה מבין חבריה, באישור השר, את היושב ראש ואת ממלא מקומו.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7"/>
      <w:bookmarkEnd w:id="12"/>
      <w:r>
        <w:rPr>
          <w:lang w:val="he-IL"/>
        </w:rPr>
        <w:pict>
          <v:rect id="_x0000_s1032" style="position:absolute;left:0;text-align:left;margin-left:464.5pt;margin-top:8.05pt;width:75.05pt;height:8pt;z-index:25164032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תפ</w:t>
      </w:r>
      <w:r>
        <w:rPr>
          <w:rStyle w:val="default"/>
          <w:rFonts w:cs="FrankRuehl" w:hint="cs"/>
          <w:rtl/>
        </w:rPr>
        <w:t xml:space="preserve">קידי המועצה </w:t>
      </w:r>
      <w:r w:rsidR="00BD0AD5">
        <w:rPr>
          <w:rStyle w:val="default"/>
          <w:rFonts w:cs="FrankRuehl"/>
          <w:rtl/>
        </w:rPr>
        <w:t>–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את מדיניותו הכללית של המרכז;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קבל דוחות על פעילות המרכז מהוועד המנהל;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את תקציב המר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ז.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>
          <v:rect id="_x0000_s1033" style="position:absolute;left:0;text-align:left;margin-left:464.5pt;margin-top:8.05pt;width:75.05pt;height:8pt;z-index:25164134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עבודת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תתכנס פעם אחת בשנה לפחות.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המועצה ינהל את ישיבותיה; הוא יזמן את ישיבות המועצ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ויקבע את מועדן, מקומן וסדר יומן.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תקבע את סדרי עבודתה, ככל שלא נקבעו בתקנות.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9"/>
      <w:bookmarkEnd w:id="14"/>
      <w:r>
        <w:rPr>
          <w:lang w:val="he-IL"/>
        </w:rPr>
        <w:pict>
          <v:rect id="_x0000_s1034" style="position:absolute;left:0;text-align:left;margin-left:464.5pt;margin-top:8.05pt;width:75.05pt;height:8pt;z-index:25164236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שר ימנה מבין חברי המועצה ועד מנהל של תשעה חברים, ובלבד שהם </w:t>
      </w:r>
      <w:r w:rsidR="00BD0AD5">
        <w:rPr>
          <w:rStyle w:val="default"/>
          <w:rFonts w:cs="FrankRuehl"/>
          <w:rtl/>
        </w:rPr>
        <w:t>–</w:t>
      </w:r>
    </w:p>
    <w:p w:rsidR="00274009" w:rsidRDefault="002740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ראש הממשלה, מבין אלה שמונו לפי סעיף 5(1);</w:t>
      </w:r>
    </w:p>
    <w:p w:rsidR="00274009" w:rsidRDefault="002740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שר החינוך התרבות והספורט, מבין אלה ש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נו לפי סעיף 5(3);</w:t>
      </w:r>
    </w:p>
    <w:p w:rsidR="00274009" w:rsidRDefault="002740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גנז;</w:t>
      </w:r>
    </w:p>
    <w:p w:rsidR="00274009" w:rsidRDefault="002740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נציגים של הסגל האקדמי, מבין אלה שמונו לפי סעיף 5(5);</w:t>
      </w:r>
    </w:p>
    <w:p w:rsidR="00274009" w:rsidRDefault="002740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נציגים של העמות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מבין אלה שמונו לפי סעיף 5(7);</w:t>
      </w:r>
    </w:p>
    <w:p w:rsidR="00274009" w:rsidRDefault="002740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ציבור מבין אלה שמונו לפי סעיף 5(10);</w:t>
      </w:r>
    </w:p>
    <w:p w:rsidR="00274009" w:rsidRDefault="002740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הרשות המקומית מבין אלה שמונו לפי סעיף 5(6).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מנהל ימנה מבין חבריו, באישור השר, את היושב ראש ואת ממלא מקומו.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0"/>
      <w:bookmarkEnd w:id="15"/>
      <w:r>
        <w:rPr>
          <w:lang w:val="he-IL"/>
        </w:rPr>
        <w:pict>
          <v:rect id="_x0000_s1035" style="position:absolute;left:0;text-align:left;margin-left:464.5pt;margin-top:8.05pt;width:75.05pt;height:8pt;z-index:25164339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הוועד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תפ</w:t>
      </w:r>
      <w:r>
        <w:rPr>
          <w:rStyle w:val="default"/>
          <w:rFonts w:cs="FrankRuehl" w:hint="cs"/>
          <w:rtl/>
        </w:rPr>
        <w:t xml:space="preserve">קידי הוועד המנהל </w:t>
      </w:r>
      <w:r w:rsidR="00BD0AD5">
        <w:rPr>
          <w:rStyle w:val="default"/>
          <w:rFonts w:cs="FrankRuehl"/>
          <w:rtl/>
        </w:rPr>
        <w:t>–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התוות את קווי הפעולה של המרכז;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את תקציב המרכז שהוכן על ידי ראש המרכז ולהביאו לאישור המועצה;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פקח על ביצוע קווי הפעולה של המרכז ועל תכניותיו;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בדינים וחשבונות שהמבקר הפנימי של המרכז יגיש לו ולקבוע מסקנות.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1"/>
      <w:bookmarkEnd w:id="16"/>
      <w:r>
        <w:rPr>
          <w:lang w:val="he-IL"/>
        </w:rPr>
        <w:pict>
          <v:rect id="_x0000_s1036" style="position:absolute;left:0;text-align:left;margin-left:464.5pt;margin-top:8.05pt;width:75.05pt;height:8pt;z-index:25164441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זור הוועד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השר כי הוועד המנהל אינו ממלא את תפקידו באופן נאות, יתרה בוועד המנהל בהודעה בכתב שישלח ליושב ראש הוועד המנהל, כי אם תוך זמן שיקבע לא ימלא הוועד המנהל א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המוטל עליו כפי שפירט השר בדרישתו, יפזר את הוועד המנהל.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מילא הוועד המנהל את שהוטל עליו כאמור בסעיף קטן (א), תוך המועד שקבע השר בהודעתו, רשאי השר להורות על פיזור הוועד המנהל.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2"/>
      <w:bookmarkEnd w:id="17"/>
      <w:r>
        <w:rPr>
          <w:lang w:val="he-IL"/>
        </w:rPr>
        <w:pict>
          <v:rect id="_x0000_s1037" style="position:absolute;left:0;text-align:left;margin-left:464.5pt;margin-top:8.05pt;width:75.05pt;height:16pt;z-index:25164544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 ועד</w:t>
                  </w:r>
                </w:p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 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 xml:space="preserve">פטר הוועד המנהל או החליט השר לפזרו כאמור בסעיף 11, ימונה ועד מנהל </w:t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>ש, בדרך הקבועה בסעיף 9, תוך שלושים ימים מיום ההתפט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או הפיזור, לפי הענין.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3"/>
      <w:bookmarkEnd w:id="18"/>
      <w:r>
        <w:rPr>
          <w:lang w:val="he-IL"/>
        </w:rPr>
        <w:pict>
          <v:rect id="_x0000_s1038" style="position:absolute;left:0;text-align:left;margin-left:464.5pt;margin-top:8.05pt;width:75.05pt;height:8pt;z-index:25164646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וגמול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 המועצה וחבר הוועד המנהל לא יקבלו מהמרכז שכר בעד שירותיהם, אך חבר הוועד המנהל יהיה זכאי לגמול עבור השתתפותו בישיבות הוועד המנהל וכן להחזר הוצאות שהוציא במילוי תפקידו בשיע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ים שיקבע השר, באישור שר האוצר.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14"/>
      <w:bookmarkEnd w:id="19"/>
      <w:r>
        <w:rPr>
          <w:lang w:val="he-IL"/>
        </w:rPr>
        <w:pict>
          <v:rect id="_x0000_s1039" style="position:absolute;left:0;text-align:left;margin-left:464.5pt;margin-top:8.05pt;width:75.05pt;height:24.4pt;z-index:25164748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כהונה</w:t>
                  </w:r>
                </w:p>
                <w:p w:rsidR="00BD0AD5" w:rsidRDefault="00BD0A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 xml:space="preserve">ר המועצה יתמנה לתקופה של שלוש שנים, ואפשר לשוב ולמנותו מחדש </w:t>
      </w:r>
      <w:r w:rsidR="00BD0AD5">
        <w:rPr>
          <w:rStyle w:val="default"/>
          <w:rFonts w:cs="FrankRuehl" w:hint="cs"/>
          <w:rtl/>
        </w:rPr>
        <w:t>לתקופות כהונה נוספות</w:t>
      </w:r>
      <w:r>
        <w:rPr>
          <w:rStyle w:val="default"/>
          <w:rFonts w:cs="FrankRuehl" w:hint="cs"/>
          <w:rtl/>
        </w:rPr>
        <w:t>.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0" w:name="Rov52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2305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978 (</w:t>
      </w:r>
      <w:hyperlink r:id="rId11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381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D0AD5" w:rsidRPr="00BD0AD5" w:rsidRDefault="00BD0AD5" w:rsidP="00BD0AD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14.</w:t>
      </w: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חב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המועצה יתמנה לתקופה של שלוש שנים, ואפשר לשוב ולמנותו מחדש </w:t>
      </w:r>
      <w:r w:rsidRPr="0062246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לשתי תקופות רצופות נוספות וכן למנותו שוב לאחר הפסקה של שלוש שנים רצופות לפחות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46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לתקופות כהונה נוספות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0"/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5"/>
      <w:bookmarkEnd w:id="21"/>
      <w:r>
        <w:rPr>
          <w:lang w:val="he-IL"/>
        </w:rPr>
        <w:pict>
          <v:rect id="_x0000_s1040" style="position:absolute;left:0;text-align:left;margin-left:464.5pt;margin-top:8.05pt;width:75.05pt;height:8pt;z-index:25164851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 המועצה יחדל לכהן לפני תום כהונתו באחת מאלה: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תפטר במסירת כתב התפ</w:t>
      </w: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ות לשר;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ורשע בעבירה שלדעת היועץ המשפטי לממשלה יש עמה קלון;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דל להיות עובד המשרד הממשלתי או הגוף שאותו הוא מייצג במועצה.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6"/>
      <w:bookmarkEnd w:id="22"/>
      <w:r>
        <w:rPr>
          <w:lang w:val="he-IL"/>
        </w:rPr>
        <w:pict>
          <v:rect id="_x0000_s1041" style="position:absolute;left:0;text-align:left;margin-left:464.5pt;margin-top:8.05pt;width:75.05pt;height:8pt;z-index:25164953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ברה מכהונה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רשאי, לאחר שנועץ ביושב ראש המועצה או ביושב ראש הוועד המנהל, לפי הענין, להעביר חבר המועצה או חבר הוועד המנהל 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הונתם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ני תום תקופת כהונתם אם נבצר מהם, דרך קבע, למלא את תפקידם.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7"/>
      <w:bookmarkEnd w:id="23"/>
      <w:r>
        <w:rPr>
          <w:lang w:val="he-IL"/>
        </w:rPr>
        <w:pict>
          <v:rect id="_x0000_s1042" style="position:absolute;left:0;text-align:left;margin-left:464.5pt;margin-top:8.05pt;width:75.05pt;height:8pt;z-index:25165056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פעולות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ומם של המועצה או של הוועד המנהל, סמכויותיהם ותוקף החלטותיהם לא ייפגעו מחמת שנתפנה מקומו של חבר מחבריהם או מחמת ליקוי במינוים או בהמשך כהונתם.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4" w:name="Seif18"/>
      <w:bookmarkEnd w:id="24"/>
      <w:r>
        <w:rPr>
          <w:lang w:val="he-IL"/>
        </w:rPr>
        <w:pict>
          <v:rect id="_x0000_s1043" style="position:absolute;left:0;text-align:left;margin-left:464.35pt;margin-top:7.1pt;width:75.05pt;height:25.25pt;z-index:25165158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המרכז</w:t>
                  </w:r>
                </w:p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תשס"ד-2004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מועצה, בא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ור השר, תמנה את ראש המרכז.</w:t>
      </w:r>
    </w:p>
    <w:p w:rsidR="00BD0AD5" w:rsidRDefault="00BD0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4009" w:rsidRDefault="00BD0AD5" w:rsidP="00BD0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072" type="#_x0000_t202" style="position:absolute;left:0;text-align:left;margin-left:470.25pt;margin-top:7.1pt;width:1in;height:16.8pt;z-index:251679232" filled="f" stroked="f">
            <v:textbox inset="1mm,0,1mm,0">
              <w:txbxContent>
                <w:p w:rsidR="00BD0AD5" w:rsidRDefault="00BD0AD5" w:rsidP="00BD0A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shape>
        </w:pict>
      </w:r>
      <w:r w:rsidR="00274009">
        <w:rPr>
          <w:rFonts w:cs="FrankRuehl"/>
          <w:sz w:val="26"/>
          <w:rtl/>
        </w:rPr>
        <w:tab/>
      </w:r>
      <w:r w:rsidR="00274009">
        <w:rPr>
          <w:rStyle w:val="default"/>
          <w:rFonts w:cs="FrankRuehl"/>
          <w:rtl/>
        </w:rPr>
        <w:t>(ב</w:t>
      </w:r>
      <w:r w:rsidR="00274009">
        <w:rPr>
          <w:rStyle w:val="default"/>
          <w:rFonts w:cs="FrankRuehl" w:hint="cs"/>
          <w:rtl/>
        </w:rPr>
        <w:t>)</w:t>
      </w:r>
      <w:r w:rsidR="00274009">
        <w:rPr>
          <w:rStyle w:val="default"/>
          <w:rFonts w:cs="FrankRuehl"/>
          <w:rtl/>
        </w:rPr>
        <w:tab/>
        <w:t>ר</w:t>
      </w:r>
      <w:r w:rsidR="00274009">
        <w:rPr>
          <w:rStyle w:val="default"/>
          <w:rFonts w:cs="FrankRuehl" w:hint="cs"/>
          <w:rtl/>
        </w:rPr>
        <w:t xml:space="preserve">אש המרכז ימונה לתקופה של שלוש שנים, ואפשר לשוב ולמנותו מחדש, באישור השר, </w:t>
      </w:r>
      <w:r>
        <w:rPr>
          <w:rStyle w:val="default"/>
          <w:rFonts w:cs="FrankRuehl" w:hint="cs"/>
          <w:rtl/>
        </w:rPr>
        <w:t>לתקופות כהונה נוספות</w:t>
      </w:r>
      <w:r w:rsidR="00274009">
        <w:rPr>
          <w:rStyle w:val="default"/>
          <w:rFonts w:cs="FrankRuehl" w:hint="cs"/>
          <w:rtl/>
        </w:rPr>
        <w:t>.</w:t>
      </w:r>
    </w:p>
    <w:p w:rsidR="00274009" w:rsidRPr="00622461" w:rsidRDefault="0027400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5" w:name="Rov53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5.2.2004</w:t>
      </w:r>
    </w:p>
    <w:p w:rsidR="00274009" w:rsidRPr="00622461" w:rsidRDefault="002740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274009" w:rsidRPr="00622461" w:rsidRDefault="002740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תשס"ד מס' 1923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5.2.2004 עמ' 286 (</w:t>
      </w:r>
      <w:hyperlink r:id="rId13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46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274009" w:rsidRPr="00622461" w:rsidRDefault="0027400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2461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מועצה, באישור השר, תמנה את ראש המ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רכ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</w:t>
      </w:r>
      <w:r w:rsidRPr="0062246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 לראש המרכז ימונה אדם שהוא בעל מעמד בשדה ההשכלה הגבוהה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BD0AD5" w:rsidRPr="00622461" w:rsidRDefault="00BD0AD5" w:rsidP="00BD0A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2305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978 (</w:t>
      </w:r>
      <w:hyperlink r:id="rId15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381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D0AD5" w:rsidRPr="00BD0AD5" w:rsidRDefault="00BD0AD5" w:rsidP="00BD0AD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אש המרכז ימונה לתקופה של שלוש שנים, ואפשר לשוב ולמנותו מחדש, באישור השר, </w:t>
      </w:r>
      <w:r w:rsidRPr="0062246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לשתי תקופות כהונה רצופות נוספות וכן למנותו שוב לאחר הפסקה של</w:t>
      </w:r>
      <w:r w:rsidRPr="0062246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2246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 שנים רצופות לפחות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46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לתקופות כהונה נוספות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5"/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6" w:name="Seif19"/>
      <w:bookmarkEnd w:id="26"/>
      <w:r>
        <w:rPr>
          <w:lang w:val="he-IL"/>
        </w:rPr>
        <w:pict>
          <v:rect id="_x0000_s1044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ראש המרכז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תפ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 xml:space="preserve">י ראש המרכז </w:t>
      </w:r>
      <w:r w:rsidR="00BD0AD5">
        <w:rPr>
          <w:rStyle w:val="default"/>
          <w:rFonts w:cs="FrankRuehl"/>
          <w:rtl/>
        </w:rPr>
        <w:t>–</w:t>
      </w:r>
    </w:p>
    <w:p w:rsidR="00274009" w:rsidRDefault="00E949B7" w:rsidP="00BD0A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73" type="#_x0000_t202" style="position:absolute;left:0;text-align:left;margin-left:470.25pt;margin-top:7.1pt;width:1in;height:16.8pt;z-index:251680256" filled="f" stroked="f">
            <v:textbox inset="1mm,0,1mm,0">
              <w:txbxContent>
                <w:p w:rsidR="00E949B7" w:rsidRDefault="00E949B7" w:rsidP="00E949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shape>
        </w:pict>
      </w:r>
      <w:r w:rsidR="00274009">
        <w:rPr>
          <w:rStyle w:val="default"/>
          <w:rFonts w:cs="FrankRuehl"/>
          <w:rtl/>
        </w:rPr>
        <w:t>(1)</w:t>
      </w:r>
      <w:r w:rsidR="00274009">
        <w:rPr>
          <w:rStyle w:val="default"/>
          <w:rFonts w:cs="FrankRuehl"/>
          <w:rtl/>
        </w:rPr>
        <w:tab/>
        <w:t>נ</w:t>
      </w:r>
      <w:r w:rsidR="00274009">
        <w:rPr>
          <w:rStyle w:val="default"/>
          <w:rFonts w:cs="FrankRuehl" w:hint="cs"/>
          <w:rtl/>
        </w:rPr>
        <w:t xml:space="preserve">יהול המרכז </w:t>
      </w:r>
      <w:r w:rsidR="00BD0AD5">
        <w:rPr>
          <w:rStyle w:val="default"/>
          <w:rFonts w:cs="FrankRuehl" w:hint="cs"/>
          <w:rtl/>
        </w:rPr>
        <w:t>-</w:t>
      </w:r>
      <w:r w:rsidR="00274009">
        <w:rPr>
          <w:rStyle w:val="default"/>
          <w:rFonts w:cs="FrankRuehl"/>
          <w:rtl/>
        </w:rPr>
        <w:t xml:space="preserve"> </w:t>
      </w:r>
      <w:r w:rsidR="00274009">
        <w:rPr>
          <w:rStyle w:val="default"/>
          <w:rFonts w:cs="FrankRuehl" w:hint="cs"/>
          <w:rtl/>
        </w:rPr>
        <w:t>האתר,</w:t>
      </w:r>
      <w:r w:rsidR="00BD0AD5">
        <w:rPr>
          <w:rStyle w:val="default"/>
          <w:rFonts w:cs="FrankRuehl" w:hint="cs"/>
          <w:rtl/>
        </w:rPr>
        <w:t xml:space="preserve"> ובכלל זה המוזאון, וכן</w:t>
      </w:r>
      <w:r w:rsidR="00274009">
        <w:rPr>
          <w:rStyle w:val="default"/>
          <w:rFonts w:cs="FrankRuehl" w:hint="cs"/>
          <w:rtl/>
        </w:rPr>
        <w:t xml:space="preserve"> המכון והארכיון;</w:t>
      </w:r>
    </w:p>
    <w:p w:rsidR="00274009" w:rsidRDefault="002740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ישום החלטות הוועד המנהל;</w:t>
      </w:r>
    </w:p>
    <w:p w:rsidR="00274009" w:rsidRDefault="00274009" w:rsidP="00BD0A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כנת תכנית העבודה השנתית והתקציב השנתי והבאתם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אישור הוועד המנהל;</w:t>
      </w:r>
    </w:p>
    <w:p w:rsidR="00274009" w:rsidRDefault="00E949B7" w:rsidP="00BD0AD5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74" type="#_x0000_t202" style="position:absolute;left:0;text-align:left;margin-left:470.25pt;margin-top:7.1pt;width:1in;height:16.8pt;z-index:251681280" filled="f" stroked="f">
            <v:textbox inset="1mm,0,1mm,0">
              <w:txbxContent>
                <w:p w:rsidR="00E949B7" w:rsidRDefault="00E949B7" w:rsidP="00E949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shape>
        </w:pict>
      </w:r>
      <w:r w:rsidR="00274009">
        <w:rPr>
          <w:rStyle w:val="default"/>
          <w:rFonts w:cs="FrankRuehl" w:hint="cs"/>
          <w:rtl/>
        </w:rPr>
        <w:t>(4)</w:t>
      </w:r>
      <w:r w:rsidR="00274009">
        <w:rPr>
          <w:rStyle w:val="default"/>
          <w:rFonts w:cs="FrankRuehl"/>
          <w:rtl/>
        </w:rPr>
        <w:tab/>
        <w:t>ד</w:t>
      </w:r>
      <w:r w:rsidR="00274009">
        <w:rPr>
          <w:rStyle w:val="default"/>
          <w:rFonts w:cs="FrankRuehl" w:hint="cs"/>
          <w:rtl/>
        </w:rPr>
        <w:t xml:space="preserve">יווח לוועד המנהל על פעילויות המרכז </w:t>
      </w:r>
      <w:r w:rsidR="00BD0AD5">
        <w:rPr>
          <w:rStyle w:val="default"/>
          <w:rFonts w:cs="FrankRuehl" w:hint="cs"/>
          <w:rtl/>
        </w:rPr>
        <w:t>-</w:t>
      </w:r>
      <w:r w:rsidR="00274009">
        <w:rPr>
          <w:rStyle w:val="default"/>
          <w:rFonts w:cs="FrankRuehl"/>
          <w:rtl/>
        </w:rPr>
        <w:t xml:space="preserve"> </w:t>
      </w:r>
      <w:r w:rsidR="00274009">
        <w:rPr>
          <w:rStyle w:val="default"/>
          <w:rFonts w:cs="FrankRuehl" w:hint="cs"/>
          <w:rtl/>
        </w:rPr>
        <w:t>האתר,</w:t>
      </w:r>
      <w:r w:rsidR="00BD0AD5">
        <w:rPr>
          <w:rStyle w:val="default"/>
          <w:rFonts w:cs="FrankRuehl" w:hint="cs"/>
          <w:rtl/>
        </w:rPr>
        <w:t xml:space="preserve"> ובכלל זה המוזאון, וכן</w:t>
      </w:r>
      <w:r w:rsidR="00274009">
        <w:rPr>
          <w:rStyle w:val="default"/>
          <w:rFonts w:cs="FrankRuehl" w:hint="cs"/>
          <w:rtl/>
        </w:rPr>
        <w:t xml:space="preserve"> המכון</w:t>
      </w:r>
      <w:r w:rsidR="00BD0AD5">
        <w:rPr>
          <w:rStyle w:val="default"/>
          <w:rFonts w:cs="FrankRuehl" w:hint="cs"/>
          <w:rtl/>
        </w:rPr>
        <w:t xml:space="preserve"> </w:t>
      </w:r>
      <w:r w:rsidR="00274009">
        <w:rPr>
          <w:rStyle w:val="default"/>
          <w:rFonts w:cs="FrankRuehl"/>
          <w:rtl/>
        </w:rPr>
        <w:t>ו</w:t>
      </w:r>
      <w:r w:rsidR="00274009">
        <w:rPr>
          <w:rStyle w:val="default"/>
          <w:rFonts w:cs="FrankRuehl" w:hint="cs"/>
          <w:rtl/>
        </w:rPr>
        <w:t>הארכיון.</w:t>
      </w:r>
    </w:p>
    <w:p w:rsidR="00BD0AD5" w:rsidRPr="00622461" w:rsidRDefault="00BD0AD5" w:rsidP="00E949B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7" w:name="Rov54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:rsidR="00BD0AD5" w:rsidRPr="00622461" w:rsidRDefault="00BD0AD5" w:rsidP="00E949B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BD0AD5" w:rsidRPr="00622461" w:rsidRDefault="00BD0AD5" w:rsidP="00E949B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2305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978 (</w:t>
      </w:r>
      <w:hyperlink r:id="rId17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381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D0AD5" w:rsidRPr="00622461" w:rsidRDefault="00BD0AD5" w:rsidP="00BD0AD5">
      <w:pPr>
        <w:pStyle w:val="P1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יהול המרכז -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האתר, </w:t>
      </w:r>
      <w:r w:rsidRPr="0062246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ובכלל זה המוזאון, וכן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המכון והארכיון;</w:t>
      </w:r>
    </w:p>
    <w:p w:rsidR="00BD0AD5" w:rsidRPr="00622461" w:rsidRDefault="00BD0AD5" w:rsidP="00BD0AD5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החלטות הוועד המנהל;</w:t>
      </w:r>
    </w:p>
    <w:p w:rsidR="00BD0AD5" w:rsidRPr="00622461" w:rsidRDefault="00BD0AD5" w:rsidP="00BD0AD5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כנת תכנית העבודה השנתית והתקציב השנתי והבאתם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אישור הוועד המנהל;</w:t>
      </w:r>
    </w:p>
    <w:p w:rsidR="00BD0AD5" w:rsidRPr="00E949B7" w:rsidRDefault="00BD0AD5" w:rsidP="00E949B7">
      <w:pPr>
        <w:pStyle w:val="P11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יווח לוועד המנהל על פעילויות המרכז -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האתר, </w:t>
      </w:r>
      <w:r w:rsidRPr="0062246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ובכלל זה המוזאון, וכן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המכון 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הארכיון.</w:t>
      </w:r>
      <w:bookmarkEnd w:id="27"/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0"/>
      <w:bookmarkEnd w:id="28"/>
      <w:r>
        <w:rPr>
          <w:lang w:val="he-IL"/>
        </w:rPr>
        <w:pict>
          <v:rect id="_x0000_s1045" style="position:absolute;left:0;text-align:left;margin-left:464.5pt;margin-top:8.05pt;width:75.05pt;height:24pt;z-index:25165363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העסקתו</w:t>
                  </w:r>
                </w:p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ראש המרכז ופקיעת כהונתו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המנהל, באישור השר ו</w:t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תייעצות עם שר האוצר, יקבע את שכרו ותנאי העסקתו של ראש המרכז.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המרכז יחדל לכהן לפני תום תקופת כהונתו באחת מאלה:</w:t>
      </w:r>
    </w:p>
    <w:p w:rsidR="00274009" w:rsidRDefault="00274009" w:rsidP="00BD0A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תפטר במסירת כתב התפטרות לשר וליושב ראש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מועצה;</w:t>
      </w:r>
    </w:p>
    <w:p w:rsidR="00274009" w:rsidRDefault="00274009" w:rsidP="00BD0A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החליטה על הפסקת כהונתו ברוב של שני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לישים לפחות מכלל חבריה;</w:t>
      </w:r>
    </w:p>
    <w:p w:rsidR="00274009" w:rsidRDefault="00274009" w:rsidP="00BD0A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ורשע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הוגש נגדו כתב אישום, בשל עבירה שלדעת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יועץ המשפטי לממשלה יש עמה קלון.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1"/>
      <w:bookmarkEnd w:id="29"/>
      <w:r>
        <w:rPr>
          <w:lang w:val="he-IL"/>
        </w:rPr>
        <w:pict>
          <v:rect id="_x0000_s104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קר פנימי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רכז ימונה מבקר פנימי אשר יפעל בהתאם להוראות חוק הביקורת הפנימית, תשנ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1992; </w:t>
      </w:r>
      <w:r>
        <w:rPr>
          <w:rStyle w:val="default"/>
          <w:rFonts w:cs="FrankRuehl" w:hint="cs"/>
          <w:rtl/>
        </w:rPr>
        <w:t>המבקר הפנימי יגיש לוועד המנהל דין וחשבון על ממצאיו.</w:t>
      </w:r>
    </w:p>
    <w:p w:rsidR="00274009" w:rsidRDefault="00274009">
      <w:pPr>
        <w:pStyle w:val="header-2"/>
        <w:ind w:left="0" w:right="1134"/>
        <w:rPr>
          <w:rFonts w:cs="Miriam"/>
          <w:rtl/>
        </w:rPr>
      </w:pPr>
      <w:bookmarkStart w:id="30" w:name="hed21"/>
      <w:bookmarkEnd w:id="30"/>
      <w:r>
        <w:rPr>
          <w:rFonts w:cs="Miriam"/>
          <w:rtl/>
        </w:rPr>
        <w:t>סי</w:t>
      </w:r>
      <w:r>
        <w:rPr>
          <w:rFonts w:cs="Miriam" w:hint="cs"/>
          <w:rtl/>
        </w:rPr>
        <w:t xml:space="preserve">מן ב' </w:t>
      </w:r>
      <w:r>
        <w:rPr>
          <w:rFonts w:cs="Miriam"/>
          <w:rtl/>
        </w:rPr>
        <w:t xml:space="preserve">– </w:t>
      </w:r>
      <w:r>
        <w:rPr>
          <w:rFonts w:cs="Miriam" w:hint="cs"/>
          <w:rtl/>
        </w:rPr>
        <w:t>האתר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1" w:name="Seif22"/>
      <w:bookmarkEnd w:id="31"/>
      <w:r>
        <w:rPr>
          <w:lang w:val="he-IL"/>
        </w:rPr>
        <w:pict>
          <v:rect id="_x0000_s1047" style="position:absolute;left:0;text-align:left;margin-left:464.5pt;margin-top:8.05pt;width:75.05pt;height:28.4pt;z-index:25165568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האתר ותכולתו</w:t>
                  </w:r>
                </w:p>
                <w:p w:rsidR="00E949B7" w:rsidRDefault="00E949B7" w:rsidP="00E949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רכז יקים אתר הנצחה שיכלו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תערוכה מתמדת של מוצגים המעלה את זכר חייו, פועלו ומורשתו של מנחם בגין</w:t>
      </w:r>
      <w:r w:rsidR="00E949B7">
        <w:rPr>
          <w:rStyle w:val="default"/>
          <w:rFonts w:cs="FrankRuehl" w:hint="cs"/>
          <w:rtl/>
        </w:rPr>
        <w:t xml:space="preserve"> </w:t>
      </w:r>
      <w:r w:rsidR="00E949B7" w:rsidRPr="00E949B7">
        <w:rPr>
          <w:rStyle w:val="default"/>
          <w:rFonts w:cs="FrankRuehl" w:hint="cs"/>
          <w:rtl/>
        </w:rPr>
        <w:t>ובכלל זה מוזאון שבו יוצגו תולדות חייו על רקע תקופת השואה באירופה, המאבק להקמת המדינה, שנות עיצובה והמאורעות המרכזיים בתולדותיה</w:t>
      </w:r>
      <w:r>
        <w:rPr>
          <w:rStyle w:val="default"/>
          <w:rFonts w:cs="FrankRuehl" w:hint="cs"/>
          <w:rtl/>
        </w:rPr>
        <w:t>; האתר יוקם בירושלים.</w:t>
      </w:r>
    </w:p>
    <w:p w:rsidR="00E949B7" w:rsidRPr="00622461" w:rsidRDefault="00E949B7" w:rsidP="00E949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2" w:name="Rov55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:rsidR="00E949B7" w:rsidRPr="00622461" w:rsidRDefault="00E949B7" w:rsidP="00E949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E949B7" w:rsidRPr="00622461" w:rsidRDefault="00E949B7" w:rsidP="00E949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2305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978 (</w:t>
      </w:r>
      <w:hyperlink r:id="rId19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381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949B7" w:rsidRPr="00E949B7" w:rsidRDefault="00E949B7" w:rsidP="00E949B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22.</w:t>
      </w: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רכז יקים אתר הנצחה שיכלו</w:t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 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תערוכה מתמדת של מוצגים המעלה את זכר חייו, פועלו ומורשתו של מנחם בגין </w:t>
      </w:r>
      <w:r w:rsidRPr="0062246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ובכלל זה מוזאון שבו יוצגו תולדות חייו על רקע תקופת השואה באירופה, המאבק להקמת המדינה, שנות עיצובה והמאורעות המרכזיים בתולדותיה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האתר יוקם בירושלים.</w:t>
      </w:r>
      <w:bookmarkEnd w:id="32"/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3" w:name="Seif23"/>
      <w:bookmarkEnd w:id="33"/>
      <w:r>
        <w:rPr>
          <w:lang w:val="he-IL"/>
        </w:rPr>
        <w:pict>
          <v:rect id="_x0000_s1048" style="position:absolute;left:0;text-align:left;margin-left:464.5pt;margin-top:8.05pt;width:75.05pt;height:26.7pt;z-index:25165670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ילויות לציבור</w:t>
                  </w:r>
                </w:p>
                <w:p w:rsidR="00E949B7" w:rsidRDefault="00E949B7" w:rsidP="00E949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3)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>ר ההנצחה יהיה פתוח לציבור ויתקיימו בו, באופן סדיר, פעילויות הנצחה</w:t>
      </w:r>
      <w:r w:rsidR="00E949B7">
        <w:rPr>
          <w:rStyle w:val="default"/>
          <w:rFonts w:cs="FrankRuehl" w:hint="cs"/>
          <w:rtl/>
        </w:rPr>
        <w:t>, פעילויות מוזאליות</w:t>
      </w:r>
      <w:r>
        <w:rPr>
          <w:rStyle w:val="default"/>
          <w:rFonts w:cs="FrankRuehl" w:hint="cs"/>
          <w:rtl/>
        </w:rPr>
        <w:t xml:space="preserve"> ופעולות חינוך והסברה, הקשורות בפועלו ובמורשתו של מנחם בגין.</w:t>
      </w:r>
    </w:p>
    <w:p w:rsidR="00E949B7" w:rsidRPr="00622461" w:rsidRDefault="00E949B7" w:rsidP="00E949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4" w:name="Rov56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:rsidR="00E949B7" w:rsidRPr="00622461" w:rsidRDefault="00E949B7" w:rsidP="00E949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E949B7" w:rsidRPr="00622461" w:rsidRDefault="00E949B7" w:rsidP="00E949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2305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979 (</w:t>
      </w:r>
      <w:hyperlink r:id="rId21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381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949B7" w:rsidRPr="008B41E6" w:rsidRDefault="00E949B7" w:rsidP="008B41E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23.</w:t>
      </w:r>
      <w:r w:rsidRPr="0062246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46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את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ההנצחה יהיה פתוח לציבור ויתקיימו בו, באופן סדיר, </w:t>
      </w:r>
      <w:r w:rsidRPr="0062246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פעילויות הנצחה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46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פעילויות הנצחה, פעילויות מוזאליות</w:t>
      </w:r>
      <w:r w:rsidRPr="0062246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ופעולות חינוך והסברה, הקשורות בפועלו ובמורשתו של מנחם בגין.</w:t>
      </w:r>
      <w:bookmarkEnd w:id="34"/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4"/>
      <w:bookmarkEnd w:id="35"/>
      <w:r>
        <w:rPr>
          <w:lang w:val="he-IL"/>
        </w:rPr>
        <w:pict>
          <v:rect id="_x0000_s1049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דה חינוכית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המנהל, לאחר התייעצות עם ראש המרכז, ימנה ועדה חינוכית בת שבעה חברים שתורכב מאנשי חינו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>, אנשי מערכת הבטחון, בעבר ובהווה, נציג הרשות המקומית שבתחומה פועל המרכז, ונציגי ציבור אחרים.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וועדה החינוכית תמנה מבין חבריה, את יושב ראש הוועדה ואת ממלא 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ומו.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הוועדה ינהל את ישיבות הוועדה; הוא יזמן את ישיבותיה ויקבע את מועדן, מקומן וס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 יומן.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25"/>
      <w:bookmarkEnd w:id="36"/>
      <w:r>
        <w:rPr>
          <w:lang w:val="he-IL"/>
        </w:rPr>
        <w:pict>
          <v:rect id="_x0000_s1050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הוועדה החינוכית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ועדה החינוכית תייעץ לראש המרכז לגבי פעילויות שיתקיימו באתר, לרבות סוגן ותוכנן.</w:t>
      </w:r>
    </w:p>
    <w:p w:rsidR="00274009" w:rsidRDefault="00274009">
      <w:pPr>
        <w:pStyle w:val="header-2"/>
        <w:ind w:left="0" w:right="1134"/>
        <w:rPr>
          <w:rFonts w:cs="Miriam"/>
          <w:rtl/>
        </w:rPr>
      </w:pPr>
      <w:bookmarkStart w:id="37" w:name="hed22"/>
      <w:bookmarkEnd w:id="37"/>
      <w:r>
        <w:rPr>
          <w:rFonts w:cs="Miriam"/>
          <w:rtl/>
        </w:rPr>
        <w:t>סי</w:t>
      </w:r>
      <w:r>
        <w:rPr>
          <w:rFonts w:cs="Miriam" w:hint="cs"/>
          <w:rtl/>
        </w:rPr>
        <w:t xml:space="preserve">מן ג' </w:t>
      </w:r>
      <w:r>
        <w:rPr>
          <w:rFonts w:cs="Miriam"/>
          <w:rtl/>
        </w:rPr>
        <w:t xml:space="preserve">– </w:t>
      </w:r>
      <w:r>
        <w:rPr>
          <w:rFonts w:cs="Miriam" w:hint="cs"/>
          <w:rtl/>
        </w:rPr>
        <w:t>המכון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26"/>
      <w:bookmarkEnd w:id="38"/>
      <w:r>
        <w:rPr>
          <w:lang w:val="he-IL"/>
        </w:rPr>
        <w:pict>
          <v:rect id="_x0000_s105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המכון ומטרתו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רכז יקיים מכון למחקר; המכון יפעל להעמקת הי</w:t>
      </w:r>
      <w:r>
        <w:rPr>
          <w:rStyle w:val="default"/>
          <w:rFonts w:cs="FrankRuehl"/>
          <w:rtl/>
        </w:rPr>
        <w:t>דע</w:t>
      </w:r>
      <w:r>
        <w:rPr>
          <w:rStyle w:val="default"/>
          <w:rFonts w:cs="FrankRuehl" w:hint="cs"/>
          <w:rtl/>
        </w:rPr>
        <w:t xml:space="preserve"> ולהעשרתו בכל הקשור להיסטוריה, למדיניות, לחברה, לתרבות, לכלכלה ולבטחון של מדינת ישראל, תוך שימת דגש על חזונו, פועלו ומורשתו של מנחם בגין.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27"/>
      <w:bookmarkEnd w:id="39"/>
      <w:r>
        <w:rPr>
          <w:lang w:val="he-IL"/>
        </w:rPr>
        <w:pict>
          <v:rect id="_x0000_s105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כון יקיים פעילויות אקדמיות לקידום מטרות חוק זה, לרבות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קבוצות מחקר, סמינרי מחקר, הרצאות פומביות וכנסים בהשתת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>ת חוקרים.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28"/>
      <w:bookmarkEnd w:id="40"/>
      <w:r>
        <w:rPr>
          <w:lang w:val="he-IL"/>
        </w:rPr>
        <w:pict>
          <v:rect id="_x0000_s1053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כון יקיים ויפעיל ספריית מחקר ועיון, שתתמחה בתחומים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אמורים בסעיף 26.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29"/>
      <w:bookmarkEnd w:id="41"/>
      <w:r>
        <w:rPr>
          <w:lang w:val="he-IL"/>
        </w:rPr>
        <w:pict>
          <v:rect id="_x0000_s1054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כון יפרסם מחקרים בתחומי פעילותו.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Seif30"/>
      <w:bookmarkEnd w:id="42"/>
      <w:r>
        <w:rPr>
          <w:lang w:val="he-IL"/>
        </w:rPr>
        <w:pict>
          <v:rect id="_x0000_s1055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ועדה המדעית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המנהל, בהתייעצות עם ראש המרכז, ימנה ועדה מדעית שתורכב משבעה חברים, שהם בעלי מעמד בתחומי המחקר וההוראה במוסדות מו</w:t>
      </w:r>
      <w:r>
        <w:rPr>
          <w:rStyle w:val="default"/>
          <w:rFonts w:cs="FrankRuehl"/>
          <w:rtl/>
        </w:rPr>
        <w:t>כר</w:t>
      </w:r>
      <w:r>
        <w:rPr>
          <w:rStyle w:val="default"/>
          <w:rFonts w:cs="FrankRuehl" w:hint="cs"/>
          <w:rtl/>
        </w:rPr>
        <w:t>ים באר</w:t>
      </w:r>
      <w:r>
        <w:rPr>
          <w:rStyle w:val="default"/>
          <w:rFonts w:cs="FrankRuehl"/>
          <w:rtl/>
        </w:rPr>
        <w:t>ץ</w:t>
      </w:r>
      <w:r>
        <w:rPr>
          <w:rStyle w:val="default"/>
          <w:rFonts w:cs="FrankRuehl" w:hint="cs"/>
          <w:rtl/>
        </w:rPr>
        <w:t>, ומשני נציגים של האקדמיה הלאומית הישראלית למדעים.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וועדה המדעית תמנה מבין חבריה, את יושב ראש הוועדה ואת ממלא מקומו.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הוועדה ינהל את ישיבות הוועדה; הוא יזמן את ישיבותיה ויקבע את מועדן, מקומן וסדר יומן.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31"/>
      <w:bookmarkEnd w:id="43"/>
      <w:r>
        <w:rPr>
          <w:lang w:val="he-IL"/>
        </w:rPr>
        <w:pict>
          <v:rect id="_x0000_s1056" style="position:absolute;left:0;text-align:left;margin-left:464.5pt;margin-top:8.05pt;width:75.05pt;height:16pt;z-index:25166489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הוועדה המדעית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וועדה המדעית תאשר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כניות פעולה והצעות שיוגשו לה על ידי ראש המרכז, לרבות הצעות להעסקת חוקרים ולביצוע מחקרים.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וועדה המדעית תייעץ לראש המכון, בכל ענין הנוגע לפעילותו האקדמית של המכון.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4" w:name="Seif32"/>
      <w:bookmarkEnd w:id="44"/>
      <w:r>
        <w:rPr>
          <w:lang w:val="he-IL"/>
        </w:rPr>
        <w:pict>
          <v:rect id="_x0000_s1057" style="position:absolute;left:0;text-align:left;margin-left:464.5pt;margin-top:8.05pt;width:75.05pt;height:8pt;z-index:25166592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סעיפים 15 ו-16 יחולו, בשינויים המחויבים, גם על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ברי הוועדה המדעית.</w:t>
      </w:r>
    </w:p>
    <w:p w:rsidR="00274009" w:rsidRDefault="00274009">
      <w:pPr>
        <w:pStyle w:val="header-2"/>
        <w:ind w:left="0" w:right="1134"/>
        <w:rPr>
          <w:rFonts w:cs="Miriam"/>
          <w:rtl/>
        </w:rPr>
      </w:pPr>
      <w:bookmarkStart w:id="45" w:name="hed23"/>
      <w:bookmarkEnd w:id="45"/>
      <w:r>
        <w:rPr>
          <w:rFonts w:cs="Miriam"/>
          <w:rtl/>
        </w:rPr>
        <w:t>סי</w:t>
      </w:r>
      <w:r>
        <w:rPr>
          <w:rFonts w:cs="Miriam" w:hint="cs"/>
          <w:rtl/>
        </w:rPr>
        <w:t xml:space="preserve">מן ד' </w:t>
      </w:r>
      <w:r>
        <w:rPr>
          <w:rFonts w:cs="Miriam"/>
          <w:rtl/>
        </w:rPr>
        <w:t xml:space="preserve">– </w:t>
      </w:r>
      <w:r>
        <w:rPr>
          <w:rFonts w:cs="Miriam" w:hint="cs"/>
          <w:rtl/>
        </w:rPr>
        <w:t>הארכיון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6" w:name="Seif33"/>
      <w:bookmarkEnd w:id="46"/>
      <w:r>
        <w:rPr>
          <w:lang w:val="he-IL"/>
        </w:rPr>
        <w:pict>
          <v:rect id="_x0000_s1058" style="position:absolute;left:0;text-align:left;margin-left:464.5pt;margin-top:8.05pt;width:75.05pt;height:8pt;z-index:25166694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הארכיון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רכז יקים ארכיון; הארכיון יהיה חלק מארכיון המדינה והוראות חוק הארכיונים, תשט"ו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</w:t>
      </w:r>
      <w:r>
        <w:rPr>
          <w:rStyle w:val="default"/>
          <w:rFonts w:cs="FrankRuehl" w:hint="cs"/>
          <w:rtl/>
        </w:rPr>
        <w:t>5, יחולו עליו.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7" w:name="Seif34"/>
      <w:bookmarkEnd w:id="47"/>
      <w:r>
        <w:rPr>
          <w:lang w:val="he-IL"/>
        </w:rPr>
        <w:pict>
          <v:rect id="_x0000_s1059" style="position:absolute;left:0;text-align:left;margin-left:464.5pt;margin-top:8.05pt;width:75.05pt;height:16pt;z-index:25166796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יפול בחומר הארכיוני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טיפול בחומר ארכיוני הנוגע ישירות לפועלו האישי של מנחם בגין, יהיה נתון לארכיון.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שר, לאחר התייעצות ע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הגנז ועם ראש המרכז, יקבע בתקנות את סוגי החומר הארכיוני הנמצא בארכיון המדינה או במוסד ממוסדותיה, אשר יועבר לארכיון.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ומר ארכיוני כאמור בסעיף קטן (ב) יועבר לארכיון, כמקור או בהעתק, בא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פן שיורה הגנז.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8" w:name="Seif35"/>
      <w:bookmarkEnd w:id="48"/>
      <w:r>
        <w:rPr>
          <w:lang w:val="he-IL"/>
        </w:rPr>
        <w:pict>
          <v:rect id="_x0000_s1060" style="position:absolute;left:0;text-align:left;margin-left:464.5pt;margin-top:8.05pt;width:75.05pt;height:16pt;z-index:25166899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ונה על</w:t>
                  </w:r>
                </w:p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מונה על הארכיון יתמנה בידי ראש המרכז, באישור </w:t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נז, ויקבל את ההוראות וההנחיות בתחום המקצועי מהגנז.</w:t>
      </w:r>
    </w:p>
    <w:p w:rsidR="00274009" w:rsidRDefault="0027400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9" w:name="med3"/>
      <w:bookmarkEnd w:id="49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 xml:space="preserve">ק ד' </w:t>
      </w:r>
      <w:r>
        <w:rPr>
          <w:rFonts w:cs="FrankRuehl"/>
          <w:noProof/>
          <w:rtl/>
        </w:rPr>
        <w:t xml:space="preserve">– </w:t>
      </w:r>
      <w:r>
        <w:rPr>
          <w:rFonts w:cs="FrankRuehl" w:hint="cs"/>
          <w:noProof/>
          <w:rtl/>
        </w:rPr>
        <w:t>הוראות כלליות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0" w:name="Seif36"/>
      <w:bookmarkEnd w:id="50"/>
      <w:r>
        <w:rPr>
          <w:lang w:val="he-IL"/>
        </w:rPr>
        <w:pict>
          <v:rect id="_x0000_s1061" style="position:absolute;left:0;text-align:left;margin-left:464.5pt;margin-top:8.05pt;width:75.05pt;height:8pt;z-index:25167001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גוד ענינים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בר המועצה, חבר הוועד המנהל, חבר ועדה או עובד המרכז (בסעיף זה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חבר) יימנע מהשתתפות בדיון ומהצבעה בישיבות, אם הנושא הנדון עלול לגרום לו להימצא, במישרין או בעקיפין, במצב של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יגוד ענינים בין תפקידו לבין ענין אישי שלו או לבין תפקיד אחר שלו; חבר לא יטפל במסגרת תפקידו בנושא העלול לגרום לו להימצא במצב כאמור, גם מחוץ לישיבות.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תברר לחבר כי נושא הנדון בישיבה או המטופל על ידיו עלול לגרום לו להימצא במצב של ניגוד ענינים כאמור בסע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קטן (א), יודיע על כך ליושב ראש המועצה, ליושב ראש הוועדה או לראש המרכז, לפי הענין.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זה, אחת היא אם מילוי התפקיד האחר הוא בתמורה או שלא בת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ורה.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סעיף זה </w:t>
      </w:r>
      <w:r w:rsidR="00BD0AD5">
        <w:rPr>
          <w:rStyle w:val="default"/>
          <w:rFonts w:cs="FrankRuehl"/>
          <w:rtl/>
        </w:rPr>
        <w:t>–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נין אישי"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ענין אישי של קרובו או ענין של ג</w:t>
      </w:r>
      <w:r>
        <w:rPr>
          <w:rStyle w:val="default"/>
          <w:rFonts w:cs="FrankRuehl"/>
          <w:rtl/>
        </w:rPr>
        <w:t>וף</w:t>
      </w:r>
      <w:r>
        <w:rPr>
          <w:rStyle w:val="default"/>
          <w:rFonts w:cs="FrankRuehl" w:hint="cs"/>
          <w:rtl/>
        </w:rPr>
        <w:t xml:space="preserve"> שחבר או קרובו מנהלים או עובדים אחראים בו, או ענין של גוף שיש לכל אחד מהם חלק בהון המניות שלו, בזכות לקבל רווחים, בזכות למנות מנהל או בזכות ההצבעה;</w:t>
      </w:r>
    </w:p>
    <w:p w:rsidR="00274009" w:rsidRDefault="00274009" w:rsidP="00BD0AD5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>קר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ב" </w:t>
      </w:r>
      <w:r w:rsidR="00BD0AD5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בן זוג, הורה, ילד, אח או אחות או אדם אחר הסמוך על שולחנו של חבר.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1" w:name="Seif37"/>
      <w:bookmarkEnd w:id="51"/>
      <w:r>
        <w:rPr>
          <w:lang w:val="he-IL"/>
        </w:rPr>
        <w:pict>
          <v:rect id="_x0000_s1062" style="position:absolute;left:0;text-align:left;margin-left:464.5pt;margin-top:8.05pt;width:75.05pt;height:8pt;z-index:25167104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רקעין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דינה תעמיד לרשות המרכז א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המקרקעין הדרושים לפעילותו, כפי שתקבע הממשלה או שר שתסמיך לכך.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2" w:name="Seif38"/>
      <w:bookmarkEnd w:id="52"/>
      <w:r>
        <w:rPr>
          <w:lang w:val="he-IL"/>
        </w:rPr>
        <w:pict>
          <v:rect id="_x0000_s1063" style="position:absolute;left:0;text-align:left;margin-left:464.5pt;margin-top:8.05pt;width:75.05pt;height:8pt;z-index:25167206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מת המרכז תמומן מכספי תרומות; פעילות המרכז תמומן, בכפוף להוראות 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 39, מתקציב המדינה כפי הדרוש להוצאות קיומו, החזקתו, פיתוחו וניהול מכלול פעילויותיו, ומתרומות ומהכנסות שיהיו למרכז.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3" w:name="Seif39"/>
      <w:bookmarkEnd w:id="53"/>
      <w:r>
        <w:rPr>
          <w:lang w:val="he-IL"/>
        </w:rPr>
        <w:pict>
          <v:rect id="_x0000_s1064" style="position:absolute;left:0;text-align:left;margin-left:464.5pt;margin-top:8.05pt;width:75.05pt;height:8pt;z-index:251673088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תאשר הצעת תקציב שנתי ותגישה לשר האוצר לשם אישורו; התקציב טעון אישור שר האוצר.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נת תקציב המרכז תהיה כשנת תקציב המדינה.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4" w:name="Seif43"/>
      <w:bookmarkEnd w:id="54"/>
      <w:r>
        <w:rPr>
          <w:lang w:val="he-IL"/>
        </w:rPr>
        <w:pict>
          <v:rect id="_x0000_s1068" style="position:absolute;left:0;text-align:left;margin-left:464.5pt;margin-top:8.05pt;width:75.05pt;height:24pt;z-index:251677184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ממסים</w:t>
                  </w:r>
                </w:p>
                <w:p w:rsidR="00274009" w:rsidRDefault="002740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39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לענין פקודת מס הכנסה, ייחשב המרכז כמוסד ציבורי לפי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סעיף 9(2) לפקודה האמורה, ולענין חוק מס רכוש וקרן פיצויים,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התשכ"א</w:t>
      </w:r>
      <w:r>
        <w:rPr>
          <w:rStyle w:val="default"/>
          <w:rFonts w:cs="FrankRuehl" w:hint="cs"/>
          <w:rtl/>
        </w:rPr>
        <w:t>-1961</w:t>
      </w:r>
      <w:r>
        <w:rPr>
          <w:rStyle w:val="default"/>
          <w:rFonts w:cs="FrankRuehl"/>
          <w:rtl/>
        </w:rPr>
        <w:t>, ייחשב המרכז כמוסד ציבורי לפי סעיף 39(6)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לחוק האמור, וכל נכסי המרכז יהיו פטורים מכל אגרה, ארנונה או תשלום חובה אחר, המשתלמים לרשות מקומית.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פטור ממסים לפי סעיף זה לא יחול על נכסים המשמשים למטרות מסחריות.</w:t>
      </w:r>
    </w:p>
    <w:p w:rsidR="00274009" w:rsidRPr="00622461" w:rsidRDefault="0027400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5" w:name="Rov47"/>
      <w:r w:rsidRPr="0062246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22.3.2007</w:t>
      </w:r>
    </w:p>
    <w:p w:rsidR="00274009" w:rsidRPr="00622461" w:rsidRDefault="002740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:rsidR="00274009" w:rsidRPr="00622461" w:rsidRDefault="002740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2087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22.3.2007 עמ' 144 (</w:t>
      </w:r>
      <w:hyperlink r:id="rId23" w:history="1">
        <w:r w:rsidRPr="0062246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129</w:t>
        </w:r>
      </w:hyperlink>
      <w:r w:rsidRPr="0062246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274009" w:rsidRDefault="0027400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246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39א</w:t>
      </w:r>
      <w:bookmarkEnd w:id="55"/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6" w:name="Seif40"/>
      <w:bookmarkEnd w:id="56"/>
      <w:r>
        <w:rPr>
          <w:lang w:val="he-IL"/>
        </w:rPr>
        <w:pict>
          <v:rect id="_x0000_s1065" style="position:absolute;left:0;text-align:left;margin-left:464.5pt;margin-top:8.05pt;width:75.05pt;height:8pt;z-index:251674112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תנ</w:t>
      </w:r>
      <w:r>
        <w:rPr>
          <w:rStyle w:val="default"/>
          <w:rFonts w:cs="FrankRuehl" w:hint="cs"/>
          <w:rtl/>
        </w:rPr>
        <w:t>אי העסקתם של עובדי המרכז יהיו כשל עובדי המדינה בתפקידים מקבילים, בשינויים ובתיאומים שיקבע השר בהסכמת שר האוצר ועל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>י המלצת המועצה.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7" w:name="Seif41"/>
      <w:bookmarkEnd w:id="57"/>
      <w:r>
        <w:rPr>
          <w:lang w:val="he-IL"/>
        </w:rPr>
        <w:pict>
          <v:rect id="_x0000_s1066" style="position:absolute;left:0;text-align:left;margin-left:464.5pt;margin-top:8.05pt;width:75.05pt;height:8pt;z-index:251675136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העברת 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מרכז לא יהא רשאי למכור או להעביר בדרך אחרת נכס שבבעלותו, למעט נכסים שפרטים לגביהם, לרבות סוגם ושוויים, נקבעו בתקנות, אלא באישור השר.</w:t>
      </w:r>
    </w:p>
    <w:p w:rsidR="00274009" w:rsidRDefault="00274009" w:rsidP="00BD0A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מרכז לא יהא רשאי למשכן נכס שברשותו או להשכירו לתקופה העולה על עשר שנים, אלא באישור השר; ל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 xml:space="preserve">ין זה, "להשכירו לתקופה העולה על עשר שנים" </w:t>
      </w:r>
      <w:r w:rsidR="00BD0A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שכירות המקנה זכות לחדשה, להאריכה או שכירות לתקו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ה נוספת שבהצטרפותן לתקופות השכירות הקודמות עולות יחד על עשר שנים.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מרכז לא יטול הלוואה העולה על סכום שקבע השר בתקנות, אלא באישור השר ושר האוצר.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8" w:name="Seif42"/>
      <w:bookmarkEnd w:id="58"/>
      <w:r>
        <w:rPr>
          <w:lang w:val="he-IL"/>
        </w:rPr>
        <w:pict>
          <v:rect id="_x0000_s1067" style="position:absolute;left:0;text-align:left;margin-left:464.5pt;margin-top:8.05pt;width:75.05pt;height:8pt;z-index:251676160" o:allowincell="f" filled="f" stroked="f" strokecolor="lime" strokeweight=".25pt">
            <v:textbox inset="0,0,0,0">
              <w:txbxContent>
                <w:p w:rsidR="00274009" w:rsidRDefault="002740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ממונה על ביצוע חוק זה והוא רשאי להתקין תקנות בכל הנוגע לביצוע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, לרבות סדרי העבודה של המועצה והוועד המנהל.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D0AD5" w:rsidRDefault="00BD0AD5" w:rsidP="00BD0AD5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ב</w:t>
      </w:r>
      <w:r>
        <w:rPr>
          <w:rFonts w:cs="FrankRuehl" w:hint="cs"/>
          <w:sz w:val="26"/>
          <w:szCs w:val="26"/>
          <w:rtl/>
        </w:rPr>
        <w:t>נימין נתניהו</w:t>
      </w:r>
      <w:r>
        <w:rPr>
          <w:rFonts w:cs="FrankRuehl"/>
          <w:sz w:val="26"/>
          <w:szCs w:val="26"/>
          <w:rtl/>
        </w:rPr>
        <w:tab/>
        <w:t>ד</w:t>
      </w:r>
      <w:r>
        <w:rPr>
          <w:rFonts w:cs="FrankRuehl" w:hint="cs"/>
          <w:sz w:val="26"/>
          <w:szCs w:val="26"/>
          <w:rtl/>
        </w:rPr>
        <w:t>ן תיכון</w:t>
      </w:r>
    </w:p>
    <w:p w:rsidR="00BD0AD5" w:rsidRDefault="00BD0AD5" w:rsidP="00BD0AD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274009" w:rsidRDefault="00274009" w:rsidP="00BD0AD5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ע</w:t>
      </w:r>
      <w:r>
        <w:rPr>
          <w:rFonts w:cs="FrankRuehl" w:hint="cs"/>
          <w:sz w:val="26"/>
          <w:szCs w:val="26"/>
          <w:rtl/>
        </w:rPr>
        <w:t>זר ויצמן</w:t>
      </w:r>
    </w:p>
    <w:p w:rsidR="00274009" w:rsidRDefault="00274009" w:rsidP="00BD0AD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4009" w:rsidRDefault="002740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824A6" w:rsidRDefault="003824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824A6" w:rsidRDefault="003824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824A6" w:rsidRDefault="003824A6" w:rsidP="003824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4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F149F" w:rsidRDefault="00BF149F" w:rsidP="003824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BF149F" w:rsidRDefault="00BF149F" w:rsidP="003824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BF149F" w:rsidRDefault="00BF149F" w:rsidP="00BF14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5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274009" w:rsidRPr="00BF149F" w:rsidRDefault="00274009" w:rsidP="00BF14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74009" w:rsidRPr="00BF149F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309" w:rsidRDefault="00520309">
      <w:r>
        <w:separator/>
      </w:r>
    </w:p>
  </w:endnote>
  <w:endnote w:type="continuationSeparator" w:id="0">
    <w:p w:rsidR="00520309" w:rsidRDefault="0052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009" w:rsidRDefault="0027400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74009" w:rsidRDefault="002740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74009" w:rsidRDefault="002740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149F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Z:\00000000000000000000000=2014------------------------\05-May\2014-05-28\LawsForHofit\04\106M1_001.doc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009" w:rsidRDefault="0027400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149F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:rsidR="00274009" w:rsidRDefault="002740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74009" w:rsidRDefault="002740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149F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Z:\00000000000000000000000=2014------------------------\05-May\2014-05-28\LawsForHofit\04\106M1_001.doc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309" w:rsidRDefault="0052030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20309" w:rsidRDefault="00520309">
      <w:pPr>
        <w:spacing w:before="60" w:line="240" w:lineRule="auto"/>
        <w:ind w:right="1134"/>
      </w:pPr>
      <w:r>
        <w:separator/>
      </w:r>
    </w:p>
  </w:footnote>
  <w:footnote w:id="1">
    <w:p w:rsidR="00274009" w:rsidRDefault="002740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תשנ"ח מס' 1664</w:t>
        </w:r>
      </w:hyperlink>
      <w:r>
        <w:rPr>
          <w:rFonts w:cs="FrankRuehl" w:hint="cs"/>
          <w:rtl/>
        </w:rPr>
        <w:t xml:space="preserve"> מיום 1.4.1998 עמ' 188 (</w:t>
      </w:r>
      <w:hyperlink r:id="rId2" w:history="1">
        <w:r>
          <w:rPr>
            <w:rStyle w:val="Hyperlink"/>
            <w:rFonts w:cs="FrankRuehl" w:hint="cs"/>
            <w:rtl/>
          </w:rPr>
          <w:t>ה"ח תשנ"ח מס' 2693</w:t>
        </w:r>
      </w:hyperlink>
      <w:r>
        <w:rPr>
          <w:rFonts w:cs="FrankRuehl" w:hint="cs"/>
          <w:rtl/>
        </w:rPr>
        <w:t xml:space="preserve"> עמ' 266).</w:t>
      </w:r>
    </w:p>
    <w:p w:rsidR="00274009" w:rsidRDefault="002740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>
          <w:rPr>
            <w:rStyle w:val="Hyperlink"/>
            <w:rFonts w:cs="FrankRuehl" w:hint="cs"/>
            <w:rtl/>
          </w:rPr>
          <w:t>ס"ח תשס"ד מס' 1923</w:t>
        </w:r>
      </w:hyperlink>
      <w:r>
        <w:rPr>
          <w:rFonts w:cs="FrankRuehl" w:hint="cs"/>
          <w:rtl/>
        </w:rPr>
        <w:t xml:space="preserve"> מיום 5.2.2004 עמ' 286 (</w:t>
      </w:r>
      <w:hyperlink r:id="rId4" w:history="1">
        <w:r>
          <w:rPr>
            <w:rStyle w:val="Hyperlink"/>
            <w:rFonts w:cs="FrankRuehl" w:hint="cs"/>
            <w:rtl/>
          </w:rPr>
          <w:t>ה"ח הממשלה תשס"ג מס' 46</w:t>
        </w:r>
      </w:hyperlink>
      <w:r>
        <w:rPr>
          <w:rFonts w:cs="FrankRuehl" w:hint="cs"/>
          <w:rtl/>
        </w:rPr>
        <w:t xml:space="preserve"> עמ' 577)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274009" w:rsidRDefault="002740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ס"ח תשס"ז מס' 2087</w:t>
        </w:r>
      </w:hyperlink>
      <w:r>
        <w:rPr>
          <w:rFonts w:cs="FrankRuehl" w:hint="cs"/>
          <w:rtl/>
        </w:rPr>
        <w:t xml:space="preserve"> מיום 22.3.2007 עמ' 144 (</w:t>
      </w:r>
      <w:hyperlink r:id="rId6" w:history="1">
        <w:r>
          <w:rPr>
            <w:rStyle w:val="Hyperlink"/>
            <w:rFonts w:cs="FrankRuehl" w:hint="cs"/>
            <w:rtl/>
          </w:rPr>
          <w:t>ה"ח הכנסת תשס"ז מס' 129 עמ' 43</w:t>
        </w:r>
      </w:hyperlink>
      <w:r>
        <w:rPr>
          <w:rFonts w:cs="FrankRuehl" w:hint="cs"/>
          <w:rtl/>
        </w:rPr>
        <w:t xml:space="preserve">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 בסעיף 2 לחוק פטור ממסים למרכזי ההנצחה לזכרם של יצחק רבין ומנחם בגין (תיקוני חקיקה), תשס"ז-2007.</w:t>
      </w:r>
    </w:p>
    <w:p w:rsidR="0055774B" w:rsidRDefault="0055774B" w:rsidP="005577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7" w:history="1">
        <w:r w:rsidR="00BD0AD5" w:rsidRPr="0055774B">
          <w:rPr>
            <w:rStyle w:val="Hyperlink"/>
            <w:rFonts w:cs="FrankRuehl" w:hint="cs"/>
            <w:rtl/>
          </w:rPr>
          <w:t>ס"ח תשע"א מס' 2305</w:t>
        </w:r>
      </w:hyperlink>
      <w:r w:rsidR="00BD0AD5">
        <w:rPr>
          <w:rFonts w:cs="FrankRuehl" w:hint="cs"/>
          <w:rtl/>
        </w:rPr>
        <w:t xml:space="preserve"> מיום 20.7.2011 עמ' 978 (</w:t>
      </w:r>
      <w:hyperlink r:id="rId8" w:history="1">
        <w:r w:rsidR="00BD0AD5" w:rsidRPr="00BD0AD5">
          <w:rPr>
            <w:rStyle w:val="Hyperlink"/>
            <w:rFonts w:cs="FrankRuehl" w:hint="cs"/>
            <w:rtl/>
          </w:rPr>
          <w:t>ה"ח הכנסת תשע"א מס' 381</w:t>
        </w:r>
      </w:hyperlink>
      <w:r w:rsidR="00BD0AD5">
        <w:rPr>
          <w:rFonts w:cs="FrankRuehl" w:hint="cs"/>
          <w:rtl/>
        </w:rPr>
        <w:t xml:space="preserve"> עמ' 143) </w:t>
      </w:r>
      <w:r w:rsidR="00BD0AD5">
        <w:rPr>
          <w:rFonts w:cs="FrankRuehl"/>
          <w:rtl/>
        </w:rPr>
        <w:t>–</w:t>
      </w:r>
      <w:r w:rsidR="00BD0AD5">
        <w:rPr>
          <w:rFonts w:cs="FrankRuehl" w:hint="cs"/>
          <w:rtl/>
        </w:rPr>
        <w:t xml:space="preserve"> תיקון מס' 3 בסעיף 1 לחוק מרכזי ההנצחה לזכרם של מנחם בגין ויצחק רבין (תיקוני חקיקה), תשע"א-2011.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009" w:rsidRDefault="0027400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להנצחת זכרו של מנחם בגין, תשנ"ח–1998</w:t>
    </w:r>
  </w:p>
  <w:p w:rsidR="00274009" w:rsidRDefault="002740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:rsidR="00274009" w:rsidRDefault="002740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009" w:rsidRDefault="0027400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להנצחת זכרו של מנחם בגין, תשנ"ח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274009" w:rsidRDefault="002740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:rsidR="00274009" w:rsidRDefault="002740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400"/>
    <w:rsid w:val="00084352"/>
    <w:rsid w:val="00141C6E"/>
    <w:rsid w:val="00274009"/>
    <w:rsid w:val="003824A6"/>
    <w:rsid w:val="003B1400"/>
    <w:rsid w:val="00520309"/>
    <w:rsid w:val="0055774B"/>
    <w:rsid w:val="00622461"/>
    <w:rsid w:val="008B41E6"/>
    <w:rsid w:val="00BD0AD5"/>
    <w:rsid w:val="00BF149F"/>
    <w:rsid w:val="00E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70D276B-CA9D-42AE-A226-511C4F48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6/knesset-350.pdf" TargetMode="External"/><Relationship Id="rId13" Type="http://schemas.openxmlformats.org/officeDocument/2006/relationships/hyperlink" Target="http://www.nevo.co.il/Law_word/law15/memshala-46.pdf" TargetMode="External"/><Relationship Id="rId18" Type="http://schemas.openxmlformats.org/officeDocument/2006/relationships/hyperlink" Target="http://www.nevo.co.il/Law_word/law16/knesset-350.pdf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16/knesset-381.pdf" TargetMode="External"/><Relationship Id="rId7" Type="http://schemas.openxmlformats.org/officeDocument/2006/relationships/hyperlink" Target="http://www.nevo.co.il/Law_word/law16/knesset-381.pdf" TargetMode="External"/><Relationship Id="rId12" Type="http://schemas.openxmlformats.org/officeDocument/2006/relationships/hyperlink" Target="http://www.nevo.co.il/Law_word/law14/law-1923.pdf" TargetMode="External"/><Relationship Id="rId17" Type="http://schemas.openxmlformats.org/officeDocument/2006/relationships/hyperlink" Target="http://www.nevo.co.il/Law_word/law16/knesset-381.pdf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6/knesset-350.pdf" TargetMode="External"/><Relationship Id="rId20" Type="http://schemas.openxmlformats.org/officeDocument/2006/relationships/hyperlink" Target="http://www.nevo.co.il/Law_word/law16/knesset-350.pdf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6/knesset-350.pdf" TargetMode="External"/><Relationship Id="rId11" Type="http://schemas.openxmlformats.org/officeDocument/2006/relationships/hyperlink" Target="http://www.nevo.co.il/Law_word/law16/knesset-381.pdf" TargetMode="External"/><Relationship Id="rId24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6/knesset-381.pdf" TargetMode="External"/><Relationship Id="rId23" Type="http://schemas.openxmlformats.org/officeDocument/2006/relationships/hyperlink" Target="http://www.nevo.co.il/Law_word/law16/KNESSET-129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_word/law16/knesset-350.pdf" TargetMode="External"/><Relationship Id="rId19" Type="http://schemas.openxmlformats.org/officeDocument/2006/relationships/hyperlink" Target="http://www.nevo.co.il/Law_word/law16/knesset-381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6/knesset-381.pdf" TargetMode="External"/><Relationship Id="rId14" Type="http://schemas.openxmlformats.org/officeDocument/2006/relationships/hyperlink" Target="http://www.nevo.co.il/Law_word/law16/knesset-350.pdf" TargetMode="External"/><Relationship Id="rId22" Type="http://schemas.openxmlformats.org/officeDocument/2006/relationships/hyperlink" Target="http://www.nevo.co.il/Law_word/law14/law-2087.pdf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6/knesset-381.pdf" TargetMode="External"/><Relationship Id="rId3" Type="http://schemas.openxmlformats.org/officeDocument/2006/relationships/hyperlink" Target="http://www.nevo.co.il/Law_word/law14/law-1923.pdf" TargetMode="External"/><Relationship Id="rId7" Type="http://schemas.openxmlformats.org/officeDocument/2006/relationships/hyperlink" Target="http://www.nevo.co.il/Law_word/law14/law-2305.pdf" TargetMode="External"/><Relationship Id="rId2" Type="http://schemas.openxmlformats.org/officeDocument/2006/relationships/hyperlink" Target="http://www.nevo.co.il/Law_word/law17/PROP-2693.pdf" TargetMode="External"/><Relationship Id="rId1" Type="http://schemas.openxmlformats.org/officeDocument/2006/relationships/hyperlink" Target="http://www.nevo.co.il/Law_word/law14/law-1664.pdf" TargetMode="External"/><Relationship Id="rId6" Type="http://schemas.openxmlformats.org/officeDocument/2006/relationships/hyperlink" Target="http://www.nevo.co.il/Law_word/law16/KNESSET-129.pdf" TargetMode="External"/><Relationship Id="rId5" Type="http://schemas.openxmlformats.org/officeDocument/2006/relationships/hyperlink" Target="http://www.nevo.co.il/Law_word/law14/law-2087.pdf" TargetMode="External"/><Relationship Id="rId4" Type="http://schemas.openxmlformats.org/officeDocument/2006/relationships/hyperlink" Target="http://www.nevo.co.il/Law_word/law15/memshala-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18399</CharactersWithSpaces>
  <SharedDoc>false</SharedDoc>
  <HLinks>
    <vt:vector size="474" baseType="variant">
      <vt:variant>
        <vt:i4>393283</vt:i4>
      </vt:variant>
      <vt:variant>
        <vt:i4>363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3866648</vt:i4>
      </vt:variant>
      <vt:variant>
        <vt:i4>357</vt:i4>
      </vt:variant>
      <vt:variant>
        <vt:i4>0</vt:i4>
      </vt:variant>
      <vt:variant>
        <vt:i4>5</vt:i4>
      </vt:variant>
      <vt:variant>
        <vt:lpwstr>http://www.nevo.co.il/Law_word/law16/KNESSET-129.pdf</vt:lpwstr>
      </vt:variant>
      <vt:variant>
        <vt:lpwstr/>
      </vt:variant>
      <vt:variant>
        <vt:i4>7667726</vt:i4>
      </vt:variant>
      <vt:variant>
        <vt:i4>354</vt:i4>
      </vt:variant>
      <vt:variant>
        <vt:i4>0</vt:i4>
      </vt:variant>
      <vt:variant>
        <vt:i4>5</vt:i4>
      </vt:variant>
      <vt:variant>
        <vt:lpwstr>http://www.nevo.co.il/Law_word/law14/law-2087.pdf</vt:lpwstr>
      </vt:variant>
      <vt:variant>
        <vt:lpwstr/>
      </vt:variant>
      <vt:variant>
        <vt:i4>3211282</vt:i4>
      </vt:variant>
      <vt:variant>
        <vt:i4>351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3145759</vt:i4>
      </vt:variant>
      <vt:variant>
        <vt:i4>348</vt:i4>
      </vt:variant>
      <vt:variant>
        <vt:i4>0</vt:i4>
      </vt:variant>
      <vt:variant>
        <vt:i4>5</vt:i4>
      </vt:variant>
      <vt:variant>
        <vt:lpwstr>http://www.nevo.co.il/Law_word/law16/knesset-350.pdf</vt:lpwstr>
      </vt:variant>
      <vt:variant>
        <vt:lpwstr/>
      </vt:variant>
      <vt:variant>
        <vt:i4>3211282</vt:i4>
      </vt:variant>
      <vt:variant>
        <vt:i4>345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3145759</vt:i4>
      </vt:variant>
      <vt:variant>
        <vt:i4>342</vt:i4>
      </vt:variant>
      <vt:variant>
        <vt:i4>0</vt:i4>
      </vt:variant>
      <vt:variant>
        <vt:i4>5</vt:i4>
      </vt:variant>
      <vt:variant>
        <vt:lpwstr>http://www.nevo.co.il/Law_word/law16/knesset-350.pdf</vt:lpwstr>
      </vt:variant>
      <vt:variant>
        <vt:lpwstr/>
      </vt:variant>
      <vt:variant>
        <vt:i4>3211282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3145759</vt:i4>
      </vt:variant>
      <vt:variant>
        <vt:i4>336</vt:i4>
      </vt:variant>
      <vt:variant>
        <vt:i4>0</vt:i4>
      </vt:variant>
      <vt:variant>
        <vt:i4>5</vt:i4>
      </vt:variant>
      <vt:variant>
        <vt:lpwstr>http://www.nevo.co.il/Law_word/law16/knesset-350.pdf</vt:lpwstr>
      </vt:variant>
      <vt:variant>
        <vt:lpwstr/>
      </vt:variant>
      <vt:variant>
        <vt:i4>3211282</vt:i4>
      </vt:variant>
      <vt:variant>
        <vt:i4>333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3145759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http://www.nevo.co.il/Law_word/law16/knesset-350.pdf</vt:lpwstr>
      </vt:variant>
      <vt:variant>
        <vt:lpwstr/>
      </vt:variant>
      <vt:variant>
        <vt:i4>2490461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http://www.nevo.co.il/Law_word/law15/memshala-46.pdf</vt:lpwstr>
      </vt:variant>
      <vt:variant>
        <vt:lpwstr/>
      </vt:variant>
      <vt:variant>
        <vt:i4>8126467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http://www.nevo.co.il/Law_word/law14/law-1923.pdf</vt:lpwstr>
      </vt:variant>
      <vt:variant>
        <vt:lpwstr/>
      </vt:variant>
      <vt:variant>
        <vt:i4>3211282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3145759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http://www.nevo.co.il/Law_word/law16/knesset-350.pdf</vt:lpwstr>
      </vt:variant>
      <vt:variant>
        <vt:lpwstr/>
      </vt:variant>
      <vt:variant>
        <vt:i4>3211282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3145759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http://www.nevo.co.il/Law_word/law16/knesset-350.pdf</vt:lpwstr>
      </vt:variant>
      <vt:variant>
        <vt:lpwstr/>
      </vt:variant>
      <vt:variant>
        <vt:i4>3211282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3145759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http://www.nevo.co.il/Law_word/law16/knesset-350.pdf</vt:lpwstr>
      </vt:variant>
      <vt:variant>
        <vt:lpwstr/>
      </vt:variant>
      <vt:variant>
        <vt:i4>3211310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Seif42</vt:lpwstr>
      </vt:variant>
      <vt:variant>
        <vt:i4>3276846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Seif41</vt:lpwstr>
      </vt:variant>
      <vt:variant>
        <vt:i4>3342382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Seif40</vt:lpwstr>
      </vt:variant>
      <vt:variant>
        <vt:i4>3145774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Seif43</vt:lpwstr>
      </vt:variant>
      <vt:variant>
        <vt:i4>3801129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Seif39</vt:lpwstr>
      </vt:variant>
      <vt:variant>
        <vt:i4>3866665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Seif38</vt:lpwstr>
      </vt:variant>
      <vt:variant>
        <vt:i4>3407913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Seif37</vt:lpwstr>
      </vt:variant>
      <vt:variant>
        <vt:i4>3473449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Seif36</vt:lpwstr>
      </vt:variant>
      <vt:variant>
        <vt:i4>5636105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3538985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3604521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5701644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hed23</vt:lpwstr>
      </vt:variant>
      <vt:variant>
        <vt:i4>3211305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5701644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hed22</vt:lpwstr>
      </vt:variant>
      <vt:variant>
        <vt:i4>3538984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5701644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5701644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5701641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3211282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http://www.nevo.co.il/Law_word/law16/knesset-381.pdf</vt:lpwstr>
      </vt:variant>
      <vt:variant>
        <vt:lpwstr/>
      </vt:variant>
      <vt:variant>
        <vt:i4>8192015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http://www.nevo.co.il/Law_word/law14/law-2305.pdf</vt:lpwstr>
      </vt:variant>
      <vt:variant>
        <vt:lpwstr/>
      </vt:variant>
      <vt:variant>
        <vt:i4>3866648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http://www.nevo.co.il/Law_word/law16/KNESSET-129.pdf</vt:lpwstr>
      </vt:variant>
      <vt:variant>
        <vt:lpwstr/>
      </vt:variant>
      <vt:variant>
        <vt:i4>7667726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http://www.nevo.co.il/Law_word/law14/law-2087.pdf</vt:lpwstr>
      </vt:variant>
      <vt:variant>
        <vt:lpwstr/>
      </vt:variant>
      <vt:variant>
        <vt:i4>2490461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http://www.nevo.co.il/Law_word/law15/memshala-46.pdf</vt:lpwstr>
      </vt:variant>
      <vt:variant>
        <vt:lpwstr/>
      </vt:variant>
      <vt:variant>
        <vt:i4>8126467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http://www.nevo.co.il/Law_word/law14/law-1923.pdf</vt:lpwstr>
      </vt:variant>
      <vt:variant>
        <vt:lpwstr/>
      </vt:variant>
      <vt:variant>
        <vt:i4>786550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http://www.nevo.co.il/Law_word/law17/PROP-2693.pdf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http://www.nevo.co.il/Law_word/law14/law-1664.pdf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106M1</vt:lpwstr>
  </property>
  <property fmtid="{D5CDD505-2E9C-101B-9397-08002B2CF9AE}" pid="3" name="CHNAME">
    <vt:lpwstr>הנצחת זכרו של מנחם בגין</vt:lpwstr>
  </property>
  <property fmtid="{D5CDD505-2E9C-101B-9397-08002B2CF9AE}" pid="4" name="LAWNAME">
    <vt:lpwstr>חוק להנצחת זכרו של מנחם בגין, תשנ"ח-1998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http://www.nevo.co.il/Law_word/law14/law-2087.pdf;רשומות - ספר חוקים#ס"ח תשס"ז מס' 2087 #מיום 22.3.2007 #עמ' 144 # תיקון מס' 2 בסעיף 2 לחוק פטור ממסים למרכזי ההנצחה לזכרם של יצחק רבין ומנחם בגין (תיקוני חקיקה), תשס"ז-2007</vt:lpwstr>
  </property>
  <property fmtid="{D5CDD505-2E9C-101B-9397-08002B2CF9AE}" pid="8" name="LINKK2">
    <vt:lpwstr>http://www.nevo.co.il/Law_word/law14/law-2305.pdf;‎רשומות - ספר חוקים#ס"ח תשע"א מס' 2305 ‏‏#מיום 20.7.2011 עמ' 978  – תיקון מס' 3 בסעיף 1 לחוק מרכזי ההנצחה לזכרם של מנחם בגין ויצחק רבין (תיקוני ‏חקיקה), תשע"א-2011‏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תרבות, פנאי ומועדים</vt:lpwstr>
  </property>
  <property fmtid="{D5CDD505-2E9C-101B-9397-08002B2CF9AE}" pid="24" name="NOSE31">
    <vt:lpwstr>נכסי תרבות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תרבות, פנאי ומועדים</vt:lpwstr>
  </property>
  <property fmtid="{D5CDD505-2E9C-101B-9397-08002B2CF9AE}" pid="28" name="NOSE32">
    <vt:lpwstr>מוסדות </vt:lpwstr>
  </property>
  <property fmtid="{D5CDD505-2E9C-101B-9397-08002B2CF9AE}" pid="29" name="NOSE42">
    <vt:lpwstr>הנצחה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