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12DB" w14:textId="77777777" w:rsidR="001769C6" w:rsidRDefault="000258E9" w:rsidP="000258E9">
      <w:pPr>
        <w:pStyle w:val="big-header"/>
        <w:ind w:left="0" w:right="1134"/>
        <w:rPr>
          <w:rFonts w:cs="FrankRuehl" w:hint="cs"/>
          <w:sz w:val="32"/>
          <w:rtl/>
        </w:rPr>
      </w:pPr>
      <w:r>
        <w:rPr>
          <w:rFonts w:cs="FrankRuehl" w:hint="cs"/>
          <w:sz w:val="32"/>
          <w:rtl/>
        </w:rPr>
        <w:t>חוק להסדרת ההתיישבות ביהודה והשומרון, תשע"ז-2017</w:t>
      </w:r>
      <w:r w:rsidR="0056205F" w:rsidRPr="0056205F">
        <w:rPr>
          <w:rStyle w:val="a6"/>
          <w:rFonts w:cs="FrankRuehl"/>
          <w:color w:val="FF0000"/>
          <w:sz w:val="32"/>
          <w:rtl/>
        </w:rPr>
        <w:footnoteReference w:id="1"/>
      </w:r>
    </w:p>
    <w:p w14:paraId="64AB6AE5" w14:textId="77777777" w:rsidR="000258E9" w:rsidRPr="000258E9" w:rsidRDefault="000258E9" w:rsidP="000258E9">
      <w:pPr>
        <w:spacing w:line="320" w:lineRule="auto"/>
        <w:rPr>
          <w:rFonts w:cs="FrankRuehl"/>
          <w:szCs w:val="26"/>
          <w:rtl/>
        </w:rPr>
      </w:pPr>
    </w:p>
    <w:p w14:paraId="1F30BF77" w14:textId="77777777" w:rsidR="000258E9" w:rsidRDefault="000258E9" w:rsidP="000258E9">
      <w:pPr>
        <w:spacing w:line="320" w:lineRule="auto"/>
        <w:rPr>
          <w:rtl/>
        </w:rPr>
      </w:pPr>
    </w:p>
    <w:p w14:paraId="2C2DFDC4" w14:textId="77777777" w:rsidR="000258E9" w:rsidRDefault="000258E9" w:rsidP="000258E9">
      <w:pPr>
        <w:spacing w:line="320" w:lineRule="auto"/>
        <w:rPr>
          <w:rFonts w:cs="Miriam"/>
          <w:szCs w:val="22"/>
          <w:rtl/>
        </w:rPr>
      </w:pPr>
      <w:r w:rsidRPr="000258E9">
        <w:rPr>
          <w:rFonts w:cs="Miriam"/>
          <w:szCs w:val="22"/>
          <w:rtl/>
        </w:rPr>
        <w:t>רשויות ומשפט מנהלי</w:t>
      </w:r>
      <w:r w:rsidRPr="000258E9">
        <w:rPr>
          <w:rFonts w:cs="FrankRuehl"/>
          <w:szCs w:val="26"/>
          <w:rtl/>
        </w:rPr>
        <w:t xml:space="preserve"> – תכנון ובניה</w:t>
      </w:r>
    </w:p>
    <w:p w14:paraId="7B6D1141" w14:textId="77777777" w:rsidR="000258E9" w:rsidRPr="000258E9" w:rsidRDefault="000258E9" w:rsidP="000258E9">
      <w:pPr>
        <w:spacing w:line="320" w:lineRule="auto"/>
        <w:rPr>
          <w:rFonts w:cs="Miriam" w:hint="cs"/>
          <w:szCs w:val="22"/>
          <w:rtl/>
        </w:rPr>
      </w:pPr>
      <w:r w:rsidRPr="000258E9">
        <w:rPr>
          <w:rFonts w:cs="Miriam"/>
          <w:szCs w:val="22"/>
          <w:rtl/>
        </w:rPr>
        <w:t>משפט פרטי וכלכלה</w:t>
      </w:r>
      <w:r w:rsidRPr="000258E9">
        <w:rPr>
          <w:rFonts w:cs="FrankRuehl"/>
          <w:szCs w:val="26"/>
          <w:rtl/>
        </w:rPr>
        <w:t xml:space="preserve"> – קניין – מקרקעין</w:t>
      </w:r>
    </w:p>
    <w:p w14:paraId="223BEEA4" w14:textId="77777777" w:rsidR="001769C6" w:rsidRDefault="001769C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1B23" w:rsidRPr="00681B23" w14:paraId="1081AB3E" w14:textId="77777777" w:rsidTr="00681B23">
        <w:tblPrEx>
          <w:tblCellMar>
            <w:top w:w="0" w:type="dxa"/>
            <w:bottom w:w="0" w:type="dxa"/>
          </w:tblCellMar>
        </w:tblPrEx>
        <w:tc>
          <w:tcPr>
            <w:tcW w:w="1247" w:type="dxa"/>
          </w:tcPr>
          <w:p w14:paraId="703EBF26" w14:textId="77777777" w:rsidR="00681B23" w:rsidRPr="00681B23" w:rsidRDefault="00681B23" w:rsidP="00681B23">
            <w:pPr>
              <w:rPr>
                <w:rFonts w:cs="Frankruhel"/>
                <w:rtl/>
              </w:rPr>
            </w:pPr>
            <w:r>
              <w:rPr>
                <w:rtl/>
              </w:rPr>
              <w:t xml:space="preserve">סעיף 1 </w:t>
            </w:r>
          </w:p>
        </w:tc>
        <w:tc>
          <w:tcPr>
            <w:tcW w:w="5669" w:type="dxa"/>
          </w:tcPr>
          <w:p w14:paraId="32381023" w14:textId="77777777" w:rsidR="00681B23" w:rsidRPr="00681B23" w:rsidRDefault="00681B23" w:rsidP="00681B23">
            <w:pPr>
              <w:rPr>
                <w:rFonts w:cs="Frankruhel"/>
                <w:rtl/>
              </w:rPr>
            </w:pPr>
            <w:r>
              <w:rPr>
                <w:rtl/>
              </w:rPr>
              <w:t>מטרה</w:t>
            </w:r>
          </w:p>
        </w:tc>
        <w:tc>
          <w:tcPr>
            <w:tcW w:w="567" w:type="dxa"/>
          </w:tcPr>
          <w:p w14:paraId="2BCFE7F5" w14:textId="77777777" w:rsidR="00681B23" w:rsidRPr="00681B23" w:rsidRDefault="00681B23" w:rsidP="00681B23">
            <w:pPr>
              <w:rPr>
                <w:rStyle w:val="Hyperlink"/>
                <w:rtl/>
              </w:rPr>
            </w:pPr>
            <w:hyperlink w:anchor="Seif1" w:tooltip="מטרה" w:history="1">
              <w:r w:rsidRPr="00681B23">
                <w:rPr>
                  <w:rStyle w:val="Hyperlink"/>
                </w:rPr>
                <w:t>Go</w:t>
              </w:r>
            </w:hyperlink>
          </w:p>
        </w:tc>
        <w:tc>
          <w:tcPr>
            <w:tcW w:w="850" w:type="dxa"/>
          </w:tcPr>
          <w:p w14:paraId="6202624A"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81B23" w:rsidRPr="00681B23" w14:paraId="474A6B7C" w14:textId="77777777" w:rsidTr="00681B23">
        <w:tblPrEx>
          <w:tblCellMar>
            <w:top w:w="0" w:type="dxa"/>
            <w:bottom w:w="0" w:type="dxa"/>
          </w:tblCellMar>
        </w:tblPrEx>
        <w:tc>
          <w:tcPr>
            <w:tcW w:w="1247" w:type="dxa"/>
          </w:tcPr>
          <w:p w14:paraId="599334C0" w14:textId="77777777" w:rsidR="00681B23" w:rsidRPr="00681B23" w:rsidRDefault="00681B23" w:rsidP="00681B23">
            <w:pPr>
              <w:rPr>
                <w:rFonts w:cs="Frankruhel"/>
                <w:rtl/>
              </w:rPr>
            </w:pPr>
            <w:r>
              <w:rPr>
                <w:rtl/>
              </w:rPr>
              <w:t xml:space="preserve">סעיף 2 </w:t>
            </w:r>
          </w:p>
        </w:tc>
        <w:tc>
          <w:tcPr>
            <w:tcW w:w="5669" w:type="dxa"/>
          </w:tcPr>
          <w:p w14:paraId="7F5B91AC" w14:textId="77777777" w:rsidR="00681B23" w:rsidRPr="00681B23" w:rsidRDefault="00681B23" w:rsidP="00681B23">
            <w:pPr>
              <w:rPr>
                <w:rFonts w:cs="Frankruhel"/>
                <w:rtl/>
              </w:rPr>
            </w:pPr>
            <w:r>
              <w:rPr>
                <w:rtl/>
              </w:rPr>
              <w:t>הגדרות</w:t>
            </w:r>
          </w:p>
        </w:tc>
        <w:tc>
          <w:tcPr>
            <w:tcW w:w="567" w:type="dxa"/>
          </w:tcPr>
          <w:p w14:paraId="76F07136" w14:textId="77777777" w:rsidR="00681B23" w:rsidRPr="00681B23" w:rsidRDefault="00681B23" w:rsidP="00681B23">
            <w:pPr>
              <w:rPr>
                <w:rStyle w:val="Hyperlink"/>
                <w:rtl/>
              </w:rPr>
            </w:pPr>
            <w:hyperlink w:anchor="Seif2" w:tooltip="הגדרות" w:history="1">
              <w:r w:rsidRPr="00681B23">
                <w:rPr>
                  <w:rStyle w:val="Hyperlink"/>
                </w:rPr>
                <w:t>Go</w:t>
              </w:r>
            </w:hyperlink>
          </w:p>
        </w:tc>
        <w:tc>
          <w:tcPr>
            <w:tcW w:w="850" w:type="dxa"/>
          </w:tcPr>
          <w:p w14:paraId="01341D08"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81B23" w:rsidRPr="00681B23" w14:paraId="6183629E" w14:textId="77777777" w:rsidTr="00681B23">
        <w:tblPrEx>
          <w:tblCellMar>
            <w:top w:w="0" w:type="dxa"/>
            <w:bottom w:w="0" w:type="dxa"/>
          </w:tblCellMar>
        </w:tblPrEx>
        <w:tc>
          <w:tcPr>
            <w:tcW w:w="1247" w:type="dxa"/>
          </w:tcPr>
          <w:p w14:paraId="0D0A5B01" w14:textId="77777777" w:rsidR="00681B23" w:rsidRPr="00681B23" w:rsidRDefault="00681B23" w:rsidP="00681B23">
            <w:pPr>
              <w:rPr>
                <w:rFonts w:cs="Frankruhel"/>
                <w:rtl/>
              </w:rPr>
            </w:pPr>
            <w:r>
              <w:rPr>
                <w:rtl/>
              </w:rPr>
              <w:t xml:space="preserve">סעיף 3 </w:t>
            </w:r>
          </w:p>
        </w:tc>
        <w:tc>
          <w:tcPr>
            <w:tcW w:w="5669" w:type="dxa"/>
          </w:tcPr>
          <w:p w14:paraId="6151E3F8" w14:textId="77777777" w:rsidR="00681B23" w:rsidRPr="00681B23" w:rsidRDefault="00681B23" w:rsidP="00681B23">
            <w:pPr>
              <w:rPr>
                <w:rFonts w:cs="Frankruhel"/>
                <w:rtl/>
              </w:rPr>
            </w:pPr>
            <w:r>
              <w:rPr>
                <w:rtl/>
              </w:rPr>
              <w:t>רישומם של מקרקעין הטעונים הסדרה או נטילת זכויות השימוש וההחזקה בהם</w:t>
            </w:r>
          </w:p>
        </w:tc>
        <w:tc>
          <w:tcPr>
            <w:tcW w:w="567" w:type="dxa"/>
          </w:tcPr>
          <w:p w14:paraId="1DA37A30" w14:textId="77777777" w:rsidR="00681B23" w:rsidRPr="00681B23" w:rsidRDefault="00681B23" w:rsidP="00681B23">
            <w:pPr>
              <w:rPr>
                <w:rStyle w:val="Hyperlink"/>
                <w:rtl/>
              </w:rPr>
            </w:pPr>
            <w:hyperlink w:anchor="Seif3" w:tooltip="רישומם של מקרקעין הטעונים הסדרה או נטילת זכויות השימוש וההחזקה בהם" w:history="1">
              <w:r w:rsidRPr="00681B23">
                <w:rPr>
                  <w:rStyle w:val="Hyperlink"/>
                </w:rPr>
                <w:t>Go</w:t>
              </w:r>
            </w:hyperlink>
          </w:p>
        </w:tc>
        <w:tc>
          <w:tcPr>
            <w:tcW w:w="850" w:type="dxa"/>
          </w:tcPr>
          <w:p w14:paraId="239335CB"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81B23" w:rsidRPr="00681B23" w14:paraId="0B2C42C9" w14:textId="77777777" w:rsidTr="00681B23">
        <w:tblPrEx>
          <w:tblCellMar>
            <w:top w:w="0" w:type="dxa"/>
            <w:bottom w:w="0" w:type="dxa"/>
          </w:tblCellMar>
        </w:tblPrEx>
        <w:tc>
          <w:tcPr>
            <w:tcW w:w="1247" w:type="dxa"/>
          </w:tcPr>
          <w:p w14:paraId="086B383F" w14:textId="77777777" w:rsidR="00681B23" w:rsidRPr="00681B23" w:rsidRDefault="00681B23" w:rsidP="00681B23">
            <w:pPr>
              <w:rPr>
                <w:rFonts w:cs="Frankruhel"/>
                <w:rtl/>
              </w:rPr>
            </w:pPr>
            <w:r>
              <w:rPr>
                <w:rtl/>
              </w:rPr>
              <w:t xml:space="preserve">סעיף 4 </w:t>
            </w:r>
          </w:p>
        </w:tc>
        <w:tc>
          <w:tcPr>
            <w:tcW w:w="5669" w:type="dxa"/>
          </w:tcPr>
          <w:p w14:paraId="14596B22" w14:textId="77777777" w:rsidR="00681B23" w:rsidRPr="00681B23" w:rsidRDefault="00681B23" w:rsidP="00681B23">
            <w:pPr>
              <w:rPr>
                <w:rFonts w:cs="Frankruhel"/>
                <w:rtl/>
              </w:rPr>
            </w:pPr>
            <w:r>
              <w:rPr>
                <w:rtl/>
              </w:rPr>
              <w:t>מועד לרישום המקרקעין או לנטילת זכויות השימוש וההחזקה בהם</w:t>
            </w:r>
          </w:p>
        </w:tc>
        <w:tc>
          <w:tcPr>
            <w:tcW w:w="567" w:type="dxa"/>
          </w:tcPr>
          <w:p w14:paraId="456FAB34" w14:textId="77777777" w:rsidR="00681B23" w:rsidRPr="00681B23" w:rsidRDefault="00681B23" w:rsidP="00681B23">
            <w:pPr>
              <w:rPr>
                <w:rStyle w:val="Hyperlink"/>
                <w:rtl/>
              </w:rPr>
            </w:pPr>
            <w:hyperlink w:anchor="Seif4" w:tooltip="מועד לרישום המקרקעין או לנטילת זכויות השימוש וההחזקה בהם" w:history="1">
              <w:r w:rsidRPr="00681B23">
                <w:rPr>
                  <w:rStyle w:val="Hyperlink"/>
                </w:rPr>
                <w:t>Go</w:t>
              </w:r>
            </w:hyperlink>
          </w:p>
        </w:tc>
        <w:tc>
          <w:tcPr>
            <w:tcW w:w="850" w:type="dxa"/>
          </w:tcPr>
          <w:p w14:paraId="6807B80A"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81B23" w:rsidRPr="00681B23" w14:paraId="571EFD69" w14:textId="77777777" w:rsidTr="00681B23">
        <w:tblPrEx>
          <w:tblCellMar>
            <w:top w:w="0" w:type="dxa"/>
            <w:bottom w:w="0" w:type="dxa"/>
          </w:tblCellMar>
        </w:tblPrEx>
        <w:tc>
          <w:tcPr>
            <w:tcW w:w="1247" w:type="dxa"/>
          </w:tcPr>
          <w:p w14:paraId="3C0AC2C1" w14:textId="77777777" w:rsidR="00681B23" w:rsidRPr="00681B23" w:rsidRDefault="00681B23" w:rsidP="00681B23">
            <w:pPr>
              <w:rPr>
                <w:rFonts w:cs="Frankruhel"/>
                <w:rtl/>
              </w:rPr>
            </w:pPr>
            <w:r>
              <w:rPr>
                <w:rtl/>
              </w:rPr>
              <w:t xml:space="preserve">סעיף 5 </w:t>
            </w:r>
          </w:p>
        </w:tc>
        <w:tc>
          <w:tcPr>
            <w:tcW w:w="5669" w:type="dxa"/>
          </w:tcPr>
          <w:p w14:paraId="03DE46A0" w14:textId="77777777" w:rsidR="00681B23" w:rsidRPr="00681B23" w:rsidRDefault="00681B23" w:rsidP="00681B23">
            <w:pPr>
              <w:rPr>
                <w:rFonts w:cs="Frankruhel"/>
                <w:rtl/>
              </w:rPr>
            </w:pPr>
            <w:r>
              <w:rPr>
                <w:rtl/>
              </w:rPr>
              <w:t>הקצאת זכויות במקרקעין</w:t>
            </w:r>
          </w:p>
        </w:tc>
        <w:tc>
          <w:tcPr>
            <w:tcW w:w="567" w:type="dxa"/>
          </w:tcPr>
          <w:p w14:paraId="014819CE" w14:textId="77777777" w:rsidR="00681B23" w:rsidRPr="00681B23" w:rsidRDefault="00681B23" w:rsidP="00681B23">
            <w:pPr>
              <w:rPr>
                <w:rStyle w:val="Hyperlink"/>
                <w:rtl/>
              </w:rPr>
            </w:pPr>
            <w:hyperlink w:anchor="Seif5" w:tooltip="הקצאת זכויות במקרקעין" w:history="1">
              <w:r w:rsidRPr="00681B23">
                <w:rPr>
                  <w:rStyle w:val="Hyperlink"/>
                </w:rPr>
                <w:t>Go</w:t>
              </w:r>
            </w:hyperlink>
          </w:p>
        </w:tc>
        <w:tc>
          <w:tcPr>
            <w:tcW w:w="850" w:type="dxa"/>
          </w:tcPr>
          <w:p w14:paraId="4612B7B9"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81B23" w:rsidRPr="00681B23" w14:paraId="1907787E" w14:textId="77777777" w:rsidTr="00681B23">
        <w:tblPrEx>
          <w:tblCellMar>
            <w:top w:w="0" w:type="dxa"/>
            <w:bottom w:w="0" w:type="dxa"/>
          </w:tblCellMar>
        </w:tblPrEx>
        <w:tc>
          <w:tcPr>
            <w:tcW w:w="1247" w:type="dxa"/>
          </w:tcPr>
          <w:p w14:paraId="5AEC9C34" w14:textId="77777777" w:rsidR="00681B23" w:rsidRPr="00681B23" w:rsidRDefault="00681B23" w:rsidP="00681B23">
            <w:pPr>
              <w:rPr>
                <w:rFonts w:cs="Frankruhel"/>
                <w:rtl/>
              </w:rPr>
            </w:pPr>
            <w:r>
              <w:rPr>
                <w:rtl/>
              </w:rPr>
              <w:t xml:space="preserve">סעיף 6 </w:t>
            </w:r>
          </w:p>
        </w:tc>
        <w:tc>
          <w:tcPr>
            <w:tcW w:w="5669" w:type="dxa"/>
          </w:tcPr>
          <w:p w14:paraId="423168C8" w14:textId="77777777" w:rsidR="00681B23" w:rsidRPr="00681B23" w:rsidRDefault="00681B23" w:rsidP="00681B23">
            <w:pPr>
              <w:rPr>
                <w:rFonts w:cs="Frankruhel"/>
                <w:rtl/>
              </w:rPr>
            </w:pPr>
            <w:r>
              <w:rPr>
                <w:rtl/>
              </w:rPr>
              <w:t>השלמת הליכי תכנון</w:t>
            </w:r>
          </w:p>
        </w:tc>
        <w:tc>
          <w:tcPr>
            <w:tcW w:w="567" w:type="dxa"/>
          </w:tcPr>
          <w:p w14:paraId="7C8D9E17" w14:textId="77777777" w:rsidR="00681B23" w:rsidRPr="00681B23" w:rsidRDefault="00681B23" w:rsidP="00681B23">
            <w:pPr>
              <w:rPr>
                <w:rStyle w:val="Hyperlink"/>
                <w:rtl/>
              </w:rPr>
            </w:pPr>
            <w:hyperlink w:anchor="Seif6" w:tooltip="השלמת הליכי תכנון" w:history="1">
              <w:r w:rsidRPr="00681B23">
                <w:rPr>
                  <w:rStyle w:val="Hyperlink"/>
                </w:rPr>
                <w:t>Go</w:t>
              </w:r>
            </w:hyperlink>
          </w:p>
        </w:tc>
        <w:tc>
          <w:tcPr>
            <w:tcW w:w="850" w:type="dxa"/>
          </w:tcPr>
          <w:p w14:paraId="5FF6C599"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681B23" w:rsidRPr="00681B23" w14:paraId="7E77FCF1" w14:textId="77777777" w:rsidTr="00681B23">
        <w:tblPrEx>
          <w:tblCellMar>
            <w:top w:w="0" w:type="dxa"/>
            <w:bottom w:w="0" w:type="dxa"/>
          </w:tblCellMar>
        </w:tblPrEx>
        <w:tc>
          <w:tcPr>
            <w:tcW w:w="1247" w:type="dxa"/>
          </w:tcPr>
          <w:p w14:paraId="4EA6418E" w14:textId="77777777" w:rsidR="00681B23" w:rsidRPr="00681B23" w:rsidRDefault="00681B23" w:rsidP="00681B23">
            <w:pPr>
              <w:rPr>
                <w:rFonts w:cs="Frankruhel"/>
                <w:rtl/>
              </w:rPr>
            </w:pPr>
            <w:r>
              <w:rPr>
                <w:rtl/>
              </w:rPr>
              <w:t xml:space="preserve">סעיף 7 </w:t>
            </w:r>
          </w:p>
        </w:tc>
        <w:tc>
          <w:tcPr>
            <w:tcW w:w="5669" w:type="dxa"/>
          </w:tcPr>
          <w:p w14:paraId="5B2DBEE0" w14:textId="77777777" w:rsidR="00681B23" w:rsidRPr="00681B23" w:rsidRDefault="00681B23" w:rsidP="00681B23">
            <w:pPr>
              <w:rPr>
                <w:rFonts w:cs="Frankruhel"/>
                <w:rtl/>
              </w:rPr>
            </w:pPr>
            <w:r>
              <w:rPr>
                <w:rtl/>
              </w:rPr>
              <w:t>התליית הליכים ופקיעתם</w:t>
            </w:r>
          </w:p>
        </w:tc>
        <w:tc>
          <w:tcPr>
            <w:tcW w:w="567" w:type="dxa"/>
          </w:tcPr>
          <w:p w14:paraId="05006C7F" w14:textId="77777777" w:rsidR="00681B23" w:rsidRPr="00681B23" w:rsidRDefault="00681B23" w:rsidP="00681B23">
            <w:pPr>
              <w:rPr>
                <w:rStyle w:val="Hyperlink"/>
                <w:rtl/>
              </w:rPr>
            </w:pPr>
            <w:hyperlink w:anchor="Seif7" w:tooltip="התליית הליכים ופקיעתם" w:history="1">
              <w:r w:rsidRPr="00681B23">
                <w:rPr>
                  <w:rStyle w:val="Hyperlink"/>
                </w:rPr>
                <w:t>Go</w:t>
              </w:r>
            </w:hyperlink>
          </w:p>
        </w:tc>
        <w:tc>
          <w:tcPr>
            <w:tcW w:w="850" w:type="dxa"/>
          </w:tcPr>
          <w:p w14:paraId="7C4F04CC"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681B23" w:rsidRPr="00681B23" w14:paraId="681BE0B3" w14:textId="77777777" w:rsidTr="00681B23">
        <w:tblPrEx>
          <w:tblCellMar>
            <w:top w:w="0" w:type="dxa"/>
            <w:bottom w:w="0" w:type="dxa"/>
          </w:tblCellMar>
        </w:tblPrEx>
        <w:tc>
          <w:tcPr>
            <w:tcW w:w="1247" w:type="dxa"/>
          </w:tcPr>
          <w:p w14:paraId="5C2FAD0C" w14:textId="77777777" w:rsidR="00681B23" w:rsidRPr="00681B23" w:rsidRDefault="00681B23" w:rsidP="00681B23">
            <w:pPr>
              <w:rPr>
                <w:rFonts w:cs="Frankruhel"/>
                <w:rtl/>
              </w:rPr>
            </w:pPr>
            <w:r>
              <w:rPr>
                <w:rtl/>
              </w:rPr>
              <w:t xml:space="preserve">סעיף 8 </w:t>
            </w:r>
          </w:p>
        </w:tc>
        <w:tc>
          <w:tcPr>
            <w:tcW w:w="5669" w:type="dxa"/>
          </w:tcPr>
          <w:p w14:paraId="2C0E9D2C" w14:textId="77777777" w:rsidR="00681B23" w:rsidRPr="00681B23" w:rsidRDefault="00681B23" w:rsidP="00681B23">
            <w:pPr>
              <w:rPr>
                <w:rFonts w:cs="Frankruhel"/>
                <w:rtl/>
              </w:rPr>
            </w:pPr>
            <w:r>
              <w:rPr>
                <w:rtl/>
              </w:rPr>
              <w:t>פיצוי</w:t>
            </w:r>
          </w:p>
        </w:tc>
        <w:tc>
          <w:tcPr>
            <w:tcW w:w="567" w:type="dxa"/>
          </w:tcPr>
          <w:p w14:paraId="47B06578" w14:textId="77777777" w:rsidR="00681B23" w:rsidRPr="00681B23" w:rsidRDefault="00681B23" w:rsidP="00681B23">
            <w:pPr>
              <w:rPr>
                <w:rStyle w:val="Hyperlink"/>
                <w:rtl/>
              </w:rPr>
            </w:pPr>
            <w:hyperlink w:anchor="Seif8" w:tooltip="פיצוי" w:history="1">
              <w:r w:rsidRPr="00681B23">
                <w:rPr>
                  <w:rStyle w:val="Hyperlink"/>
                </w:rPr>
                <w:t>Go</w:t>
              </w:r>
            </w:hyperlink>
          </w:p>
        </w:tc>
        <w:tc>
          <w:tcPr>
            <w:tcW w:w="850" w:type="dxa"/>
          </w:tcPr>
          <w:p w14:paraId="5531872E"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681B23" w:rsidRPr="00681B23" w14:paraId="555DDAA1" w14:textId="77777777" w:rsidTr="00681B23">
        <w:tblPrEx>
          <w:tblCellMar>
            <w:top w:w="0" w:type="dxa"/>
            <w:bottom w:w="0" w:type="dxa"/>
          </w:tblCellMar>
        </w:tblPrEx>
        <w:tc>
          <w:tcPr>
            <w:tcW w:w="1247" w:type="dxa"/>
          </w:tcPr>
          <w:p w14:paraId="10882FF0" w14:textId="77777777" w:rsidR="00681B23" w:rsidRPr="00681B23" w:rsidRDefault="00681B23" w:rsidP="00681B23">
            <w:pPr>
              <w:rPr>
                <w:rFonts w:cs="Frankruhel"/>
                <w:rtl/>
              </w:rPr>
            </w:pPr>
            <w:r>
              <w:rPr>
                <w:rtl/>
              </w:rPr>
              <w:t xml:space="preserve">סעיף 9 </w:t>
            </w:r>
          </w:p>
        </w:tc>
        <w:tc>
          <w:tcPr>
            <w:tcW w:w="5669" w:type="dxa"/>
          </w:tcPr>
          <w:p w14:paraId="53A3B5CB" w14:textId="77777777" w:rsidR="00681B23" w:rsidRPr="00681B23" w:rsidRDefault="00681B23" w:rsidP="00681B23">
            <w:pPr>
              <w:rPr>
                <w:rFonts w:cs="Frankruhel"/>
                <w:rtl/>
              </w:rPr>
            </w:pPr>
            <w:r>
              <w:rPr>
                <w:rtl/>
              </w:rPr>
              <w:t>ועדת השומה</w:t>
            </w:r>
          </w:p>
        </w:tc>
        <w:tc>
          <w:tcPr>
            <w:tcW w:w="567" w:type="dxa"/>
          </w:tcPr>
          <w:p w14:paraId="4A822202" w14:textId="77777777" w:rsidR="00681B23" w:rsidRPr="00681B23" w:rsidRDefault="00681B23" w:rsidP="00681B23">
            <w:pPr>
              <w:rPr>
                <w:rStyle w:val="Hyperlink"/>
                <w:rtl/>
              </w:rPr>
            </w:pPr>
            <w:hyperlink w:anchor="Seif9" w:tooltip="ועדת השומה" w:history="1">
              <w:r w:rsidRPr="00681B23">
                <w:rPr>
                  <w:rStyle w:val="Hyperlink"/>
                </w:rPr>
                <w:t>Go</w:t>
              </w:r>
            </w:hyperlink>
          </w:p>
        </w:tc>
        <w:tc>
          <w:tcPr>
            <w:tcW w:w="850" w:type="dxa"/>
          </w:tcPr>
          <w:p w14:paraId="7D5F8AD4"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681B23" w:rsidRPr="00681B23" w14:paraId="3EAFF2CE" w14:textId="77777777" w:rsidTr="00681B23">
        <w:tblPrEx>
          <w:tblCellMar>
            <w:top w:w="0" w:type="dxa"/>
            <w:bottom w:w="0" w:type="dxa"/>
          </w:tblCellMar>
        </w:tblPrEx>
        <w:tc>
          <w:tcPr>
            <w:tcW w:w="1247" w:type="dxa"/>
          </w:tcPr>
          <w:p w14:paraId="0C9936D2" w14:textId="77777777" w:rsidR="00681B23" w:rsidRPr="00681B23" w:rsidRDefault="00681B23" w:rsidP="00681B23">
            <w:pPr>
              <w:rPr>
                <w:rFonts w:cs="Frankruhel"/>
                <w:rtl/>
              </w:rPr>
            </w:pPr>
            <w:r>
              <w:rPr>
                <w:rtl/>
              </w:rPr>
              <w:t xml:space="preserve">סעיף 10 </w:t>
            </w:r>
          </w:p>
        </w:tc>
        <w:tc>
          <w:tcPr>
            <w:tcW w:w="5669" w:type="dxa"/>
          </w:tcPr>
          <w:p w14:paraId="6CD8D214" w14:textId="77777777" w:rsidR="00681B23" w:rsidRPr="00681B23" w:rsidRDefault="00681B23" w:rsidP="00681B23">
            <w:pPr>
              <w:rPr>
                <w:rFonts w:cs="Frankruhel"/>
                <w:rtl/>
              </w:rPr>
            </w:pPr>
            <w:r>
              <w:rPr>
                <w:rtl/>
              </w:rPr>
              <w:t>ועדת השגות</w:t>
            </w:r>
          </w:p>
        </w:tc>
        <w:tc>
          <w:tcPr>
            <w:tcW w:w="567" w:type="dxa"/>
          </w:tcPr>
          <w:p w14:paraId="55004785" w14:textId="77777777" w:rsidR="00681B23" w:rsidRPr="00681B23" w:rsidRDefault="00681B23" w:rsidP="00681B23">
            <w:pPr>
              <w:rPr>
                <w:rStyle w:val="Hyperlink"/>
                <w:rtl/>
              </w:rPr>
            </w:pPr>
            <w:hyperlink w:anchor="Seif10" w:tooltip="ועדת השגות" w:history="1">
              <w:r w:rsidRPr="00681B23">
                <w:rPr>
                  <w:rStyle w:val="Hyperlink"/>
                </w:rPr>
                <w:t>Go</w:t>
              </w:r>
            </w:hyperlink>
          </w:p>
        </w:tc>
        <w:tc>
          <w:tcPr>
            <w:tcW w:w="850" w:type="dxa"/>
          </w:tcPr>
          <w:p w14:paraId="06C495B5"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681B23" w:rsidRPr="00681B23" w14:paraId="15AC4030" w14:textId="77777777" w:rsidTr="00681B23">
        <w:tblPrEx>
          <w:tblCellMar>
            <w:top w:w="0" w:type="dxa"/>
            <w:bottom w:w="0" w:type="dxa"/>
          </w:tblCellMar>
        </w:tblPrEx>
        <w:tc>
          <w:tcPr>
            <w:tcW w:w="1247" w:type="dxa"/>
          </w:tcPr>
          <w:p w14:paraId="7F02AF8F" w14:textId="77777777" w:rsidR="00681B23" w:rsidRPr="00681B23" w:rsidRDefault="00681B23" w:rsidP="00681B23">
            <w:pPr>
              <w:rPr>
                <w:rFonts w:cs="Frankruhel"/>
                <w:rtl/>
              </w:rPr>
            </w:pPr>
            <w:r>
              <w:rPr>
                <w:rtl/>
              </w:rPr>
              <w:t xml:space="preserve">סעיף 11 </w:t>
            </w:r>
          </w:p>
        </w:tc>
        <w:tc>
          <w:tcPr>
            <w:tcW w:w="5669" w:type="dxa"/>
          </w:tcPr>
          <w:p w14:paraId="25160247" w14:textId="77777777" w:rsidR="00681B23" w:rsidRPr="00681B23" w:rsidRDefault="00681B23" w:rsidP="00681B23">
            <w:pPr>
              <w:rPr>
                <w:rFonts w:cs="Frankruhel"/>
                <w:rtl/>
              </w:rPr>
            </w:pPr>
            <w:r>
              <w:rPr>
                <w:rtl/>
              </w:rPr>
              <w:t>הוראת מעבר לעניין יישובים המנויים בתוספת</w:t>
            </w:r>
          </w:p>
        </w:tc>
        <w:tc>
          <w:tcPr>
            <w:tcW w:w="567" w:type="dxa"/>
          </w:tcPr>
          <w:p w14:paraId="5862250C" w14:textId="77777777" w:rsidR="00681B23" w:rsidRPr="00681B23" w:rsidRDefault="00681B23" w:rsidP="00681B23">
            <w:pPr>
              <w:rPr>
                <w:rStyle w:val="Hyperlink"/>
                <w:rtl/>
              </w:rPr>
            </w:pPr>
            <w:hyperlink w:anchor="Seif11" w:tooltip="הוראת מעבר לעניין יישובים המנויים בתוספת" w:history="1">
              <w:r w:rsidRPr="00681B23">
                <w:rPr>
                  <w:rStyle w:val="Hyperlink"/>
                </w:rPr>
                <w:t>Go</w:t>
              </w:r>
            </w:hyperlink>
          </w:p>
        </w:tc>
        <w:tc>
          <w:tcPr>
            <w:tcW w:w="850" w:type="dxa"/>
          </w:tcPr>
          <w:p w14:paraId="48343399"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681B23" w:rsidRPr="00681B23" w14:paraId="74FA36C3" w14:textId="77777777" w:rsidTr="00681B23">
        <w:tblPrEx>
          <w:tblCellMar>
            <w:top w:w="0" w:type="dxa"/>
            <w:bottom w:w="0" w:type="dxa"/>
          </w:tblCellMar>
        </w:tblPrEx>
        <w:tc>
          <w:tcPr>
            <w:tcW w:w="1247" w:type="dxa"/>
          </w:tcPr>
          <w:p w14:paraId="0C272F7B" w14:textId="77777777" w:rsidR="00681B23" w:rsidRPr="00681B23" w:rsidRDefault="00681B23" w:rsidP="00681B23">
            <w:pPr>
              <w:rPr>
                <w:rFonts w:cs="Frankruhel"/>
                <w:rtl/>
              </w:rPr>
            </w:pPr>
          </w:p>
        </w:tc>
        <w:tc>
          <w:tcPr>
            <w:tcW w:w="5669" w:type="dxa"/>
          </w:tcPr>
          <w:p w14:paraId="56554472" w14:textId="77777777" w:rsidR="00681B23" w:rsidRPr="00681B23" w:rsidRDefault="00681B23" w:rsidP="00681B23">
            <w:pPr>
              <w:rPr>
                <w:rFonts w:cs="Frankruhel"/>
                <w:rtl/>
              </w:rPr>
            </w:pPr>
            <w:r>
              <w:rPr>
                <w:rtl/>
              </w:rPr>
              <w:t>תוספת</w:t>
            </w:r>
          </w:p>
        </w:tc>
        <w:tc>
          <w:tcPr>
            <w:tcW w:w="567" w:type="dxa"/>
          </w:tcPr>
          <w:p w14:paraId="202F9D30" w14:textId="77777777" w:rsidR="00681B23" w:rsidRPr="00681B23" w:rsidRDefault="00681B23" w:rsidP="00681B23">
            <w:pPr>
              <w:rPr>
                <w:rStyle w:val="Hyperlink"/>
                <w:rtl/>
              </w:rPr>
            </w:pPr>
            <w:hyperlink w:anchor="med0" w:tooltip="תוספת" w:history="1">
              <w:r w:rsidRPr="00681B23">
                <w:rPr>
                  <w:rStyle w:val="Hyperlink"/>
                </w:rPr>
                <w:t>Go</w:t>
              </w:r>
            </w:hyperlink>
          </w:p>
        </w:tc>
        <w:tc>
          <w:tcPr>
            <w:tcW w:w="850" w:type="dxa"/>
          </w:tcPr>
          <w:p w14:paraId="5DADF0C2" w14:textId="77777777" w:rsidR="00681B23" w:rsidRPr="00681B23" w:rsidRDefault="00681B23" w:rsidP="00681B23">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bl>
    <w:p w14:paraId="3E13D372" w14:textId="77777777" w:rsidR="001769C6" w:rsidRDefault="001769C6" w:rsidP="000258E9">
      <w:pPr>
        <w:pStyle w:val="big-header"/>
        <w:ind w:left="0" w:right="1134"/>
        <w:rPr>
          <w:rFonts w:cs="FrankRuehl" w:hint="cs"/>
          <w:sz w:val="32"/>
          <w:rtl/>
        </w:rPr>
      </w:pPr>
      <w:r>
        <w:rPr>
          <w:rFonts w:cs="FrankRuehl"/>
          <w:sz w:val="32"/>
          <w:rtl/>
        </w:rPr>
        <w:br w:type="page"/>
      </w:r>
      <w:r>
        <w:rPr>
          <w:rFonts w:cs="FrankRuehl" w:hint="cs"/>
          <w:sz w:val="32"/>
          <w:rtl/>
        </w:rPr>
        <w:lastRenderedPageBreak/>
        <w:t xml:space="preserve">חוק </w:t>
      </w:r>
      <w:r w:rsidR="000258E9">
        <w:rPr>
          <w:rFonts w:cs="FrankRuehl" w:hint="cs"/>
          <w:sz w:val="32"/>
          <w:rtl/>
        </w:rPr>
        <w:t>להסדרת ההתיישבות ביהודה והשומרון, תשע"ז-2017</w:t>
      </w:r>
      <w:r>
        <w:rPr>
          <w:rStyle w:val="default"/>
          <w:sz w:val="22"/>
          <w:szCs w:val="22"/>
          <w:rtl/>
        </w:rPr>
        <w:footnoteReference w:customMarkFollows="1" w:id="2"/>
        <w:t>*</w:t>
      </w:r>
    </w:p>
    <w:p w14:paraId="19A398F4" w14:textId="77777777" w:rsidR="001769C6" w:rsidRDefault="001769C6" w:rsidP="007D4B3A">
      <w:pPr>
        <w:pStyle w:val="P00"/>
        <w:spacing w:before="72"/>
        <w:ind w:left="0" w:right="1134"/>
        <w:rPr>
          <w:rStyle w:val="default"/>
          <w:rFonts w:cs="FrankRuehl" w:hint="cs"/>
          <w:rtl/>
        </w:rPr>
      </w:pPr>
      <w:bookmarkStart w:id="0" w:name="Seif1"/>
      <w:bookmarkEnd w:id="0"/>
      <w:r>
        <w:rPr>
          <w:rFonts w:cs="Miriam"/>
          <w:lang w:val="he-IL"/>
        </w:rPr>
        <w:pict w14:anchorId="58DC2E17">
          <v:rect id="_x0000_s1026" style="position:absolute;left:0;text-align:left;margin-left:464.35pt;margin-top:7.1pt;width:75.05pt;height:9.5pt;z-index:251652608" o:allowincell="f" filled="f" stroked="f" strokecolor="lime" strokeweight=".25pt">
            <v:textbox inset="1mm,0,1mm,0">
              <w:txbxContent>
                <w:p w14:paraId="7A7E7A81" w14:textId="77777777" w:rsidR="0044742B" w:rsidRDefault="007D4B3A">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sidRPr="000258E9">
        <w:rPr>
          <w:rStyle w:val="default"/>
          <w:rFonts w:cs="FrankRuehl"/>
          <w:rtl/>
        </w:rPr>
        <w:t>.</w:t>
      </w:r>
      <w:r w:rsidRPr="000258E9">
        <w:rPr>
          <w:rStyle w:val="default"/>
          <w:rFonts w:cs="FrankRuehl"/>
          <w:rtl/>
        </w:rPr>
        <w:tab/>
      </w:r>
      <w:r w:rsidR="007D4B3A">
        <w:rPr>
          <w:rStyle w:val="default"/>
          <w:rFonts w:cs="FrankRuehl" w:hint="cs"/>
          <w:rtl/>
        </w:rPr>
        <w:t>מטרת חוק זה היא להסדיר את ההתיישבות ביהודה והשומרון ולאפשר את המשך ביסוסה ופיתוחה.</w:t>
      </w:r>
    </w:p>
    <w:p w14:paraId="342F88A1" w14:textId="77777777" w:rsidR="001769C6" w:rsidRDefault="001769C6" w:rsidP="007D4B3A">
      <w:pPr>
        <w:pStyle w:val="P00"/>
        <w:spacing w:before="72"/>
        <w:ind w:left="0" w:right="1134"/>
        <w:rPr>
          <w:rStyle w:val="default"/>
          <w:rFonts w:cs="FrankRuehl" w:hint="cs"/>
          <w:rtl/>
        </w:rPr>
      </w:pPr>
      <w:bookmarkStart w:id="1" w:name="Seif2"/>
      <w:bookmarkEnd w:id="1"/>
      <w:r>
        <w:rPr>
          <w:rFonts w:cs="Miriam"/>
          <w:lang w:val="he-IL"/>
        </w:rPr>
        <w:pict w14:anchorId="11E117B4">
          <v:rect id="_x0000_s1032" style="position:absolute;left:0;text-align:left;margin-left:464.35pt;margin-top:7.1pt;width:75.05pt;height:11.45pt;z-index:251653632" o:allowincell="f" filled="f" stroked="f" strokecolor="lime" strokeweight=".25pt">
            <v:textbox style="mso-next-textbox:#_x0000_s1032" inset="1mm,0,1mm,0">
              <w:txbxContent>
                <w:p w14:paraId="53900295" w14:textId="77777777" w:rsidR="0044742B" w:rsidRDefault="007D4B3A">
                  <w:pPr>
                    <w:pStyle w:val="a7"/>
                    <w:rPr>
                      <w:rFonts w:hint="cs"/>
                      <w:noProof/>
                      <w:rtl/>
                    </w:rPr>
                  </w:pPr>
                  <w:r>
                    <w:rPr>
                      <w:rFonts w:hint="cs"/>
                      <w:rtl/>
                    </w:rPr>
                    <w:t>הגדרות</w:t>
                  </w:r>
                </w:p>
              </w:txbxContent>
            </v:textbox>
            <w10:anchorlock/>
          </v:rect>
        </w:pict>
      </w:r>
      <w:r>
        <w:rPr>
          <w:rStyle w:val="big-number"/>
          <w:rFonts w:cs="Miriam"/>
          <w:rtl/>
        </w:rPr>
        <w:t>2</w:t>
      </w:r>
      <w:r w:rsidRPr="007D4B3A">
        <w:rPr>
          <w:rStyle w:val="default"/>
          <w:rFonts w:cs="FrankRuehl"/>
          <w:rtl/>
        </w:rPr>
        <w:t>.</w:t>
      </w:r>
      <w:r w:rsidRPr="007D4B3A">
        <w:rPr>
          <w:rStyle w:val="default"/>
          <w:rFonts w:cs="FrankRuehl"/>
          <w:rtl/>
        </w:rPr>
        <w:tab/>
      </w:r>
      <w:r>
        <w:rPr>
          <w:rStyle w:val="default"/>
          <w:rFonts w:cs="FrankRuehl" w:hint="cs"/>
          <w:rtl/>
        </w:rPr>
        <w:t xml:space="preserve">בחוק זה </w:t>
      </w:r>
      <w:r>
        <w:rPr>
          <w:rStyle w:val="default"/>
          <w:rFonts w:cs="FrankRuehl"/>
          <w:rtl/>
        </w:rPr>
        <w:t>–</w:t>
      </w:r>
    </w:p>
    <w:p w14:paraId="1E9966FA" w14:textId="77777777" w:rsidR="007D4B3A" w:rsidRDefault="007D4B3A" w:rsidP="007D4B3A">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כהגדרתו בתקנות שעת חירום (יהודה והשומרון </w:t>
      </w:r>
      <w:r>
        <w:rPr>
          <w:rStyle w:val="default"/>
          <w:rFonts w:cs="FrankRuehl"/>
          <w:rtl/>
        </w:rPr>
        <w:t>–</w:t>
      </w:r>
      <w:r>
        <w:rPr>
          <w:rStyle w:val="default"/>
          <w:rFonts w:cs="FrankRuehl" w:hint="cs"/>
          <w:rtl/>
        </w:rPr>
        <w:t xml:space="preserve"> שיפוט בעבירות ועזרה משפטית), התשכ"ז-1967, כפי שהוארך תוקפן ותוקן נוסחן בחוק, מעת לעת;</w:t>
      </w:r>
    </w:p>
    <w:p w14:paraId="7E103A2A" w14:textId="77777777" w:rsidR="007D4B3A" w:rsidRDefault="007D4B3A" w:rsidP="007D4B3A">
      <w:pPr>
        <w:pStyle w:val="P00"/>
        <w:spacing w:before="72"/>
        <w:ind w:left="0" w:right="1134"/>
        <w:rPr>
          <w:rStyle w:val="default"/>
          <w:rFonts w:cs="FrankRuehl" w:hint="cs"/>
          <w:rtl/>
        </w:rPr>
      </w:pPr>
      <w:r>
        <w:rPr>
          <w:rStyle w:val="default"/>
          <w:rFonts w:cs="FrankRuehl" w:hint="cs"/>
          <w:rtl/>
        </w:rPr>
        <w:tab/>
        <w:t xml:space="preserve">"בעל זכויות במקרקעין" </w:t>
      </w:r>
      <w:r w:rsidR="000A043B">
        <w:rPr>
          <w:rStyle w:val="default"/>
          <w:rFonts w:cs="FrankRuehl"/>
          <w:rtl/>
        </w:rPr>
        <w:t>–</w:t>
      </w:r>
      <w:r>
        <w:rPr>
          <w:rStyle w:val="default"/>
          <w:rFonts w:cs="FrankRuehl" w:hint="cs"/>
          <w:rtl/>
        </w:rPr>
        <w:t xml:space="preserve"> </w:t>
      </w:r>
      <w:r w:rsidR="000A043B">
        <w:rPr>
          <w:rStyle w:val="default"/>
          <w:rFonts w:cs="FrankRuehl" w:hint="cs"/>
          <w:rtl/>
        </w:rPr>
        <w:t>מי שהוכיח כי הוא רשום כבעל הזכויות במקרקעין או כי הוא זכאי להירשם כבעל הזכויות במקרקעין;</w:t>
      </w:r>
    </w:p>
    <w:p w14:paraId="4F946A0C" w14:textId="77777777" w:rsidR="000A043B" w:rsidRDefault="000A043B" w:rsidP="007D4B3A">
      <w:pPr>
        <w:pStyle w:val="P00"/>
        <w:spacing w:before="72"/>
        <w:ind w:left="0" w:right="1134"/>
        <w:rPr>
          <w:rStyle w:val="default"/>
          <w:rFonts w:cs="FrankRuehl" w:hint="cs"/>
          <w:rtl/>
        </w:rPr>
      </w:pPr>
      <w:r>
        <w:rPr>
          <w:rStyle w:val="default"/>
          <w:rFonts w:cs="FrankRuehl" w:hint="cs"/>
          <w:rtl/>
        </w:rPr>
        <w:tab/>
        <w:t xml:space="preserve">"הליכי תכנון" </w:t>
      </w:r>
      <w:r>
        <w:rPr>
          <w:rStyle w:val="default"/>
          <w:rFonts w:cs="FrankRuehl"/>
          <w:rtl/>
        </w:rPr>
        <w:t>–</w:t>
      </w:r>
      <w:r>
        <w:rPr>
          <w:rStyle w:val="default"/>
          <w:rFonts w:cs="FrankRuehl" w:hint="cs"/>
          <w:rtl/>
        </w:rPr>
        <w:t xml:space="preserve"> לרבות מתן היתרי בנייה על סמך תכניות שיאושרו;</w:t>
      </w:r>
    </w:p>
    <w:p w14:paraId="0BB533E4" w14:textId="77777777" w:rsidR="000A043B" w:rsidRDefault="000A043B" w:rsidP="007D4B3A">
      <w:pPr>
        <w:pStyle w:val="P00"/>
        <w:spacing w:before="72"/>
        <w:ind w:left="0" w:right="1134"/>
        <w:rPr>
          <w:rStyle w:val="default"/>
          <w:rFonts w:cs="FrankRuehl" w:hint="cs"/>
          <w:rtl/>
        </w:rPr>
      </w:pPr>
      <w:r>
        <w:rPr>
          <w:rStyle w:val="default"/>
          <w:rFonts w:cs="FrankRuehl" w:hint="cs"/>
          <w:rtl/>
        </w:rPr>
        <w:tab/>
        <w:t xml:space="preserve">"הסכמת המדינה" </w:t>
      </w:r>
      <w:r>
        <w:rPr>
          <w:rStyle w:val="default"/>
          <w:rFonts w:cs="FrankRuehl"/>
          <w:rtl/>
        </w:rPr>
        <w:t>–</w:t>
      </w:r>
      <w:r>
        <w:rPr>
          <w:rStyle w:val="default"/>
          <w:rFonts w:cs="FrankRuehl" w:hint="cs"/>
          <w:rtl/>
        </w:rPr>
        <w:t xml:space="preserve"> במפורש או במשתמש, מראש או לאחר מעשה, לרבות סיוע בהנחת תשתיות, הענקת תמריצים, תכנון תכניות, פרסום פרסומים שנועדו לעודד בנייה או פיתוח או השתתפות בכסף או בעין;</w:t>
      </w:r>
    </w:p>
    <w:p w14:paraId="41946A06" w14:textId="77777777" w:rsidR="000A043B" w:rsidRDefault="000A043B" w:rsidP="007D4B3A">
      <w:pPr>
        <w:pStyle w:val="P00"/>
        <w:spacing w:before="72"/>
        <w:ind w:left="0" w:right="1134"/>
        <w:rPr>
          <w:rStyle w:val="default"/>
          <w:rFonts w:cs="FrankRuehl" w:hint="cs"/>
          <w:rtl/>
        </w:rPr>
      </w:pPr>
      <w:r>
        <w:rPr>
          <w:rStyle w:val="default"/>
          <w:rFonts w:cs="FrankRuehl" w:hint="cs"/>
          <w:rtl/>
        </w:rPr>
        <w:tab/>
        <w:t xml:space="preserve">"התיישבות" </w:t>
      </w:r>
      <w:r>
        <w:rPr>
          <w:rStyle w:val="default"/>
          <w:rFonts w:cs="FrankRuehl"/>
          <w:rtl/>
        </w:rPr>
        <w:t>–</w:t>
      </w:r>
      <w:r>
        <w:rPr>
          <w:rStyle w:val="default"/>
          <w:rFonts w:cs="FrankRuehl" w:hint="cs"/>
          <w:rtl/>
        </w:rPr>
        <w:t xml:space="preserve"> לרבות שכונה או הרחבה של אותה התיישבות, כלל בתי המגורים שבה, המיתקנים, השטחים החקלאיים המשמשים לצורכה, מבני ציבור, אמצעי ייצור, וכן דרכי גישה ותשתיות מים, תקשורת, חשמל וביוב;</w:t>
      </w:r>
    </w:p>
    <w:p w14:paraId="75B44ADB" w14:textId="77777777" w:rsidR="000A043B" w:rsidRDefault="000A043B" w:rsidP="007D4B3A">
      <w:pPr>
        <w:pStyle w:val="P00"/>
        <w:spacing w:before="72"/>
        <w:ind w:left="0" w:right="1134"/>
        <w:rPr>
          <w:rStyle w:val="default"/>
          <w:rFonts w:cs="FrankRuehl" w:hint="cs"/>
          <w:rtl/>
        </w:rPr>
      </w:pPr>
      <w:r>
        <w:rPr>
          <w:rStyle w:val="default"/>
          <w:rFonts w:cs="FrankRuehl" w:hint="cs"/>
          <w:rtl/>
        </w:rPr>
        <w:tab/>
        <w:t xml:space="preserve">"ועדת השגות" </w:t>
      </w:r>
      <w:r>
        <w:rPr>
          <w:rStyle w:val="default"/>
          <w:rFonts w:cs="FrankRuehl"/>
          <w:rtl/>
        </w:rPr>
        <w:t>–</w:t>
      </w:r>
      <w:r>
        <w:rPr>
          <w:rStyle w:val="default"/>
          <w:rFonts w:cs="FrankRuehl" w:hint="cs"/>
          <w:rtl/>
        </w:rPr>
        <w:t xml:space="preserve"> הוועדה שהוקמה לפי סעיף 10;</w:t>
      </w:r>
    </w:p>
    <w:p w14:paraId="20A8BC3B" w14:textId="77777777" w:rsidR="000A043B" w:rsidRDefault="000A043B" w:rsidP="007D4B3A">
      <w:pPr>
        <w:pStyle w:val="P00"/>
        <w:spacing w:before="72"/>
        <w:ind w:left="0" w:right="1134"/>
        <w:rPr>
          <w:rStyle w:val="default"/>
          <w:rFonts w:cs="FrankRuehl" w:hint="cs"/>
          <w:rtl/>
        </w:rPr>
      </w:pPr>
      <w:r>
        <w:rPr>
          <w:rStyle w:val="default"/>
          <w:rFonts w:cs="FrankRuehl" w:hint="cs"/>
          <w:rtl/>
        </w:rPr>
        <w:tab/>
        <w:t>"</w:t>
      </w:r>
      <w:r w:rsidR="00965482">
        <w:rPr>
          <w:rStyle w:val="default"/>
          <w:rFonts w:cs="FrankRuehl" w:hint="cs"/>
          <w:rtl/>
        </w:rPr>
        <w:t xml:space="preserve">ועדת השומה" </w:t>
      </w:r>
      <w:r w:rsidR="00965482">
        <w:rPr>
          <w:rStyle w:val="default"/>
          <w:rFonts w:cs="FrankRuehl"/>
          <w:rtl/>
        </w:rPr>
        <w:t>–</w:t>
      </w:r>
      <w:r w:rsidR="00965482">
        <w:rPr>
          <w:rStyle w:val="default"/>
          <w:rFonts w:cs="FrankRuehl" w:hint="cs"/>
          <w:rtl/>
        </w:rPr>
        <w:t xml:space="preserve"> הוועדה שהוקמה לפי סעיף 9;</w:t>
      </w:r>
    </w:p>
    <w:p w14:paraId="0449E2E7" w14:textId="77777777" w:rsidR="00965482" w:rsidRDefault="00965482" w:rsidP="007D4B3A">
      <w:pPr>
        <w:pStyle w:val="P00"/>
        <w:spacing w:before="72"/>
        <w:ind w:left="0" w:right="1134"/>
        <w:rPr>
          <w:rStyle w:val="default"/>
          <w:rFonts w:cs="FrankRuehl" w:hint="cs"/>
          <w:rtl/>
        </w:rPr>
      </w:pPr>
      <w:r>
        <w:rPr>
          <w:rStyle w:val="default"/>
          <w:rFonts w:cs="FrankRuehl" w:hint="cs"/>
          <w:rtl/>
        </w:rPr>
        <w:tab/>
        <w:t xml:space="preserve">"חוק הקרקעות הירדני" </w:t>
      </w:r>
      <w:r>
        <w:rPr>
          <w:rStyle w:val="default"/>
          <w:rFonts w:cs="FrankRuehl"/>
          <w:rtl/>
        </w:rPr>
        <w:t>–</w:t>
      </w:r>
      <w:r>
        <w:rPr>
          <w:rStyle w:val="default"/>
          <w:rFonts w:cs="FrankRuehl" w:hint="cs"/>
          <w:rtl/>
        </w:rPr>
        <w:t xml:space="preserve"> חוק הקרקעות (רכישה לצורכי ציבור), מס' 2 לשנת 1953, כפי שתוקן בצו בדבר חוק הקרקעות (רכישה לצורכי ציבור) (צו מס' 321) (יהודה והשומרון), התשכ"ט-1969;</w:t>
      </w:r>
    </w:p>
    <w:p w14:paraId="219265A0" w14:textId="77777777" w:rsidR="00965482" w:rsidRDefault="00965482" w:rsidP="007D4B3A">
      <w:pPr>
        <w:pStyle w:val="P00"/>
        <w:spacing w:before="72"/>
        <w:ind w:left="0" w:right="1134"/>
        <w:rPr>
          <w:rStyle w:val="default"/>
          <w:rFonts w:cs="FrankRuehl" w:hint="cs"/>
          <w:rtl/>
        </w:rPr>
      </w:pPr>
      <w:r>
        <w:rPr>
          <w:rStyle w:val="default"/>
          <w:rFonts w:cs="FrankRuehl" w:hint="cs"/>
          <w:rtl/>
        </w:rPr>
        <w:tab/>
        <w:t xml:space="preserve">"המדינה" </w:t>
      </w:r>
      <w:r>
        <w:rPr>
          <w:rStyle w:val="default"/>
          <w:rFonts w:cs="FrankRuehl"/>
          <w:rtl/>
        </w:rPr>
        <w:t>–</w:t>
      </w:r>
      <w:r>
        <w:rPr>
          <w:rStyle w:val="default"/>
          <w:rFonts w:cs="FrankRuehl" w:hint="cs"/>
          <w:rtl/>
        </w:rPr>
        <w:t xml:space="preserve"> ממשלת ישראל או משרד ממשרדי הממשלה, רשויות האזור, רשות מקומית או מועצה אזורית בישראל או באזור ומוסד מיישב;</w:t>
      </w:r>
    </w:p>
    <w:p w14:paraId="08517D53" w14:textId="77777777" w:rsidR="00965482" w:rsidRDefault="00965482" w:rsidP="007D4B3A">
      <w:pPr>
        <w:pStyle w:val="P00"/>
        <w:spacing w:before="72"/>
        <w:ind w:left="0" w:right="1134"/>
        <w:rPr>
          <w:rStyle w:val="default"/>
          <w:rFonts w:cs="FrankRuehl" w:hint="cs"/>
          <w:rtl/>
        </w:rPr>
      </w:pPr>
      <w:r>
        <w:rPr>
          <w:rStyle w:val="default"/>
          <w:rFonts w:cs="FrankRuehl" w:hint="cs"/>
          <w:rtl/>
        </w:rPr>
        <w:tab/>
        <w:t xml:space="preserve">"מוסד מיישב" </w:t>
      </w:r>
      <w:r>
        <w:rPr>
          <w:rStyle w:val="default"/>
          <w:rFonts w:cs="FrankRuehl"/>
          <w:rtl/>
        </w:rPr>
        <w:t>–</w:t>
      </w:r>
      <w:r>
        <w:rPr>
          <w:rStyle w:val="default"/>
          <w:rFonts w:cs="FrankRuehl" w:hint="cs"/>
          <w:rtl/>
        </w:rPr>
        <w:t xml:space="preserve"> כהגדרתו בחוק המועמדים להתיישבות חקלאית, התשי"ג-1953;</w:t>
      </w:r>
    </w:p>
    <w:p w14:paraId="39419698" w14:textId="77777777" w:rsidR="00965482" w:rsidRDefault="00965482" w:rsidP="007D4B3A">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הממונה על הרכוש הממשלתי באזור יהודה והשומרון לפי הצו בדבר רכוש ממשלתי;</w:t>
      </w:r>
    </w:p>
    <w:p w14:paraId="243B1CF6" w14:textId="77777777" w:rsidR="00965482" w:rsidRDefault="00965482" w:rsidP="007D4B3A">
      <w:pPr>
        <w:pStyle w:val="P00"/>
        <w:spacing w:before="72"/>
        <w:ind w:left="0" w:right="1134"/>
        <w:rPr>
          <w:rStyle w:val="default"/>
          <w:rFonts w:cs="FrankRuehl" w:hint="cs"/>
          <w:rtl/>
        </w:rPr>
      </w:pPr>
      <w:r>
        <w:rPr>
          <w:rStyle w:val="default"/>
          <w:rFonts w:cs="FrankRuehl" w:hint="cs"/>
          <w:rtl/>
        </w:rPr>
        <w:tab/>
        <w:t xml:space="preserve">"מקרקעין הטעונים הסדרה" </w:t>
      </w:r>
      <w:r>
        <w:rPr>
          <w:rStyle w:val="default"/>
          <w:rFonts w:cs="FrankRuehl"/>
          <w:rtl/>
        </w:rPr>
        <w:t>–</w:t>
      </w:r>
      <w:r>
        <w:rPr>
          <w:rStyle w:val="default"/>
          <w:rFonts w:cs="FrankRuehl" w:hint="cs"/>
          <w:rtl/>
        </w:rPr>
        <w:t xml:space="preserve"> מקרקעין באזור שזכויות השימוש וההחזקה בהם או בחלקם אינן נתונות לרשויות האזור או לממונה;</w:t>
      </w:r>
    </w:p>
    <w:p w14:paraId="0AD2D7BF" w14:textId="77777777" w:rsidR="00965482" w:rsidRDefault="00965482" w:rsidP="007D4B3A">
      <w:pPr>
        <w:pStyle w:val="P00"/>
        <w:spacing w:before="72"/>
        <w:ind w:left="0" w:right="1134"/>
        <w:rPr>
          <w:rStyle w:val="default"/>
          <w:rFonts w:cs="FrankRuehl" w:hint="cs"/>
          <w:rtl/>
        </w:rPr>
      </w:pPr>
      <w:r>
        <w:rPr>
          <w:rStyle w:val="default"/>
          <w:rFonts w:cs="FrankRuehl" w:hint="cs"/>
          <w:rtl/>
        </w:rPr>
        <w:tab/>
        <w:t xml:space="preserve">"צו בדבר רכוש ממשלתי" </w:t>
      </w:r>
      <w:r>
        <w:rPr>
          <w:rStyle w:val="default"/>
          <w:rFonts w:cs="FrankRuehl"/>
          <w:rtl/>
        </w:rPr>
        <w:t>–</w:t>
      </w:r>
      <w:r>
        <w:rPr>
          <w:rStyle w:val="default"/>
          <w:rFonts w:cs="FrankRuehl" w:hint="cs"/>
          <w:rtl/>
        </w:rPr>
        <w:t xml:space="preserve"> צו בדבר רכוש ממשלתי (יהודה והשומרון) (מס' 59), התשכ"ז-1967;</w:t>
      </w:r>
    </w:p>
    <w:p w14:paraId="55AB6DB6" w14:textId="77777777" w:rsidR="00965482" w:rsidRDefault="00965482" w:rsidP="007D4B3A">
      <w:pPr>
        <w:pStyle w:val="P00"/>
        <w:spacing w:before="72"/>
        <w:ind w:left="0" w:right="1134"/>
        <w:rPr>
          <w:rStyle w:val="default"/>
          <w:rFonts w:cs="FrankRuehl" w:hint="cs"/>
          <w:rtl/>
        </w:rPr>
      </w:pPr>
      <w:r>
        <w:rPr>
          <w:rStyle w:val="default"/>
          <w:rFonts w:cs="FrankRuehl" w:hint="cs"/>
          <w:rtl/>
        </w:rPr>
        <w:tab/>
        <w:t xml:space="preserve">"רשויות האזור" </w:t>
      </w:r>
      <w:r>
        <w:rPr>
          <w:rStyle w:val="default"/>
          <w:rFonts w:cs="FrankRuehl"/>
          <w:rtl/>
        </w:rPr>
        <w:t>–</w:t>
      </w:r>
      <w:r>
        <w:rPr>
          <w:rStyle w:val="default"/>
          <w:rFonts w:cs="FrankRuehl" w:hint="cs"/>
          <w:rtl/>
        </w:rPr>
        <w:t xml:space="preserve"> מי שנטל את כל הסמכויות השלטוניות לפי סעיף 3 למנשר בדבר סדרי שלטון ומשפט (יהודה והשומרון) (מס' 2), התשכ"ז-1967, או לפי הוראת חוקית אחרת שתבוא במקומו.</w:t>
      </w:r>
    </w:p>
    <w:p w14:paraId="2C9CC938" w14:textId="77777777" w:rsidR="001769C6" w:rsidRDefault="001769C6" w:rsidP="00965482">
      <w:pPr>
        <w:pStyle w:val="P00"/>
        <w:spacing w:before="72"/>
        <w:ind w:left="0" w:right="1134"/>
        <w:rPr>
          <w:rStyle w:val="default"/>
          <w:rFonts w:cs="FrankRuehl" w:hint="cs"/>
          <w:rtl/>
        </w:rPr>
      </w:pPr>
      <w:bookmarkStart w:id="2" w:name="Seif3"/>
      <w:bookmarkEnd w:id="2"/>
      <w:r>
        <w:rPr>
          <w:rFonts w:cs="Miriam"/>
          <w:lang w:val="he-IL"/>
        </w:rPr>
        <w:pict w14:anchorId="035704B9">
          <v:rect id="_x0000_s1036" style="position:absolute;left:0;text-align:left;margin-left:464.35pt;margin-top:7.1pt;width:75.05pt;height:45.65pt;z-index:251654656" o:allowincell="f" filled="f" stroked="f" strokecolor="lime" strokeweight=".25pt">
            <v:textbox style="mso-next-textbox:#_x0000_s1036" inset="1mm,0,1mm,0">
              <w:txbxContent>
                <w:p w14:paraId="1D4C6E96" w14:textId="77777777" w:rsidR="0044742B" w:rsidRDefault="00965482">
                  <w:pPr>
                    <w:spacing w:line="160" w:lineRule="exact"/>
                    <w:rPr>
                      <w:rFonts w:cs="Miriam" w:hint="cs"/>
                      <w:noProof/>
                      <w:sz w:val="18"/>
                      <w:szCs w:val="18"/>
                      <w:rtl/>
                    </w:rPr>
                  </w:pPr>
                  <w:r>
                    <w:rPr>
                      <w:rFonts w:cs="Miriam" w:hint="cs"/>
                      <w:sz w:val="18"/>
                      <w:szCs w:val="18"/>
                      <w:rtl/>
                    </w:rPr>
                    <w:t>רישומם של מקרקעין הטעונים הסדרה או נטילת זכויות השימוש וההחזקה בהם</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965482">
        <w:rPr>
          <w:rStyle w:val="default"/>
          <w:rFonts w:cs="FrankRuehl" w:hint="cs"/>
          <w:rtl/>
        </w:rPr>
        <w:t>מצאו רשויות האזור כי בתקופה שקדמה ליום פרסומו של חוק זה נבנתה בתום לב התיישבות במקרקעין הטעונים הסדרה או ניתנה הסכמת המדינה לבנייתה, יחולו לגבי כל המקרקעין שעליהם נבנתה אותה התיישבות ערב יום פרסומו של חוק זה ההוראות האלה:</w:t>
      </w:r>
    </w:p>
    <w:p w14:paraId="15E0249D" w14:textId="77777777" w:rsidR="00965482" w:rsidRDefault="00965482" w:rsidP="009654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מקרקעין שאין בהם בעל זכויות במקרקעין </w:t>
      </w:r>
      <w:r>
        <w:rPr>
          <w:rStyle w:val="default"/>
          <w:rFonts w:cs="FrankRuehl"/>
          <w:rtl/>
        </w:rPr>
        <w:t>–</w:t>
      </w:r>
      <w:r>
        <w:rPr>
          <w:rStyle w:val="default"/>
          <w:rFonts w:cs="FrankRuehl" w:hint="cs"/>
          <w:rtl/>
        </w:rPr>
        <w:t xml:space="preserve"> הממונה ירשום אותם כרכוש ממשלתי, לפי סעיף 2ג לצו בדבר רכוש ממשלתי;</w:t>
      </w:r>
    </w:p>
    <w:p w14:paraId="52E96883" w14:textId="77777777" w:rsidR="00965482" w:rsidRDefault="00965482" w:rsidP="00965482">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 xml:space="preserve">מקרקעין שיש בהם בעל זכויות במקרקעין </w:t>
      </w:r>
      <w:r>
        <w:rPr>
          <w:rStyle w:val="default"/>
          <w:rFonts w:cs="FrankRuehl"/>
          <w:rtl/>
        </w:rPr>
        <w:t>–</w:t>
      </w:r>
      <w:r>
        <w:rPr>
          <w:rStyle w:val="default"/>
          <w:rFonts w:cs="FrankRuehl" w:hint="cs"/>
          <w:rtl/>
        </w:rPr>
        <w:t xml:space="preserve"> רשויות האזור ייטלו את זכויות השימוש וההחזקה במקרקעין ויעבירו אותן לממונה, אם מצאו כי הסכום שהושקע בבניית ההתיישבות עלה, בשעת הבנייה, על שוויים של המקרקעין בלי ההתיישבות </w:t>
      </w:r>
      <w:r>
        <w:rPr>
          <w:rStyle w:val="default"/>
          <w:rFonts w:cs="FrankRuehl" w:hint="cs"/>
          <w:rtl/>
        </w:rPr>
        <w:lastRenderedPageBreak/>
        <w:t>באותה שעה;</w:t>
      </w:r>
    </w:p>
    <w:p w14:paraId="5F5B3C62" w14:textId="77777777" w:rsidR="00965482" w:rsidRDefault="00965482" w:rsidP="0096548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נטילת זכויות השימוש וההחזקה כאמור בפסקה זו, תיעשה, ככל האפשר, בהתאם להוראות חוק הקרקעות הירדני, ככל שהן אינן סותרות את הוראות חוק זה, והיא תעמוד בתוקפה עד להכרעה מדינית בדבר מעמדו של האזור וההתיישבות בו.</w:t>
      </w:r>
    </w:p>
    <w:p w14:paraId="4A2870CA" w14:textId="77777777" w:rsidR="001769C6" w:rsidRDefault="001769C6" w:rsidP="00965482">
      <w:pPr>
        <w:pStyle w:val="P00"/>
        <w:spacing w:before="72"/>
        <w:ind w:left="0" w:right="1134"/>
        <w:rPr>
          <w:rStyle w:val="default"/>
          <w:rFonts w:cs="FrankRuehl" w:hint="cs"/>
          <w:rtl/>
        </w:rPr>
      </w:pPr>
      <w:bookmarkStart w:id="3" w:name="Seif4"/>
      <w:bookmarkEnd w:id="3"/>
      <w:r>
        <w:rPr>
          <w:rFonts w:cs="Miriam"/>
          <w:szCs w:val="32"/>
          <w:rtl/>
          <w:lang w:val="he-IL"/>
        </w:rPr>
        <w:pict w14:anchorId="3C5CE6C1">
          <v:shapetype id="_x0000_t202" coordsize="21600,21600" o:spt="202" path="m,l,21600r21600,l21600,xe">
            <v:stroke joinstyle="miter"/>
            <v:path gradientshapeok="t" o:connecttype="rect"/>
          </v:shapetype>
          <v:shape id="_x0000_s1054" type="#_x0000_t202" style="position:absolute;left:0;text-align:left;margin-left:462.6pt;margin-top:7.1pt;width:81.9pt;height:37.3pt;z-index:251655680" filled="f" stroked="f">
            <v:textbox inset="1mm,0,1mm,0">
              <w:txbxContent>
                <w:p w14:paraId="2F4D195D" w14:textId="77777777" w:rsidR="0044742B" w:rsidRDefault="00965482">
                  <w:pPr>
                    <w:pStyle w:val="a7"/>
                    <w:rPr>
                      <w:rFonts w:hint="cs"/>
                      <w:rtl/>
                    </w:rPr>
                  </w:pPr>
                  <w:r>
                    <w:rPr>
                      <w:rFonts w:hint="cs"/>
                      <w:rtl/>
                    </w:rPr>
                    <w:t>מועד לרישום המקרקעין או לנטילת זכויות השימוש וההחזקה בהם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w:t>
      </w:r>
      <w:r>
        <w:rPr>
          <w:rStyle w:val="default"/>
          <w:rFonts w:cs="FrankRuehl"/>
          <w:rtl/>
        </w:rPr>
        <w:t>א)</w:t>
      </w:r>
      <w:r>
        <w:rPr>
          <w:rStyle w:val="default"/>
          <w:rFonts w:cs="FrankRuehl" w:hint="cs"/>
          <w:rtl/>
        </w:rPr>
        <w:tab/>
      </w:r>
      <w:r w:rsidR="00965482">
        <w:rPr>
          <w:rStyle w:val="default"/>
          <w:rFonts w:cs="FrankRuehl" w:hint="cs"/>
          <w:rtl/>
        </w:rPr>
        <w:t>הממונה ירשום את המקרקעין כרכוש ממשלתי בהתאם לסעיף 3(1) בתוך 12 חודשים מיום פרסומו של חוק זה</w:t>
      </w:r>
      <w:r>
        <w:rPr>
          <w:rStyle w:val="default"/>
          <w:rFonts w:cs="FrankRuehl"/>
          <w:rtl/>
        </w:rPr>
        <w:t>.</w:t>
      </w:r>
    </w:p>
    <w:p w14:paraId="0C7BD286" w14:textId="77777777" w:rsidR="00965482" w:rsidRDefault="00965482" w:rsidP="009654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רשויות האזור ייטלו את זכויות השימוש וההחזקה במקרקעין בהתאם לסעיף 3(2) בתוך שישה חודשים מיום פרסומו של חוק זה.</w:t>
      </w:r>
    </w:p>
    <w:p w14:paraId="054809B1" w14:textId="77777777" w:rsidR="001769C6" w:rsidRDefault="001769C6" w:rsidP="00965482">
      <w:pPr>
        <w:pStyle w:val="P00"/>
        <w:spacing w:before="72"/>
        <w:ind w:left="0" w:right="1134"/>
        <w:rPr>
          <w:rStyle w:val="default"/>
          <w:rFonts w:cs="FrankRuehl" w:hint="cs"/>
          <w:rtl/>
        </w:rPr>
      </w:pPr>
      <w:bookmarkStart w:id="4" w:name="Seif5"/>
      <w:bookmarkEnd w:id="4"/>
      <w:r>
        <w:rPr>
          <w:rFonts w:cs="Miriam"/>
          <w:szCs w:val="32"/>
          <w:rtl/>
          <w:lang w:val="he-IL"/>
        </w:rPr>
        <w:pict w14:anchorId="530D40C5">
          <v:shape id="_x0000_s1055" type="#_x0000_t202" style="position:absolute;left:0;text-align:left;margin-left:463.5pt;margin-top:7.1pt;width:81pt;height:17.1pt;z-index:251656704" filled="f" stroked="f">
            <v:textbox inset="1mm,0,1mm,0">
              <w:txbxContent>
                <w:p w14:paraId="20A2B51B" w14:textId="77777777" w:rsidR="0044742B" w:rsidRDefault="00965482">
                  <w:pPr>
                    <w:spacing w:line="160" w:lineRule="exact"/>
                    <w:rPr>
                      <w:rFonts w:cs="Miriam" w:hint="cs"/>
                      <w:sz w:val="18"/>
                      <w:szCs w:val="18"/>
                      <w:rtl/>
                    </w:rPr>
                  </w:pPr>
                  <w:r>
                    <w:rPr>
                      <w:rFonts w:cs="Miriam" w:hint="cs"/>
                      <w:sz w:val="18"/>
                      <w:szCs w:val="18"/>
                      <w:rtl/>
                    </w:rPr>
                    <w:t>הקצאת זכויות במקרקעין</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sidR="00965482">
        <w:rPr>
          <w:rStyle w:val="default"/>
          <w:rFonts w:cs="FrankRuehl" w:hint="cs"/>
          <w:rtl/>
        </w:rPr>
        <w:t>בתוך 60 ימים מיום הרישום או נטילת הזכויות כאמור בסעיף 4, לפי העניין, יקצה הממונה את זכויות השימוש וההחזקה במקרקעין שנרשמו או שניטלו בהם הזכויות כאמור, לצורכי ההתיישבות שנבנתה על אותם מקרקעין, באמצעות מוסד מיישב</w:t>
      </w:r>
      <w:r>
        <w:rPr>
          <w:rStyle w:val="default"/>
          <w:rFonts w:cs="FrankRuehl"/>
          <w:rtl/>
        </w:rPr>
        <w:t>.</w:t>
      </w:r>
    </w:p>
    <w:p w14:paraId="37A888D1" w14:textId="77777777" w:rsidR="001769C6" w:rsidRDefault="001769C6" w:rsidP="001649F3">
      <w:pPr>
        <w:pStyle w:val="P00"/>
        <w:spacing w:before="72"/>
        <w:ind w:left="0" w:right="1134"/>
        <w:rPr>
          <w:rStyle w:val="default"/>
          <w:rFonts w:cs="FrankRuehl" w:hint="cs"/>
          <w:rtl/>
        </w:rPr>
      </w:pPr>
      <w:bookmarkStart w:id="5" w:name="Seif6"/>
      <w:bookmarkEnd w:id="5"/>
      <w:r>
        <w:rPr>
          <w:rFonts w:cs="Miriam"/>
          <w:szCs w:val="32"/>
          <w:rtl/>
          <w:lang w:val="he-IL"/>
        </w:rPr>
        <w:pict w14:anchorId="3E7AAA6C">
          <v:shape id="_x0000_s1061" type="#_x0000_t202" style="position:absolute;left:0;text-align:left;margin-left:463.5pt;margin-top:7.1pt;width:81pt;height:9.85pt;z-index:251657728" filled="f" stroked="f">
            <v:textbox inset="1mm,0,1mm,0">
              <w:txbxContent>
                <w:p w14:paraId="38B70D5F" w14:textId="77777777" w:rsidR="0044742B" w:rsidRDefault="001649F3">
                  <w:pPr>
                    <w:spacing w:line="160" w:lineRule="exact"/>
                    <w:rPr>
                      <w:rFonts w:cs="Miriam" w:hint="cs"/>
                      <w:sz w:val="18"/>
                      <w:szCs w:val="18"/>
                      <w:rtl/>
                    </w:rPr>
                  </w:pPr>
                  <w:r>
                    <w:rPr>
                      <w:rFonts w:cs="Miriam" w:hint="cs"/>
                      <w:sz w:val="18"/>
                      <w:szCs w:val="18"/>
                      <w:rtl/>
                    </w:rPr>
                    <w:t>השלמת הליכי תכנון</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1649F3">
        <w:rPr>
          <w:rStyle w:val="default"/>
          <w:rFonts w:cs="FrankRuehl" w:hint="cs"/>
          <w:rtl/>
        </w:rPr>
        <w:t>המדינה תפעל להשלמת הליכי התכנון במקרקעין שנרשמו או שניטלו בהם הזכויות לפי סעיף 3, מהר ככל האפשר</w:t>
      </w:r>
      <w:r>
        <w:rPr>
          <w:rStyle w:val="default"/>
          <w:rFonts w:cs="FrankRuehl"/>
          <w:rtl/>
        </w:rPr>
        <w:t>.</w:t>
      </w:r>
    </w:p>
    <w:p w14:paraId="579598A2" w14:textId="77777777" w:rsidR="001649F3" w:rsidRDefault="001649F3" w:rsidP="001649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הליכי התכנון במקרקעין כאמור בסעיף קטן (א), ייעשו, ככל האפשר, בשים לב לצורך בהסדרת הבנייה הקיימת.</w:t>
      </w:r>
    </w:p>
    <w:p w14:paraId="210D6F79" w14:textId="77777777" w:rsidR="001769C6" w:rsidRDefault="001769C6" w:rsidP="001649F3">
      <w:pPr>
        <w:pStyle w:val="P00"/>
        <w:spacing w:before="72"/>
        <w:ind w:left="0" w:right="1134"/>
        <w:rPr>
          <w:rStyle w:val="default"/>
          <w:rFonts w:cs="FrankRuehl" w:hint="cs"/>
          <w:rtl/>
        </w:rPr>
      </w:pPr>
      <w:bookmarkStart w:id="6" w:name="Seif7"/>
      <w:bookmarkEnd w:id="6"/>
      <w:r>
        <w:rPr>
          <w:rFonts w:cs="Miriam"/>
          <w:szCs w:val="32"/>
          <w:rtl/>
          <w:lang w:val="he-IL"/>
        </w:rPr>
        <w:pict w14:anchorId="02E8B772">
          <v:shape id="_x0000_s1062" type="#_x0000_t202" style="position:absolute;left:0;text-align:left;margin-left:467.1pt;margin-top:7.1pt;width:77.4pt;height:19.35pt;z-index:251658752" filled="f" stroked="f">
            <v:textbox inset="1mm,0,1mm,0">
              <w:txbxContent>
                <w:p w14:paraId="56C435AC" w14:textId="77777777" w:rsidR="0044742B" w:rsidRDefault="001649F3">
                  <w:pPr>
                    <w:spacing w:line="160" w:lineRule="exact"/>
                    <w:rPr>
                      <w:rFonts w:cs="Miriam" w:hint="cs"/>
                      <w:sz w:val="18"/>
                      <w:szCs w:val="18"/>
                      <w:rtl/>
                    </w:rPr>
                  </w:pPr>
                  <w:r>
                    <w:rPr>
                      <w:rFonts w:cs="Miriam" w:hint="cs"/>
                      <w:sz w:val="18"/>
                      <w:szCs w:val="18"/>
                      <w:rtl/>
                    </w:rPr>
                    <w:t>התליית הליכים ופקיעתם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sidR="001649F3">
        <w:rPr>
          <w:rStyle w:val="default"/>
          <w:rFonts w:cs="FrankRuehl" w:hint="cs"/>
          <w:rtl/>
        </w:rPr>
        <w:t>(א)</w:t>
      </w:r>
      <w:r w:rsidR="001649F3">
        <w:rPr>
          <w:rStyle w:val="default"/>
          <w:rFonts w:cs="FrankRuehl" w:hint="cs"/>
          <w:rtl/>
        </w:rPr>
        <w:tab/>
        <w:t>מצאו רשויות האזור כי מתקיימים בהתיישבות התנאים שברישה של סעיף 3, יותלו כל הליכי האכיפה והצווים המינהליים, הקיימים בעניין אותה התיישבות, עד להשלמת הליכי התכנון לפי סעיף 6, למעט הליכים וצווים כאמור שניתנו צווים שיפוטיים או פסקי דין בדבר מימושם</w:t>
      </w:r>
      <w:r>
        <w:rPr>
          <w:rStyle w:val="default"/>
          <w:rFonts w:cs="FrankRuehl"/>
          <w:rtl/>
        </w:rPr>
        <w:t>.</w:t>
      </w:r>
    </w:p>
    <w:p w14:paraId="1B7A28A9" w14:textId="77777777" w:rsidR="001649F3" w:rsidRDefault="001649F3" w:rsidP="001649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A6198">
        <w:rPr>
          <w:rStyle w:val="default"/>
          <w:rFonts w:cs="FrankRuehl" w:hint="cs"/>
          <w:rtl/>
        </w:rPr>
        <w:t>הושלמו הליכי התכנון לפי סעיף 6, יפקעו כל הליכי האכיפה והצווים המינהליים שהותלו לפי סעיף קטן (א).</w:t>
      </w:r>
    </w:p>
    <w:p w14:paraId="38769B9C" w14:textId="77777777" w:rsidR="00BA6198" w:rsidRDefault="00BA6198" w:rsidP="001649F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מבנה שהריסתו הכרחית כדי למנוע סכנה לחיי אדם.</w:t>
      </w:r>
    </w:p>
    <w:p w14:paraId="393C7CB3" w14:textId="77777777" w:rsidR="001769C6" w:rsidRDefault="001769C6" w:rsidP="00BA6198">
      <w:pPr>
        <w:pStyle w:val="P00"/>
        <w:spacing w:before="72"/>
        <w:ind w:left="0" w:right="1134"/>
        <w:rPr>
          <w:rStyle w:val="default"/>
          <w:rFonts w:cs="FrankRuehl" w:hint="cs"/>
          <w:rtl/>
        </w:rPr>
      </w:pPr>
      <w:bookmarkStart w:id="7" w:name="Seif8"/>
      <w:bookmarkEnd w:id="7"/>
      <w:r>
        <w:rPr>
          <w:rFonts w:cs="Miriam"/>
          <w:szCs w:val="32"/>
          <w:rtl/>
          <w:lang w:val="he-IL"/>
        </w:rPr>
        <w:pict w14:anchorId="34D24B75">
          <v:shape id="_x0000_s1066" type="#_x0000_t202" style="position:absolute;left:0;text-align:left;margin-left:471.6pt;margin-top:7.1pt;width:72.9pt;height:11.1pt;z-index:251659776" filled="f" stroked="f">
            <v:textbox inset="1mm,0,1mm,0">
              <w:txbxContent>
                <w:p w14:paraId="39386886" w14:textId="77777777" w:rsidR="0044742B" w:rsidRDefault="00BA6198">
                  <w:pPr>
                    <w:spacing w:line="160" w:lineRule="exact"/>
                    <w:rPr>
                      <w:rFonts w:cs="Miriam" w:hint="cs"/>
                      <w:sz w:val="18"/>
                      <w:szCs w:val="18"/>
                      <w:rtl/>
                    </w:rPr>
                  </w:pPr>
                  <w:r>
                    <w:rPr>
                      <w:rFonts w:cs="Miriam" w:hint="cs"/>
                      <w:sz w:val="18"/>
                      <w:szCs w:val="18"/>
                      <w:rtl/>
                    </w:rPr>
                    <w:t>פיצוי</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r>
      <w:r w:rsidR="00BA6198">
        <w:rPr>
          <w:rStyle w:val="default"/>
          <w:rFonts w:cs="FrankRuehl" w:hint="cs"/>
          <w:rtl/>
        </w:rPr>
        <w:t>(א)</w:t>
      </w:r>
      <w:r w:rsidR="00BA6198">
        <w:rPr>
          <w:rStyle w:val="default"/>
          <w:rFonts w:cs="FrankRuehl" w:hint="cs"/>
          <w:rtl/>
        </w:rPr>
        <w:tab/>
        <w:t xml:space="preserve">נטלו רשויות האזור את זכויות השימוש וההחזקה במקרקעין בהתאם להוראות סעיף 3(2), יהיה זכאי בעל הזכויות במקרקעין לדמי שימוש שנתיים בשיעור של 125% מערכם הראוי של דמי השימוש כפי שתקבע ועדת השומה לפי סעיף 9(ג) (להלן </w:t>
      </w:r>
      <w:r w:rsidR="00BA6198">
        <w:rPr>
          <w:rStyle w:val="default"/>
          <w:rFonts w:cs="FrankRuehl"/>
          <w:rtl/>
        </w:rPr>
        <w:t>–</w:t>
      </w:r>
      <w:r w:rsidR="00BA6198">
        <w:rPr>
          <w:rStyle w:val="default"/>
          <w:rFonts w:cs="FrankRuehl" w:hint="cs"/>
          <w:rtl/>
        </w:rPr>
        <w:t xml:space="preserve"> ערכם הראוי), לדמי שימוש מהוונים לתקופות של 20 שנה כל פעם בשיעור של 125% מערכם הראוי, או לקרקע חלופית ככל שהדבר אפשרי בנסיבות העניין, לפי בחירתו</w:t>
      </w:r>
      <w:r>
        <w:rPr>
          <w:rStyle w:val="default"/>
          <w:rFonts w:cs="FrankRuehl"/>
          <w:rtl/>
        </w:rPr>
        <w:t>.</w:t>
      </w:r>
    </w:p>
    <w:p w14:paraId="6088AE60" w14:textId="77777777" w:rsidR="00BA6198" w:rsidRDefault="00BA6198" w:rsidP="00BA61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בחר בעל זכויות במקרקעין באחת מחלופות הפיצוי לפי סעיף קטן (א) עד למועד הקצאת הזכויות במקרקעין לפי סעיף 5, יהיה הוא זכאי לדמי שימוש שנתיים בשיעור של 125% מערכם הראוי.</w:t>
      </w:r>
    </w:p>
    <w:p w14:paraId="7696806C" w14:textId="77777777" w:rsidR="00BA6198" w:rsidRDefault="00BA6198" w:rsidP="00BA61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תשלום הפיצוי לפי סעיף זה ייעשה בתוך 3 חודשים מיום קביעת ערכם הראוי של דמי השימוש לפי סעיף 9(ג)(2).</w:t>
      </w:r>
    </w:p>
    <w:p w14:paraId="06C9B07D" w14:textId="77777777" w:rsidR="00BA6198" w:rsidRDefault="00BA6198" w:rsidP="00BA619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נודע לממונה כי במקרקעין שרשם כרכוש ממשלתי לפי סעיף 3(1) יש בעל זכויות במקרקעין, יחולו הוראות סעיף 3(2) ובעל הזכויות במקרקעין יהיה זכאי לפיצוי לפי הוראות סעיף זה.</w:t>
      </w:r>
    </w:p>
    <w:p w14:paraId="02846BA1" w14:textId="77777777" w:rsidR="00BA6198" w:rsidRDefault="00BA6198" w:rsidP="00BA619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וסעיפים 9 ו-10, כדי לעכב את ההליכים לפי סעיפים 3 עד 6.</w:t>
      </w:r>
    </w:p>
    <w:p w14:paraId="2D21A627" w14:textId="77777777" w:rsidR="001769C6" w:rsidRDefault="001769C6" w:rsidP="00BA6198">
      <w:pPr>
        <w:pStyle w:val="P00"/>
        <w:spacing w:before="72"/>
        <w:ind w:left="0" w:right="1134"/>
        <w:rPr>
          <w:rStyle w:val="default"/>
          <w:rFonts w:cs="FrankRuehl" w:hint="cs"/>
          <w:rtl/>
        </w:rPr>
      </w:pPr>
      <w:bookmarkStart w:id="8" w:name="Seif9"/>
      <w:bookmarkEnd w:id="8"/>
      <w:r>
        <w:rPr>
          <w:rFonts w:cs="Miriam"/>
          <w:szCs w:val="32"/>
          <w:rtl/>
          <w:lang w:val="he-IL"/>
        </w:rPr>
        <w:pict w14:anchorId="02A5A672">
          <v:shape id="_x0000_s1067" type="#_x0000_t202" style="position:absolute;left:0;text-align:left;margin-left:467.1pt;margin-top:7.1pt;width:77.4pt;height:11.5pt;z-index:251660800" filled="f" stroked="f">
            <v:textbox inset="1mm,0,1mm,0">
              <w:txbxContent>
                <w:p w14:paraId="03BEFB05" w14:textId="77777777" w:rsidR="0044742B" w:rsidRDefault="00BA6198">
                  <w:pPr>
                    <w:spacing w:line="160" w:lineRule="exact"/>
                    <w:rPr>
                      <w:rFonts w:cs="Miriam" w:hint="cs"/>
                      <w:sz w:val="18"/>
                      <w:szCs w:val="18"/>
                      <w:rtl/>
                    </w:rPr>
                  </w:pPr>
                  <w:r>
                    <w:rPr>
                      <w:rFonts w:cs="Miriam" w:hint="cs"/>
                      <w:sz w:val="18"/>
                      <w:szCs w:val="18"/>
                      <w:rtl/>
                    </w:rPr>
                    <w:t>ועדת השומה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BA6198">
        <w:rPr>
          <w:rStyle w:val="default"/>
          <w:rFonts w:cs="FrankRuehl" w:hint="cs"/>
          <w:rtl/>
        </w:rPr>
        <w:t>שר המשפטים, בהתייעצות עם שר הביטחון, יקים ועדת שומה לצורך יישום הוראות חוק זה, ואלה חבריה:</w:t>
      </w:r>
    </w:p>
    <w:p w14:paraId="7EEFF584" w14:textId="77777777" w:rsidR="00BA6198" w:rsidRDefault="00BA6198" w:rsidP="00BA61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נציג שימנה שר המשפטים מבין עובדי משרדו </w:t>
      </w:r>
      <w:r>
        <w:rPr>
          <w:rStyle w:val="default"/>
          <w:rFonts w:cs="FrankRuehl"/>
          <w:rtl/>
        </w:rPr>
        <w:t>–</w:t>
      </w:r>
      <w:r>
        <w:rPr>
          <w:rStyle w:val="default"/>
          <w:rFonts w:cs="FrankRuehl" w:hint="cs"/>
          <w:rtl/>
        </w:rPr>
        <w:t xml:space="preserve"> והוא יהיה היושב ראש;</w:t>
      </w:r>
    </w:p>
    <w:p w14:paraId="56AAC782" w14:textId="77777777" w:rsidR="00BA6198" w:rsidRDefault="00BA6198" w:rsidP="00BA61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שימנה שר האוצר מבין עובדי משרדו;</w:t>
      </w:r>
    </w:p>
    <w:p w14:paraId="70B4981F" w14:textId="77777777" w:rsidR="00BA6198" w:rsidRDefault="00BA6198" w:rsidP="00BA619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של רשויות האזור שימנה שר הביטחון.</w:t>
      </w:r>
    </w:p>
    <w:p w14:paraId="5B3CCB8E" w14:textId="77777777" w:rsidR="00BA6198" w:rsidRDefault="00BA6198" w:rsidP="00BA61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יקבע את סדרי הדיון בוועדת השומה.</w:t>
      </w:r>
    </w:p>
    <w:p w14:paraId="4659EED0" w14:textId="77777777" w:rsidR="00BA6198" w:rsidRDefault="00BA6198" w:rsidP="003E3012">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3E3012">
        <w:rPr>
          <w:rStyle w:val="default"/>
          <w:rFonts w:cs="FrankRuehl" w:hint="cs"/>
          <w:rtl/>
        </w:rPr>
        <w:t xml:space="preserve">ועדת השומה תקבע את שיעור ערכם הראוי של דמי השימוש או את הקרקע החלופית שתוצע לבעל הזכויות במקרקעין, לפי העניין, לאחר ששמעה את טענותיו של בעל הזכויות במקרקעין </w:t>
      </w:r>
      <w:r w:rsidR="003E3012">
        <w:rPr>
          <w:rStyle w:val="default"/>
          <w:rFonts w:cs="FrankRuehl"/>
          <w:rtl/>
        </w:rPr>
        <w:t>–</w:t>
      </w:r>
      <w:r w:rsidR="003E3012">
        <w:rPr>
          <w:rStyle w:val="default"/>
          <w:rFonts w:cs="FrankRuehl" w:hint="cs"/>
          <w:rtl/>
        </w:rPr>
        <w:t xml:space="preserve"> אם טען, ושקלה את כלל נסיבות העניין;</w:t>
      </w:r>
    </w:p>
    <w:p w14:paraId="032B6E71" w14:textId="77777777" w:rsidR="003E3012" w:rsidRDefault="003E3012" w:rsidP="003E30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קביעת ועדת השומה לפי פסקה (1), תיעשה בתוך 3 חודשים מיום שסיימה לשמוע את טענותיו של בעל הזכויות במקרקעין או מהיום שבו היה על בעל המקרקעין לטעון את טענותיו בהתאם לסדרי הדיון שנקבעו לפי סעיף קטן (ב).</w:t>
      </w:r>
    </w:p>
    <w:p w14:paraId="3438A677" w14:textId="77777777" w:rsidR="001769C6" w:rsidRDefault="001769C6" w:rsidP="003E3012">
      <w:pPr>
        <w:pStyle w:val="P00"/>
        <w:spacing w:before="72"/>
        <w:ind w:left="0" w:right="1134"/>
        <w:rPr>
          <w:rStyle w:val="default"/>
          <w:rFonts w:cs="FrankRuehl" w:hint="cs"/>
          <w:rtl/>
        </w:rPr>
      </w:pPr>
      <w:bookmarkStart w:id="9" w:name="Seif10"/>
      <w:bookmarkEnd w:id="9"/>
      <w:r>
        <w:rPr>
          <w:rFonts w:cs="Miriam"/>
          <w:szCs w:val="32"/>
          <w:rtl/>
          <w:lang w:val="he-IL"/>
        </w:rPr>
        <w:pict w14:anchorId="27EF0CDA">
          <v:shape id="_x0000_s1068" type="#_x0000_t202" style="position:absolute;left:0;text-align:left;margin-left:463.5pt;margin-top:7.1pt;width:81pt;height:9.3pt;z-index:251661824" filled="f" stroked="f">
            <v:textbox inset="1mm,0,1mm,0">
              <w:txbxContent>
                <w:p w14:paraId="2088E8DD" w14:textId="77777777" w:rsidR="0044742B" w:rsidRDefault="003E3012">
                  <w:pPr>
                    <w:spacing w:line="160" w:lineRule="exact"/>
                    <w:rPr>
                      <w:rFonts w:cs="Miriam" w:hint="cs"/>
                      <w:sz w:val="18"/>
                      <w:szCs w:val="18"/>
                      <w:rtl/>
                    </w:rPr>
                  </w:pPr>
                  <w:r>
                    <w:rPr>
                      <w:rFonts w:cs="Miriam" w:hint="cs"/>
                      <w:sz w:val="18"/>
                      <w:szCs w:val="18"/>
                      <w:rtl/>
                    </w:rPr>
                    <w:t>ועדת השגות</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sidR="003E3012">
        <w:rPr>
          <w:rStyle w:val="default"/>
          <w:rFonts w:cs="FrankRuehl" w:hint="cs"/>
          <w:rtl/>
        </w:rPr>
        <w:t>שר המשפטים, בהתייעצות עם שר הביטחון, יקים ועדת השגות לצורך יישום הוראות חוק זה, ואלה חבריה:</w:t>
      </w:r>
    </w:p>
    <w:p w14:paraId="7C56ECA9" w14:textId="77777777" w:rsidR="003E3012" w:rsidRDefault="003E3012" w:rsidP="003E30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נציג של רשויות האזור הכשיר להיות שופט של בית משפט השלום, שימנה שר המשפטים, בהסכמת שר הביטחון </w:t>
      </w:r>
      <w:r>
        <w:rPr>
          <w:rStyle w:val="default"/>
          <w:rFonts w:cs="FrankRuehl"/>
          <w:rtl/>
        </w:rPr>
        <w:t>–</w:t>
      </w:r>
      <w:r>
        <w:rPr>
          <w:rStyle w:val="default"/>
          <w:rFonts w:cs="FrankRuehl" w:hint="cs"/>
          <w:rtl/>
        </w:rPr>
        <w:t xml:space="preserve"> והוא יהיה היושב ראש;</w:t>
      </w:r>
    </w:p>
    <w:p w14:paraId="2DC2008A" w14:textId="77777777" w:rsidR="003E3012" w:rsidRDefault="003E3012" w:rsidP="003E30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שימנה השמאי הממשלתי הראשי מבין עובדי משרדו;</w:t>
      </w:r>
    </w:p>
    <w:p w14:paraId="069B6C67" w14:textId="77777777" w:rsidR="003E3012" w:rsidRDefault="003E3012" w:rsidP="003E30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שמאי מקרקעין ששמו כלול ברשימת השמאים המכריעים לפי הוראות סעיף 202ג לחוק התכנון והבנייה, התשכ"ה-1965, שימנה יושב ראש מועצת שמאי המקרקעין.</w:t>
      </w:r>
    </w:p>
    <w:p w14:paraId="139A5CB9" w14:textId="77777777" w:rsidR="003E3012" w:rsidRDefault="003E3012" w:rsidP="003E30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זכויות במקרקעין שרואה את עצמו נפגע מהחלטת ועדת השומה לפי סעיף 9(ג)(1), רשאי להגיש השגה לוועדת ההשגות על ההחלטה.</w:t>
      </w:r>
    </w:p>
    <w:p w14:paraId="23E3EC9E" w14:textId="77777777" w:rsidR="003E3012" w:rsidRDefault="003E3012" w:rsidP="003E30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ועדת ההשגות יתקבלו ברוב דעות חברי הוועדה; באין רוב לדעה אחת, תכריע דעת יושב ראש הוועדה.</w:t>
      </w:r>
    </w:p>
    <w:p w14:paraId="79F920D8" w14:textId="77777777" w:rsidR="003E3012" w:rsidRDefault="003E3012" w:rsidP="003E301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ההשגות לא תהיה קשורה בסדרי הדין ובדיני הראיות הנהוגים בבתי המשפט, ותפעל בדרך הנראית לה מועילה ביותר לקבלת החלטה צודקת ומהירה בהשגה.</w:t>
      </w:r>
    </w:p>
    <w:p w14:paraId="656DE831" w14:textId="77777777" w:rsidR="003E3012" w:rsidRDefault="003E3012" w:rsidP="003E301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ההשגות רשאית לאשר את ההחלטה שהתקבלה על ידי ועדת השומה, כולה או חלקה, לבטלה או לשנותה, להחזיר את הנושא לדיון מחודש בוועדת השומה או לקבל החלטה אחרת במקומה.</w:t>
      </w:r>
    </w:p>
    <w:p w14:paraId="44718507" w14:textId="77777777" w:rsidR="001769C6" w:rsidRDefault="001769C6" w:rsidP="00CF711B">
      <w:pPr>
        <w:pStyle w:val="P00"/>
        <w:spacing w:before="72"/>
        <w:ind w:left="1021" w:right="1134" w:hanging="1021"/>
        <w:rPr>
          <w:rStyle w:val="default"/>
          <w:rFonts w:cs="FrankRuehl" w:hint="cs"/>
          <w:rtl/>
        </w:rPr>
      </w:pPr>
      <w:bookmarkStart w:id="10" w:name="Seif11"/>
      <w:bookmarkEnd w:id="10"/>
      <w:r>
        <w:rPr>
          <w:rFonts w:cs="Miriam"/>
          <w:szCs w:val="32"/>
          <w:rtl/>
          <w:lang w:val="he-IL"/>
        </w:rPr>
        <w:pict w14:anchorId="18CCCBD6">
          <v:shape id="_x0000_s1069" type="#_x0000_t202" style="position:absolute;left:0;text-align:left;margin-left:467.1pt;margin-top:7.1pt;width:77.4pt;height:26.2pt;z-index:251662848" filled="f" stroked="f">
            <v:textbox inset="1mm,0,1mm,0">
              <w:txbxContent>
                <w:p w14:paraId="019A9CFC" w14:textId="77777777" w:rsidR="0044742B" w:rsidRDefault="00CF711B">
                  <w:pPr>
                    <w:spacing w:line="160" w:lineRule="exact"/>
                    <w:rPr>
                      <w:rFonts w:cs="Miriam" w:hint="cs"/>
                      <w:sz w:val="18"/>
                      <w:szCs w:val="18"/>
                      <w:rtl/>
                    </w:rPr>
                  </w:pPr>
                  <w:r>
                    <w:rPr>
                      <w:rFonts w:cs="Miriam" w:hint="cs"/>
                      <w:sz w:val="18"/>
                      <w:szCs w:val="18"/>
                      <w:rtl/>
                    </w:rPr>
                    <w:t>הוראת מעבר לעניין יישובים המנויים בתוספת</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r>
      <w:r w:rsidR="00CF711B">
        <w:rPr>
          <w:rStyle w:val="default"/>
          <w:rFonts w:cs="FrankRuehl" w:hint="cs"/>
          <w:rtl/>
        </w:rPr>
        <w:t>(א)</w:t>
      </w:r>
      <w:r w:rsidR="00CF711B">
        <w:rPr>
          <w:rStyle w:val="default"/>
          <w:rFonts w:cs="FrankRuehl" w:hint="cs"/>
          <w:rtl/>
        </w:rPr>
        <w:tab/>
        <w:t>(1)</w:t>
      </w:r>
      <w:r w:rsidR="00CF711B">
        <w:rPr>
          <w:rStyle w:val="default"/>
          <w:rFonts w:cs="FrankRuehl" w:hint="cs"/>
          <w:rtl/>
        </w:rPr>
        <w:tab/>
        <w:t>בתקופה של 12 חודשים מיום פרסומו של חוק זה, יותלו כל הליכי האכיפה והצווים המינהליים הקיימים בעניין התיישבות ביישובים המנויים בתוספת;</w:t>
      </w:r>
    </w:p>
    <w:p w14:paraId="52094697" w14:textId="77777777" w:rsidR="00CF711B" w:rsidRDefault="00CF711B" w:rsidP="00CF71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במהלך התקופה האמורה בפסקה (1), יקבעו רשויות האזור אם מתקיימים ביישובים המנויים בתוספת התנאים לפי הרישה של סעיף 3;</w:t>
      </w:r>
    </w:p>
    <w:p w14:paraId="48E60205" w14:textId="77777777" w:rsidR="00CF711B" w:rsidRDefault="00CF711B" w:rsidP="00CF711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קבעו רשויות האזור כי מתקיימים ביישובים המנויים בתוספת התנאים לפי הרישה של סעיף 3, יחולו עליהם הוראות חוק זה;</w:t>
      </w:r>
    </w:p>
    <w:p w14:paraId="3AE85AA0" w14:textId="77777777" w:rsidR="00CF711B" w:rsidRDefault="00CF711B" w:rsidP="00CF711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הוראות סעיף קטן זה לא יחולו על </w:t>
      </w:r>
      <w:r>
        <w:rPr>
          <w:rStyle w:val="default"/>
          <w:rFonts w:cs="FrankRuehl"/>
          <w:rtl/>
        </w:rPr>
        <w:t>–</w:t>
      </w:r>
    </w:p>
    <w:p w14:paraId="7EE979AC" w14:textId="77777777" w:rsidR="00CF711B" w:rsidRDefault="00CF711B" w:rsidP="00CF711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הליכי האכיפה והצווים המינהליים, הקיימים בעניין התיישבות ביישובים המנויים בתוספת, שניתנו צווים שיפוטיים או פסקי דין בדבר מימושם;</w:t>
      </w:r>
    </w:p>
    <w:p w14:paraId="5DEDBB9C" w14:textId="77777777" w:rsidR="00CF711B" w:rsidRDefault="00CF711B" w:rsidP="00CF711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מבנה שהריסתו הכרחית כדי למנוע סכנה לחיי אדם.</w:t>
      </w:r>
    </w:p>
    <w:p w14:paraId="044340E4" w14:textId="77777777" w:rsidR="00CF711B" w:rsidRDefault="00CF711B" w:rsidP="00CF71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באישור ועדת החוקה חוק ומשפט של הכנסת, רשאי להוסיף, בצו, יישובים לתוספת.</w:t>
      </w:r>
    </w:p>
    <w:p w14:paraId="231D2FEA" w14:textId="77777777" w:rsidR="001769C6" w:rsidRDefault="001769C6">
      <w:pPr>
        <w:pStyle w:val="P00"/>
        <w:spacing w:before="72"/>
        <w:ind w:left="0" w:right="1134"/>
        <w:rPr>
          <w:rStyle w:val="default"/>
          <w:rFonts w:cs="FrankRuehl" w:hint="cs"/>
          <w:rtl/>
        </w:rPr>
      </w:pPr>
    </w:p>
    <w:p w14:paraId="31C3E99E" w14:textId="77777777" w:rsidR="001769C6" w:rsidRPr="0021141C" w:rsidRDefault="00CF711B" w:rsidP="00CF711B">
      <w:pPr>
        <w:pStyle w:val="medium2-header"/>
        <w:keepLines w:val="0"/>
        <w:spacing w:before="72"/>
        <w:ind w:left="0" w:right="1134"/>
        <w:rPr>
          <w:rFonts w:cs="FrankRuehl" w:hint="cs"/>
          <w:noProof/>
          <w:rtl/>
        </w:rPr>
      </w:pPr>
      <w:bookmarkStart w:id="11" w:name="med0"/>
      <w:bookmarkEnd w:id="11"/>
      <w:r>
        <w:rPr>
          <w:rFonts w:cs="FrankRuehl" w:hint="cs"/>
          <w:noProof/>
          <w:rtl/>
        </w:rPr>
        <w:t>תוספת</w:t>
      </w:r>
    </w:p>
    <w:p w14:paraId="43E6226C" w14:textId="77777777" w:rsidR="001769C6" w:rsidRDefault="001769C6" w:rsidP="00CF711B">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(סעיף </w:t>
      </w:r>
      <w:r w:rsidR="00CF711B">
        <w:rPr>
          <w:rStyle w:val="default"/>
          <w:rFonts w:cs="FrankRuehl" w:hint="cs"/>
          <w:sz w:val="24"/>
          <w:szCs w:val="24"/>
          <w:rtl/>
        </w:rPr>
        <w:t>11</w:t>
      </w:r>
      <w:r>
        <w:rPr>
          <w:rStyle w:val="default"/>
          <w:rFonts w:cs="FrankRuehl" w:hint="cs"/>
          <w:sz w:val="24"/>
          <w:szCs w:val="24"/>
          <w:rtl/>
        </w:rPr>
        <w:t>)</w:t>
      </w:r>
    </w:p>
    <w:p w14:paraId="6EC362C5" w14:textId="77777777" w:rsidR="001769C6" w:rsidRDefault="00CF711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עפרה;</w:t>
      </w:r>
    </w:p>
    <w:p w14:paraId="58B12217" w14:textId="77777777" w:rsidR="00CF711B" w:rsidRDefault="00CF711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נתיב האבות;</w:t>
      </w:r>
    </w:p>
    <w:p w14:paraId="1E75B662" w14:textId="77777777" w:rsidR="00CF711B" w:rsidRDefault="00CF711B">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עלי;</w:t>
      </w:r>
    </w:p>
    <w:p w14:paraId="24E281E7" w14:textId="77777777" w:rsidR="00CF711B" w:rsidRDefault="00CF711B">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כוכב השחר;</w:t>
      </w:r>
    </w:p>
    <w:p w14:paraId="209E4C84" w14:textId="77777777" w:rsidR="00CF711B" w:rsidRDefault="00CF711B">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מצפה כרמים;</w:t>
      </w:r>
    </w:p>
    <w:p w14:paraId="73EA365F" w14:textId="77777777" w:rsidR="00CF711B" w:rsidRDefault="00CF711B">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אלון מורה;</w:t>
      </w:r>
    </w:p>
    <w:p w14:paraId="7B34D338" w14:textId="77777777" w:rsidR="00CF711B" w:rsidRDefault="00CF711B">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מעלה מכמש;</w:t>
      </w:r>
    </w:p>
    <w:p w14:paraId="3497FD29" w14:textId="77777777" w:rsidR="00CF711B" w:rsidRDefault="00CF711B">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שבי שומרון;</w:t>
      </w:r>
    </w:p>
    <w:p w14:paraId="45D7E470" w14:textId="77777777" w:rsidR="00CF711B" w:rsidRDefault="00CF711B">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קדומים;</w:t>
      </w:r>
    </w:p>
    <w:p w14:paraId="06636EAA" w14:textId="77777777" w:rsidR="00CF711B" w:rsidRDefault="00CF711B">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פסגות;</w:t>
      </w:r>
    </w:p>
    <w:p w14:paraId="2F99184C" w14:textId="77777777" w:rsidR="00CF711B" w:rsidRDefault="00CF711B">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בית אל;</w:t>
      </w:r>
    </w:p>
    <w:p w14:paraId="1F45D95A" w14:textId="77777777" w:rsidR="00CF711B" w:rsidRDefault="00CF711B">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יצהר;</w:t>
      </w:r>
    </w:p>
    <w:p w14:paraId="55B01EF2" w14:textId="77777777" w:rsidR="00CF711B" w:rsidRDefault="00CF711B">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הר ברכה;</w:t>
      </w:r>
    </w:p>
    <w:p w14:paraId="60A00E2B" w14:textId="77777777" w:rsidR="00CF711B" w:rsidRDefault="00CF711B">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מודיעין עילית;</w:t>
      </w:r>
    </w:p>
    <w:p w14:paraId="774C62CE" w14:textId="77777777" w:rsidR="00CF711B" w:rsidRDefault="00CF711B">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נוקדים;</w:t>
      </w:r>
    </w:p>
    <w:p w14:paraId="48777B36" w14:textId="77777777" w:rsidR="00CF711B" w:rsidRDefault="00CF711B">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כוכב יעקב.</w:t>
      </w:r>
    </w:p>
    <w:p w14:paraId="2ABEA28E" w14:textId="77777777" w:rsidR="001769C6" w:rsidRDefault="001769C6">
      <w:pPr>
        <w:pStyle w:val="page"/>
        <w:widowControl/>
        <w:ind w:right="1134"/>
        <w:rPr>
          <w:rStyle w:val="default"/>
          <w:rFonts w:cs="FrankRuehl"/>
          <w:position w:val="0"/>
          <w:rtl/>
        </w:rPr>
      </w:pPr>
    </w:p>
    <w:p w14:paraId="6E6EF68D" w14:textId="77777777" w:rsidR="001769C6" w:rsidRDefault="001769C6" w:rsidP="00CF711B">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Pr>
          <w:rFonts w:cs="FrankRuehl" w:hint="cs"/>
          <w:sz w:val="26"/>
          <w:szCs w:val="26"/>
          <w:rtl/>
        </w:rPr>
        <w:tab/>
      </w:r>
      <w:r w:rsidR="00CF711B">
        <w:rPr>
          <w:rFonts w:cs="FrankRuehl" w:hint="cs"/>
          <w:sz w:val="26"/>
          <w:szCs w:val="26"/>
          <w:rtl/>
        </w:rPr>
        <w:t>בנימין נתניהו</w:t>
      </w:r>
      <w:r w:rsidR="00CF711B">
        <w:rPr>
          <w:rFonts w:cs="FrankRuehl" w:hint="cs"/>
          <w:sz w:val="26"/>
          <w:szCs w:val="26"/>
          <w:rtl/>
        </w:rPr>
        <w:tab/>
      </w:r>
      <w:r w:rsidR="00CF711B">
        <w:rPr>
          <w:rFonts w:cs="FrankRuehl" w:hint="cs"/>
          <w:sz w:val="26"/>
          <w:szCs w:val="26"/>
          <w:rtl/>
        </w:rPr>
        <w:tab/>
        <w:t>איילת שקד</w:t>
      </w:r>
    </w:p>
    <w:p w14:paraId="31F57EAD" w14:textId="77777777" w:rsidR="001769C6" w:rsidRDefault="001769C6" w:rsidP="00CF711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sidR="00CF711B">
        <w:rPr>
          <w:rFonts w:cs="FrankRuehl" w:hint="cs"/>
          <w:sz w:val="22"/>
          <w:rtl/>
        </w:rPr>
        <w:tab/>
      </w:r>
      <w:r w:rsidR="00CF711B">
        <w:rPr>
          <w:rFonts w:cs="FrankRuehl" w:hint="cs"/>
          <w:sz w:val="22"/>
          <w:rtl/>
        </w:rPr>
        <w:tab/>
        <w:t>שרת המשפטים</w:t>
      </w:r>
    </w:p>
    <w:p w14:paraId="32098BA4" w14:textId="77777777" w:rsidR="001769C6" w:rsidRDefault="001769C6" w:rsidP="00CF711B">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CF711B">
        <w:rPr>
          <w:rFonts w:cs="FrankRuehl" w:hint="cs"/>
          <w:sz w:val="26"/>
          <w:szCs w:val="26"/>
          <w:rtl/>
        </w:rPr>
        <w:t>ראובן ריבלין</w:t>
      </w:r>
      <w:r>
        <w:rPr>
          <w:rFonts w:cs="FrankRuehl" w:hint="cs"/>
          <w:sz w:val="26"/>
          <w:szCs w:val="26"/>
          <w:rtl/>
        </w:rPr>
        <w:tab/>
      </w:r>
      <w:r>
        <w:rPr>
          <w:rFonts w:cs="FrankRuehl" w:hint="cs"/>
          <w:sz w:val="26"/>
          <w:szCs w:val="26"/>
          <w:rtl/>
        </w:rPr>
        <w:tab/>
      </w:r>
      <w:r w:rsidR="00CF711B">
        <w:rPr>
          <w:rFonts w:cs="FrankRuehl" w:hint="cs"/>
          <w:sz w:val="26"/>
          <w:szCs w:val="26"/>
          <w:rtl/>
        </w:rPr>
        <w:t>יולי יואל אדלשטיין</w:t>
      </w:r>
    </w:p>
    <w:p w14:paraId="333ECF6C" w14:textId="77777777" w:rsidR="001769C6" w:rsidRDefault="001769C6" w:rsidP="00CF711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0BA82898" w14:textId="77777777" w:rsidR="0000538A" w:rsidRPr="0000538A" w:rsidRDefault="0000538A" w:rsidP="0000538A">
      <w:pPr>
        <w:pStyle w:val="P00"/>
        <w:spacing w:before="72"/>
        <w:ind w:left="0" w:right="1134"/>
        <w:rPr>
          <w:rStyle w:val="default"/>
          <w:rFonts w:cs="FrankRuehl" w:hint="cs"/>
          <w:rtl/>
        </w:rPr>
      </w:pPr>
    </w:p>
    <w:p w14:paraId="4D2A1833" w14:textId="77777777" w:rsidR="003F1545" w:rsidRPr="0000538A" w:rsidRDefault="003F1545" w:rsidP="0000538A">
      <w:pPr>
        <w:pStyle w:val="P00"/>
        <w:spacing w:before="72"/>
        <w:ind w:left="0" w:right="1134"/>
        <w:rPr>
          <w:rStyle w:val="default"/>
          <w:rFonts w:cs="FrankRuehl"/>
          <w:rtl/>
        </w:rPr>
      </w:pPr>
    </w:p>
    <w:p w14:paraId="62EF3338" w14:textId="77777777" w:rsidR="00681B23" w:rsidRDefault="00681B23" w:rsidP="0000538A">
      <w:pPr>
        <w:pStyle w:val="P00"/>
        <w:spacing w:before="72"/>
        <w:ind w:left="0" w:right="1134"/>
        <w:rPr>
          <w:rStyle w:val="default"/>
          <w:rFonts w:cs="FrankRuehl"/>
          <w:rtl/>
        </w:rPr>
      </w:pPr>
    </w:p>
    <w:p w14:paraId="0D8CCB41" w14:textId="77777777" w:rsidR="00681B23" w:rsidRDefault="00681B23" w:rsidP="0000538A">
      <w:pPr>
        <w:pStyle w:val="P00"/>
        <w:spacing w:before="72"/>
        <w:ind w:left="0" w:right="1134"/>
        <w:rPr>
          <w:rStyle w:val="default"/>
          <w:rFonts w:cs="FrankRuehl"/>
          <w:rtl/>
        </w:rPr>
      </w:pPr>
    </w:p>
    <w:p w14:paraId="6D5E4345" w14:textId="77777777" w:rsidR="00681B23" w:rsidRDefault="00681B23" w:rsidP="00681B23">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44792EB" w14:textId="77777777" w:rsidR="003F1545" w:rsidRPr="00681B23" w:rsidRDefault="003F1545" w:rsidP="00681B23">
      <w:pPr>
        <w:pStyle w:val="P00"/>
        <w:spacing w:before="72"/>
        <w:ind w:left="0" w:right="1134"/>
        <w:jc w:val="center"/>
        <w:rPr>
          <w:rStyle w:val="default"/>
          <w:rFonts w:cs="David"/>
          <w:color w:val="0000FF"/>
          <w:szCs w:val="24"/>
          <w:u w:val="single"/>
          <w:rtl/>
        </w:rPr>
      </w:pPr>
    </w:p>
    <w:sectPr w:rsidR="003F1545" w:rsidRPr="00681B2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3618" w14:textId="77777777" w:rsidR="004E3F47" w:rsidRDefault="004E3F47">
      <w:r>
        <w:separator/>
      </w:r>
    </w:p>
  </w:endnote>
  <w:endnote w:type="continuationSeparator" w:id="0">
    <w:p w14:paraId="31447024" w14:textId="77777777" w:rsidR="004E3F47" w:rsidRDefault="004E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41F6" w14:textId="77777777" w:rsidR="0044742B" w:rsidRDefault="004474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DC33350" w14:textId="77777777" w:rsidR="0044742B" w:rsidRDefault="004474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945FB3" w14:textId="77777777" w:rsidR="0044742B" w:rsidRDefault="004474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13D8">
      <w:rPr>
        <w:rFonts w:cs="TopType Jerushalmi"/>
        <w:noProof/>
        <w:color w:val="000000"/>
        <w:sz w:val="14"/>
        <w:szCs w:val="14"/>
      </w:rPr>
      <w:t>Z:\00000000000000000000000=2014------------------------\LawsForTableRun\02\999_417.doc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F9F" w14:textId="77777777" w:rsidR="0044742B" w:rsidRDefault="004474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2907">
      <w:rPr>
        <w:rFonts w:hAnsi="FrankRuehl" w:cs="FrankRuehl"/>
        <w:noProof/>
        <w:sz w:val="24"/>
        <w:szCs w:val="24"/>
        <w:rtl/>
      </w:rPr>
      <w:t>3</w:t>
    </w:r>
    <w:r>
      <w:rPr>
        <w:rFonts w:hAnsi="FrankRuehl" w:cs="FrankRuehl"/>
        <w:sz w:val="24"/>
        <w:szCs w:val="24"/>
        <w:rtl/>
      </w:rPr>
      <w:fldChar w:fldCharType="end"/>
    </w:r>
  </w:p>
  <w:p w14:paraId="6EFC0DFA" w14:textId="77777777" w:rsidR="0044742B" w:rsidRDefault="004474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B11A24" w14:textId="77777777" w:rsidR="0044742B" w:rsidRDefault="004474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13D8">
      <w:rPr>
        <w:rFonts w:cs="TopType Jerushalmi"/>
        <w:noProof/>
        <w:color w:val="000000"/>
        <w:sz w:val="14"/>
        <w:szCs w:val="14"/>
      </w:rPr>
      <w:t>Z:\00000000000000000000000=2014------------------------\LawsForTableRun\02\999_417.doc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838C" w14:textId="77777777" w:rsidR="004E3F47" w:rsidRDefault="004E3F47" w:rsidP="00A640F9">
      <w:pPr>
        <w:spacing w:before="60"/>
        <w:ind w:right="1134"/>
      </w:pPr>
      <w:r>
        <w:separator/>
      </w:r>
    </w:p>
  </w:footnote>
  <w:footnote w:type="continuationSeparator" w:id="0">
    <w:p w14:paraId="617BFBD3" w14:textId="77777777" w:rsidR="004E3F47" w:rsidRDefault="004E3F47">
      <w:r>
        <w:continuationSeparator/>
      </w:r>
    </w:p>
  </w:footnote>
  <w:footnote w:id="1">
    <w:p w14:paraId="7D54CA66" w14:textId="77777777" w:rsidR="0056205F" w:rsidRDefault="0056205F" w:rsidP="0056205F">
      <w:pPr>
        <w:pStyle w:val="a5"/>
        <w:spacing w:before="72"/>
        <w:ind w:right="1134"/>
        <w:jc w:val="both"/>
        <w:rPr>
          <w:rFonts w:hint="cs"/>
          <w:rtl/>
        </w:rPr>
      </w:pPr>
      <w:r>
        <w:rPr>
          <w:rStyle w:val="a6"/>
        </w:rPr>
        <w:footnoteRef/>
      </w:r>
      <w:r w:rsidRPr="0056205F">
        <w:rPr>
          <w:rFonts w:ascii="FrankRuehl" w:hAnsi="FrankRuehl" w:cs="FrankRuehl"/>
          <w:sz w:val="22"/>
          <w:szCs w:val="22"/>
          <w:rtl/>
        </w:rPr>
        <w:t xml:space="preserve"> החוק בוטל ביום 9.6.2020 ב</w:t>
      </w:r>
      <w:hyperlink r:id="rId1" w:history="1">
        <w:r w:rsidRPr="0056205F">
          <w:rPr>
            <w:rStyle w:val="Hyperlink"/>
            <w:rFonts w:ascii="FrankRuehl" w:hAnsi="FrankRuehl" w:cs="FrankRuehl" w:hint="cs"/>
            <w:sz w:val="22"/>
            <w:szCs w:val="22"/>
            <w:rtl/>
          </w:rPr>
          <w:t>בג"ץ 1308/17</w:t>
        </w:r>
      </w:hyperlink>
      <w:r w:rsidRPr="0056205F">
        <w:rPr>
          <w:rFonts w:ascii="FrankRuehl" w:hAnsi="FrankRuehl" w:cs="FrankRuehl"/>
          <w:sz w:val="22"/>
          <w:szCs w:val="22"/>
          <w:rtl/>
        </w:rPr>
        <w:t xml:space="preserve"> עיריית סלואד נ' הכנסת.</w:t>
      </w:r>
    </w:p>
  </w:footnote>
  <w:footnote w:id="2">
    <w:p w14:paraId="38E5960E" w14:textId="77777777" w:rsidR="002B709E" w:rsidRDefault="0044742B" w:rsidP="002B70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2" w:history="1">
        <w:r w:rsidRPr="002B709E">
          <w:rPr>
            <w:rStyle w:val="Hyperlink"/>
            <w:rFonts w:cs="FrankRuehl" w:hint="cs"/>
            <w:rtl/>
          </w:rPr>
          <w:t>ס"ח תש</w:t>
        </w:r>
        <w:r w:rsidR="000258E9" w:rsidRPr="002B709E">
          <w:rPr>
            <w:rStyle w:val="Hyperlink"/>
            <w:rFonts w:cs="FrankRuehl" w:hint="cs"/>
            <w:rtl/>
          </w:rPr>
          <w:t>ע"ז</w:t>
        </w:r>
        <w:r w:rsidRPr="002B709E">
          <w:rPr>
            <w:rStyle w:val="Hyperlink"/>
            <w:rFonts w:cs="FrankRuehl" w:hint="cs"/>
            <w:rtl/>
          </w:rPr>
          <w:t xml:space="preserve"> מס' </w:t>
        </w:r>
        <w:r w:rsidR="000258E9" w:rsidRPr="002B709E">
          <w:rPr>
            <w:rStyle w:val="Hyperlink"/>
            <w:rFonts w:cs="FrankRuehl" w:hint="cs"/>
            <w:rtl/>
          </w:rPr>
          <w:t>2604</w:t>
        </w:r>
      </w:hyperlink>
      <w:r>
        <w:rPr>
          <w:rFonts w:cs="FrankRuehl" w:hint="cs"/>
          <w:rtl/>
        </w:rPr>
        <w:t xml:space="preserve"> מיום </w:t>
      </w:r>
      <w:r w:rsidR="000258E9">
        <w:rPr>
          <w:rFonts w:cs="FrankRuehl" w:hint="cs"/>
          <w:rtl/>
        </w:rPr>
        <w:t>13.2.2017</w:t>
      </w:r>
      <w:r>
        <w:rPr>
          <w:rFonts w:cs="FrankRuehl" w:hint="cs"/>
          <w:rtl/>
        </w:rPr>
        <w:t xml:space="preserve"> עמ' </w:t>
      </w:r>
      <w:r w:rsidR="000258E9">
        <w:rPr>
          <w:rFonts w:cs="FrankRuehl" w:hint="cs"/>
          <w:rtl/>
        </w:rPr>
        <w:t>410</w:t>
      </w:r>
      <w:r>
        <w:rPr>
          <w:rFonts w:cs="FrankRuehl" w:hint="cs"/>
          <w:rtl/>
        </w:rPr>
        <w:t xml:space="preserve"> (</w:t>
      </w:r>
      <w:hyperlink r:id="rId3" w:history="1">
        <w:r w:rsidRPr="000258E9">
          <w:rPr>
            <w:rStyle w:val="Hyperlink"/>
            <w:rFonts w:cs="FrankRuehl" w:hint="cs"/>
            <w:rtl/>
          </w:rPr>
          <w:t xml:space="preserve">ה"ח </w:t>
        </w:r>
        <w:r w:rsidR="000258E9" w:rsidRPr="000258E9">
          <w:rPr>
            <w:rStyle w:val="Hyperlink"/>
            <w:rFonts w:cs="FrankRuehl" w:hint="cs"/>
            <w:rtl/>
          </w:rPr>
          <w:t>הכנסת</w:t>
        </w:r>
        <w:r w:rsidRPr="000258E9">
          <w:rPr>
            <w:rStyle w:val="Hyperlink"/>
            <w:rFonts w:cs="FrankRuehl" w:hint="cs"/>
            <w:rtl/>
          </w:rPr>
          <w:t xml:space="preserve"> תש</w:t>
        </w:r>
        <w:r w:rsidR="000258E9" w:rsidRPr="000258E9">
          <w:rPr>
            <w:rStyle w:val="Hyperlink"/>
            <w:rFonts w:cs="FrankRuehl" w:hint="cs"/>
            <w:rtl/>
          </w:rPr>
          <w:t>ע"ז</w:t>
        </w:r>
        <w:r w:rsidRPr="000258E9">
          <w:rPr>
            <w:rStyle w:val="Hyperlink"/>
            <w:rFonts w:cs="FrankRuehl" w:hint="cs"/>
            <w:rtl/>
          </w:rPr>
          <w:t xml:space="preserve"> מס' </w:t>
        </w:r>
        <w:r w:rsidR="000258E9" w:rsidRPr="000258E9">
          <w:rPr>
            <w:rStyle w:val="Hyperlink"/>
            <w:rFonts w:cs="FrankRuehl" w:hint="cs"/>
            <w:rtl/>
          </w:rPr>
          <w:t>672</w:t>
        </w:r>
      </w:hyperlink>
      <w:r>
        <w:rPr>
          <w:rFonts w:cs="FrankRuehl" w:hint="cs"/>
          <w:rtl/>
        </w:rPr>
        <w:t xml:space="preserve"> עמ' </w:t>
      </w:r>
      <w:r w:rsidR="000258E9">
        <w:rPr>
          <w:rFonts w:cs="FrankRuehl" w:hint="cs"/>
          <w:rtl/>
        </w:rPr>
        <w:t>44</w:t>
      </w:r>
      <w:r>
        <w:rPr>
          <w:rFonts w:cs="FrankRuehl" w:hint="cs"/>
          <w:rtl/>
        </w:rPr>
        <w:t>).</w:t>
      </w:r>
    </w:p>
    <w:p w14:paraId="5ABA593F" w14:textId="77777777" w:rsidR="0056205F" w:rsidRPr="00FB39C8" w:rsidRDefault="0056205F" w:rsidP="002B70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6205F">
        <w:rPr>
          <w:rFonts w:ascii="FrankRuehl" w:hAnsi="FrankRuehl" w:cs="FrankRuehl"/>
          <w:rtl/>
        </w:rPr>
        <w:t>בוטל ביום 9.6.2020 ב</w:t>
      </w:r>
      <w:hyperlink r:id="rId4" w:history="1">
        <w:r w:rsidRPr="0056205F">
          <w:rPr>
            <w:rStyle w:val="Hyperlink"/>
            <w:rFonts w:ascii="FrankRuehl" w:hAnsi="FrankRuehl" w:cs="FrankRuehl" w:hint="cs"/>
            <w:rtl/>
          </w:rPr>
          <w:t>בג"ץ 1308/17</w:t>
        </w:r>
      </w:hyperlink>
      <w:r w:rsidRPr="0056205F">
        <w:rPr>
          <w:rFonts w:ascii="FrankRuehl" w:hAnsi="FrankRuehl" w:cs="FrankRuehl"/>
          <w:rtl/>
        </w:rPr>
        <w:t xml:space="preserve"> עיריית סלואד נ' הכנסת.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21C2" w14:textId="77777777" w:rsidR="0044742B" w:rsidRDefault="0044742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9FFF2AE" w14:textId="77777777"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0DE9EE" w14:textId="77777777"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3BAD" w14:textId="77777777" w:rsidR="0044742B" w:rsidRDefault="0044742B" w:rsidP="000258E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0258E9">
      <w:rPr>
        <w:rFonts w:hAnsi="FrankRuehl" w:cs="FrankRuehl" w:hint="cs"/>
        <w:color w:val="000000"/>
        <w:sz w:val="28"/>
        <w:szCs w:val="28"/>
        <w:rtl/>
      </w:rPr>
      <w:t>להסדרת ההתיישבות ביהודה והשומרון, תשע"ז-2017</w:t>
    </w:r>
  </w:p>
  <w:p w14:paraId="285049B2" w14:textId="77777777"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27F03B" w14:textId="77777777" w:rsidR="0044742B" w:rsidRDefault="0044742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5518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10E2"/>
    <w:rsid w:val="000011F0"/>
    <w:rsid w:val="0000538A"/>
    <w:rsid w:val="00006A42"/>
    <w:rsid w:val="00013512"/>
    <w:rsid w:val="000258E9"/>
    <w:rsid w:val="00027C71"/>
    <w:rsid w:val="00034049"/>
    <w:rsid w:val="00034C87"/>
    <w:rsid w:val="00042023"/>
    <w:rsid w:val="00051138"/>
    <w:rsid w:val="000A043B"/>
    <w:rsid w:val="000A7222"/>
    <w:rsid w:val="000D4135"/>
    <w:rsid w:val="000F6A92"/>
    <w:rsid w:val="00127FB0"/>
    <w:rsid w:val="001402A2"/>
    <w:rsid w:val="0015580F"/>
    <w:rsid w:val="001613D8"/>
    <w:rsid w:val="001649F3"/>
    <w:rsid w:val="001769C6"/>
    <w:rsid w:val="001D3458"/>
    <w:rsid w:val="001D403D"/>
    <w:rsid w:val="001E172B"/>
    <w:rsid w:val="001F025A"/>
    <w:rsid w:val="00206356"/>
    <w:rsid w:val="0021141C"/>
    <w:rsid w:val="00212296"/>
    <w:rsid w:val="002354C5"/>
    <w:rsid w:val="00256014"/>
    <w:rsid w:val="00261BD8"/>
    <w:rsid w:val="002929DB"/>
    <w:rsid w:val="002B709E"/>
    <w:rsid w:val="002C7185"/>
    <w:rsid w:val="002E6C85"/>
    <w:rsid w:val="002E70EA"/>
    <w:rsid w:val="002E7C0E"/>
    <w:rsid w:val="002F2DED"/>
    <w:rsid w:val="00301AD1"/>
    <w:rsid w:val="00325FFE"/>
    <w:rsid w:val="00351097"/>
    <w:rsid w:val="00371095"/>
    <w:rsid w:val="00376465"/>
    <w:rsid w:val="00387C95"/>
    <w:rsid w:val="0039556F"/>
    <w:rsid w:val="003967D5"/>
    <w:rsid w:val="003A6257"/>
    <w:rsid w:val="003B7ED2"/>
    <w:rsid w:val="003C48EC"/>
    <w:rsid w:val="003C7277"/>
    <w:rsid w:val="003C7C4F"/>
    <w:rsid w:val="003D161D"/>
    <w:rsid w:val="003D2845"/>
    <w:rsid w:val="003E3012"/>
    <w:rsid w:val="003E3FCC"/>
    <w:rsid w:val="003F1545"/>
    <w:rsid w:val="00415869"/>
    <w:rsid w:val="004228E0"/>
    <w:rsid w:val="0042592E"/>
    <w:rsid w:val="0043140C"/>
    <w:rsid w:val="00431B35"/>
    <w:rsid w:val="0044569C"/>
    <w:rsid w:val="0044742B"/>
    <w:rsid w:val="004860FA"/>
    <w:rsid w:val="00491538"/>
    <w:rsid w:val="00492721"/>
    <w:rsid w:val="004B29DD"/>
    <w:rsid w:val="004B79E2"/>
    <w:rsid w:val="004E3F47"/>
    <w:rsid w:val="0051570F"/>
    <w:rsid w:val="005342C0"/>
    <w:rsid w:val="005353DD"/>
    <w:rsid w:val="0054236B"/>
    <w:rsid w:val="00552062"/>
    <w:rsid w:val="00555CBF"/>
    <w:rsid w:val="0056205F"/>
    <w:rsid w:val="00583565"/>
    <w:rsid w:val="00585EFC"/>
    <w:rsid w:val="005B4AA1"/>
    <w:rsid w:val="005D4958"/>
    <w:rsid w:val="00602844"/>
    <w:rsid w:val="00605093"/>
    <w:rsid w:val="006306DA"/>
    <w:rsid w:val="00643304"/>
    <w:rsid w:val="00646522"/>
    <w:rsid w:val="00654D68"/>
    <w:rsid w:val="0065590A"/>
    <w:rsid w:val="00662265"/>
    <w:rsid w:val="00677A21"/>
    <w:rsid w:val="00681B23"/>
    <w:rsid w:val="006866DF"/>
    <w:rsid w:val="00691C4A"/>
    <w:rsid w:val="006966AA"/>
    <w:rsid w:val="006A338F"/>
    <w:rsid w:val="006A43C6"/>
    <w:rsid w:val="006A65B2"/>
    <w:rsid w:val="006A7423"/>
    <w:rsid w:val="006D2841"/>
    <w:rsid w:val="006D356F"/>
    <w:rsid w:val="006E0812"/>
    <w:rsid w:val="006F5476"/>
    <w:rsid w:val="006F6454"/>
    <w:rsid w:val="00702E0B"/>
    <w:rsid w:val="00713A26"/>
    <w:rsid w:val="00726392"/>
    <w:rsid w:val="00741A03"/>
    <w:rsid w:val="00744A32"/>
    <w:rsid w:val="0075282A"/>
    <w:rsid w:val="007621E5"/>
    <w:rsid w:val="00774263"/>
    <w:rsid w:val="00787C4F"/>
    <w:rsid w:val="00796734"/>
    <w:rsid w:val="007A089E"/>
    <w:rsid w:val="007A6868"/>
    <w:rsid w:val="007B67C0"/>
    <w:rsid w:val="007C3034"/>
    <w:rsid w:val="007D4B3A"/>
    <w:rsid w:val="007F19E1"/>
    <w:rsid w:val="007F7DE5"/>
    <w:rsid w:val="00803768"/>
    <w:rsid w:val="00815DD8"/>
    <w:rsid w:val="008329EE"/>
    <w:rsid w:val="0083426E"/>
    <w:rsid w:val="00841D86"/>
    <w:rsid w:val="00843D86"/>
    <w:rsid w:val="00862065"/>
    <w:rsid w:val="0088027E"/>
    <w:rsid w:val="00894114"/>
    <w:rsid w:val="008A1D4D"/>
    <w:rsid w:val="008A7335"/>
    <w:rsid w:val="008B6B85"/>
    <w:rsid w:val="008C37FC"/>
    <w:rsid w:val="008D46F7"/>
    <w:rsid w:val="008E082A"/>
    <w:rsid w:val="008E4950"/>
    <w:rsid w:val="008E6712"/>
    <w:rsid w:val="008F294A"/>
    <w:rsid w:val="009135C2"/>
    <w:rsid w:val="0091673C"/>
    <w:rsid w:val="00923F12"/>
    <w:rsid w:val="00923FF2"/>
    <w:rsid w:val="009279CA"/>
    <w:rsid w:val="009312A8"/>
    <w:rsid w:val="00932228"/>
    <w:rsid w:val="00936A8E"/>
    <w:rsid w:val="00954237"/>
    <w:rsid w:val="009559DB"/>
    <w:rsid w:val="009559DE"/>
    <w:rsid w:val="00965482"/>
    <w:rsid w:val="009670C7"/>
    <w:rsid w:val="009A1A00"/>
    <w:rsid w:val="009A3D12"/>
    <w:rsid w:val="009A61B8"/>
    <w:rsid w:val="009A6D95"/>
    <w:rsid w:val="009B2B19"/>
    <w:rsid w:val="009D15D9"/>
    <w:rsid w:val="009E00AD"/>
    <w:rsid w:val="009F0130"/>
    <w:rsid w:val="00A02CDE"/>
    <w:rsid w:val="00A46FE0"/>
    <w:rsid w:val="00A5333C"/>
    <w:rsid w:val="00A640F9"/>
    <w:rsid w:val="00A764C0"/>
    <w:rsid w:val="00A850BB"/>
    <w:rsid w:val="00A870E1"/>
    <w:rsid w:val="00A97593"/>
    <w:rsid w:val="00AE5F5E"/>
    <w:rsid w:val="00AE61A2"/>
    <w:rsid w:val="00AE7115"/>
    <w:rsid w:val="00B169C3"/>
    <w:rsid w:val="00B214AE"/>
    <w:rsid w:val="00B35449"/>
    <w:rsid w:val="00B46FB6"/>
    <w:rsid w:val="00B470F1"/>
    <w:rsid w:val="00B52889"/>
    <w:rsid w:val="00B7663A"/>
    <w:rsid w:val="00BA4735"/>
    <w:rsid w:val="00BA6198"/>
    <w:rsid w:val="00BB046C"/>
    <w:rsid w:val="00BC0C21"/>
    <w:rsid w:val="00BC3C3D"/>
    <w:rsid w:val="00BF0CCC"/>
    <w:rsid w:val="00C11608"/>
    <w:rsid w:val="00C43D1B"/>
    <w:rsid w:val="00C54EAC"/>
    <w:rsid w:val="00C664BB"/>
    <w:rsid w:val="00C71E81"/>
    <w:rsid w:val="00C7362F"/>
    <w:rsid w:val="00C7559E"/>
    <w:rsid w:val="00C812C0"/>
    <w:rsid w:val="00C954BE"/>
    <w:rsid w:val="00CA1246"/>
    <w:rsid w:val="00CA467D"/>
    <w:rsid w:val="00CB1A7C"/>
    <w:rsid w:val="00CB666E"/>
    <w:rsid w:val="00CB78DB"/>
    <w:rsid w:val="00CD6F30"/>
    <w:rsid w:val="00CF711B"/>
    <w:rsid w:val="00D03A5F"/>
    <w:rsid w:val="00D045B6"/>
    <w:rsid w:val="00D10AF7"/>
    <w:rsid w:val="00D250FA"/>
    <w:rsid w:val="00D56732"/>
    <w:rsid w:val="00D63CBB"/>
    <w:rsid w:val="00D72987"/>
    <w:rsid w:val="00D814B1"/>
    <w:rsid w:val="00D84ED8"/>
    <w:rsid w:val="00D86F3B"/>
    <w:rsid w:val="00DA658F"/>
    <w:rsid w:val="00DC1816"/>
    <w:rsid w:val="00DF548C"/>
    <w:rsid w:val="00E0650F"/>
    <w:rsid w:val="00E13DFA"/>
    <w:rsid w:val="00E42907"/>
    <w:rsid w:val="00E707B4"/>
    <w:rsid w:val="00E71145"/>
    <w:rsid w:val="00E879EA"/>
    <w:rsid w:val="00E917BF"/>
    <w:rsid w:val="00E9436B"/>
    <w:rsid w:val="00ED10E2"/>
    <w:rsid w:val="00ED18D7"/>
    <w:rsid w:val="00ED248B"/>
    <w:rsid w:val="00ED3801"/>
    <w:rsid w:val="00EF335B"/>
    <w:rsid w:val="00F00257"/>
    <w:rsid w:val="00F34586"/>
    <w:rsid w:val="00F34BEE"/>
    <w:rsid w:val="00F36D35"/>
    <w:rsid w:val="00F40AA8"/>
    <w:rsid w:val="00F52124"/>
    <w:rsid w:val="00F53E6B"/>
    <w:rsid w:val="00F646B4"/>
    <w:rsid w:val="00F73A47"/>
    <w:rsid w:val="00F844AD"/>
    <w:rsid w:val="00F848C8"/>
    <w:rsid w:val="00F97154"/>
    <w:rsid w:val="00FA2914"/>
    <w:rsid w:val="00FA2E21"/>
    <w:rsid w:val="00FB39C8"/>
    <w:rsid w:val="00FC58CF"/>
    <w:rsid w:val="00FD4AE7"/>
    <w:rsid w:val="00FE4D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89C06AA"/>
  <w15:chartTrackingRefBased/>
  <w15:docId w15:val="{771CBE26-915B-4EAB-9E11-748C7FDE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paragraph" w:styleId="NormalWeb">
    <w:name w:val="Normal (Web)"/>
    <w:basedOn w:val="a"/>
    <w:pPr>
      <w:bidi w:val="0"/>
      <w:spacing w:before="100" w:beforeAutospacing="1" w:after="100" w:afterAutospacing="1"/>
    </w:pPr>
    <w:rPr>
      <w:rFonts w:ascii="Arial Unicode MS" w:eastAsia="Arial Unicode MS" w:hAnsi="Arial Unicode MS" w:cs="Arial Unicode MS"/>
      <w:color w:val="000000"/>
    </w:rPr>
  </w:style>
  <w:style w:type="character" w:styleId="FollowedHyperlink">
    <w:name w:val="FollowedHyperlink"/>
    <w:rPr>
      <w:color w:val="800080"/>
      <w:u w:val="single"/>
    </w:rPr>
  </w:style>
  <w:style w:type="table" w:styleId="a8">
    <w:name w:val="Table Grid"/>
    <w:basedOn w:val="a1"/>
    <w:rsid w:val="00CA467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D72987"/>
    <w:rPr>
      <w:noProof/>
      <w:szCs w:val="26"/>
      <w:lang w:val="en-US" w:eastAsia="he-IL" w:bidi="he-IL"/>
    </w:rPr>
  </w:style>
  <w:style w:type="character" w:customStyle="1" w:styleId="UnresolvedMention">
    <w:name w:val="Unresolved Mention"/>
    <w:uiPriority w:val="99"/>
    <w:semiHidden/>
    <w:unhideWhenUsed/>
    <w:rsid w:val="00562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6/knesset-672.pdf" TargetMode="External"/><Relationship Id="rId2" Type="http://schemas.openxmlformats.org/officeDocument/2006/relationships/hyperlink" Target="http://www.nevo.co.il/law_word/law14/law-2604.pdf" TargetMode="External"/><Relationship Id="rId1" Type="http://schemas.openxmlformats.org/officeDocument/2006/relationships/hyperlink" Target="https://www.nevo.co.il/psika_word/elyon/17013080-V48.doc" TargetMode="External"/><Relationship Id="rId4" Type="http://schemas.openxmlformats.org/officeDocument/2006/relationships/hyperlink" Target="https://www.nevo.co.il/psika_word/elyon/17013080-V48.do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8708</CharactersWithSpaces>
  <SharedDoc>false</SharedDoc>
  <HLinks>
    <vt:vector size="102" baseType="variant">
      <vt:variant>
        <vt:i4>393283</vt:i4>
      </vt:variant>
      <vt:variant>
        <vt:i4>72</vt:i4>
      </vt:variant>
      <vt:variant>
        <vt:i4>0</vt:i4>
      </vt:variant>
      <vt:variant>
        <vt:i4>5</vt:i4>
      </vt:variant>
      <vt:variant>
        <vt:lpwstr>http://www.nevo.co.il/advertisements/nevo-100.doc</vt:lpwstr>
      </vt:variant>
      <vt:variant>
        <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5374003</vt:i4>
      </vt:variant>
      <vt:variant>
        <vt:i4>9</vt:i4>
      </vt:variant>
      <vt:variant>
        <vt:i4>0</vt:i4>
      </vt:variant>
      <vt:variant>
        <vt:i4>5</vt:i4>
      </vt:variant>
      <vt:variant>
        <vt:lpwstr>https://www.nevo.co.il/psika_word/elyon/17013080-V48.doc</vt:lpwstr>
      </vt:variant>
      <vt:variant>
        <vt:lpwstr/>
      </vt:variant>
      <vt:variant>
        <vt:i4>3604509</vt:i4>
      </vt:variant>
      <vt:variant>
        <vt:i4>6</vt:i4>
      </vt:variant>
      <vt:variant>
        <vt:i4>0</vt:i4>
      </vt:variant>
      <vt:variant>
        <vt:i4>5</vt:i4>
      </vt:variant>
      <vt:variant>
        <vt:lpwstr>http://www.nevo.co.il/Law_word/law16/knesset-672.pdf</vt:lpwstr>
      </vt:variant>
      <vt:variant>
        <vt:lpwstr/>
      </vt:variant>
      <vt:variant>
        <vt:i4>8192011</vt:i4>
      </vt:variant>
      <vt:variant>
        <vt:i4>3</vt:i4>
      </vt:variant>
      <vt:variant>
        <vt:i4>0</vt:i4>
      </vt:variant>
      <vt:variant>
        <vt:i4>5</vt:i4>
      </vt:variant>
      <vt:variant>
        <vt:lpwstr>http://www.nevo.co.il/law_word/law14/law-2604.pdf</vt:lpwstr>
      </vt:variant>
      <vt:variant>
        <vt:lpwstr/>
      </vt:variant>
      <vt:variant>
        <vt:i4>5374003</vt:i4>
      </vt:variant>
      <vt:variant>
        <vt:i4>0</vt:i4>
      </vt:variant>
      <vt:variant>
        <vt:i4>0</vt:i4>
      </vt:variant>
      <vt:variant>
        <vt:i4>5</vt:i4>
      </vt:variant>
      <vt:variant>
        <vt:lpwstr>https://www.nevo.co.il/psika_word/elyon/17013080-V48.doc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להסדרת ההתיישבות ביהודה והשומרון, תשע"ז-2017</vt:lpwstr>
  </property>
  <property fmtid="{D5CDD505-2E9C-101B-9397-08002B2CF9AE}" pid="4" name="LAWNUMBER">
    <vt:lpwstr>0553</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SAMCHUT">
    <vt:lpwstr/>
  </property>
  <property fmtid="{D5CDD505-2E9C-101B-9397-08002B2CF9AE}" pid="12" name="NOSE11">
    <vt:lpwstr>רשויות ומשפט מנהלי</vt:lpwstr>
  </property>
  <property fmtid="{D5CDD505-2E9C-101B-9397-08002B2CF9AE}" pid="13" name="NOSE21">
    <vt:lpwstr>תכנון ובניה</vt:lpwstr>
  </property>
  <property fmtid="{D5CDD505-2E9C-101B-9397-08002B2CF9AE}" pid="14" name="NOSE31">
    <vt:lpwstr/>
  </property>
  <property fmtid="{D5CDD505-2E9C-101B-9397-08002B2CF9AE}" pid="15" name="NOSE41">
    <vt:lpwstr/>
  </property>
  <property fmtid="{D5CDD505-2E9C-101B-9397-08002B2CF9AE}" pid="16" name="NOSE12">
    <vt:lpwstr>משפט פרטי וכלכלה</vt:lpwstr>
  </property>
  <property fmtid="{D5CDD505-2E9C-101B-9397-08002B2CF9AE}" pid="17" name="NOSE22">
    <vt:lpwstr>קניין</vt:lpwstr>
  </property>
  <property fmtid="{D5CDD505-2E9C-101B-9397-08002B2CF9AE}" pid="18" name="NOSE32">
    <vt:lpwstr>מקרקעין</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CHNAME">
    <vt:lpwstr/>
  </property>
  <property fmtid="{D5CDD505-2E9C-101B-9397-08002B2CF9AE}" pid="61" name="LINKK1">
    <vt:lpwstr>http://www.nevo.co.il/law_word/law14/law-2604.pdf;‎רשומות - ספר חוקים#פורסם ס"ח תשע"ז ‏מס' 2604 #מיום 13.2.2017 עמ' 410‏</vt:lpwstr>
  </property>
  <property fmtid="{D5CDD505-2E9C-101B-9397-08002B2CF9AE}" pid="62" name="LINKK2">
    <vt:lpwstr/>
  </property>
</Properties>
</file>