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2900" w14:textId="77777777" w:rsidR="002A24E2" w:rsidRDefault="00764085" w:rsidP="005C4382">
      <w:pPr>
        <w:pStyle w:val="big-header"/>
        <w:ind w:left="0" w:right="1134"/>
        <w:rPr>
          <w:rFonts w:cs="FrankRuehl"/>
          <w:sz w:val="32"/>
        </w:rPr>
      </w:pPr>
      <w:r>
        <w:rPr>
          <w:rFonts w:cs="FrankRuehl" w:hint="cs"/>
          <w:sz w:val="32"/>
          <w:rtl/>
        </w:rPr>
        <w:t xml:space="preserve">חוק </w:t>
      </w:r>
      <w:r w:rsidR="002343A7">
        <w:rPr>
          <w:rFonts w:cs="FrankRuehl" w:hint="cs"/>
          <w:sz w:val="32"/>
          <w:rtl/>
        </w:rPr>
        <w:t>למניעת הפצה ומימון של נשק להשמדה המונית, תשע"ח-2018</w:t>
      </w:r>
    </w:p>
    <w:p w14:paraId="302DDE76" w14:textId="77777777" w:rsidR="00833EE7" w:rsidRPr="00833EE7" w:rsidRDefault="00833EE7" w:rsidP="00833EE7">
      <w:pPr>
        <w:spacing w:line="320" w:lineRule="auto"/>
        <w:rPr>
          <w:rFonts w:cs="FrankRuehl"/>
          <w:szCs w:val="26"/>
          <w:rtl/>
        </w:rPr>
      </w:pPr>
    </w:p>
    <w:p w14:paraId="6ABC1933" w14:textId="77777777" w:rsidR="00833EE7" w:rsidRDefault="00833EE7" w:rsidP="00833EE7">
      <w:pPr>
        <w:spacing w:line="320" w:lineRule="auto"/>
        <w:rPr>
          <w:rtl/>
        </w:rPr>
      </w:pPr>
    </w:p>
    <w:p w14:paraId="4D1FAC8B"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B35E7" w:rsidRPr="00EB35E7" w14:paraId="01EC3B99" w14:textId="77777777" w:rsidTr="00EB35E7">
        <w:tblPrEx>
          <w:tblCellMar>
            <w:top w:w="0" w:type="dxa"/>
            <w:bottom w:w="0" w:type="dxa"/>
          </w:tblCellMar>
        </w:tblPrEx>
        <w:tc>
          <w:tcPr>
            <w:tcW w:w="1247" w:type="dxa"/>
          </w:tcPr>
          <w:p w14:paraId="532B235E" w14:textId="77777777" w:rsidR="00EB35E7" w:rsidRPr="00EB35E7" w:rsidRDefault="00EB35E7" w:rsidP="00EB35E7">
            <w:pPr>
              <w:rPr>
                <w:rFonts w:cs="Frankruhel" w:hint="cs"/>
                <w:rtl/>
              </w:rPr>
            </w:pPr>
          </w:p>
        </w:tc>
        <w:tc>
          <w:tcPr>
            <w:tcW w:w="5669" w:type="dxa"/>
          </w:tcPr>
          <w:p w14:paraId="38F8A2F1" w14:textId="77777777" w:rsidR="00EB35E7" w:rsidRPr="00EB35E7" w:rsidRDefault="00EB35E7" w:rsidP="00EB35E7">
            <w:pPr>
              <w:rPr>
                <w:rFonts w:cs="Frankruhel" w:hint="cs"/>
                <w:rtl/>
              </w:rPr>
            </w:pPr>
            <w:r>
              <w:rPr>
                <w:rtl/>
              </w:rPr>
              <w:t>פרק א': מטרה ופרשנות</w:t>
            </w:r>
          </w:p>
        </w:tc>
        <w:tc>
          <w:tcPr>
            <w:tcW w:w="567" w:type="dxa"/>
          </w:tcPr>
          <w:p w14:paraId="358FD091" w14:textId="77777777" w:rsidR="00EB35E7" w:rsidRPr="00EB35E7" w:rsidRDefault="00EB35E7" w:rsidP="00EB35E7">
            <w:pPr>
              <w:rPr>
                <w:rStyle w:val="Hyperlink"/>
                <w:rFonts w:hint="cs"/>
                <w:rtl/>
              </w:rPr>
            </w:pPr>
            <w:hyperlink w:anchor="med0" w:tooltip="פרק א: מטרה ופרשנות" w:history="1">
              <w:r w:rsidRPr="00EB35E7">
                <w:rPr>
                  <w:rStyle w:val="Hyperlink"/>
                </w:rPr>
                <w:t>Go</w:t>
              </w:r>
            </w:hyperlink>
          </w:p>
        </w:tc>
        <w:tc>
          <w:tcPr>
            <w:tcW w:w="850" w:type="dxa"/>
          </w:tcPr>
          <w:p w14:paraId="69411C6C"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EB35E7" w:rsidRPr="00EB35E7" w14:paraId="5B1EC4E3" w14:textId="77777777" w:rsidTr="00EB35E7">
        <w:tblPrEx>
          <w:tblCellMar>
            <w:top w:w="0" w:type="dxa"/>
            <w:bottom w:w="0" w:type="dxa"/>
          </w:tblCellMar>
        </w:tblPrEx>
        <w:tc>
          <w:tcPr>
            <w:tcW w:w="1247" w:type="dxa"/>
          </w:tcPr>
          <w:p w14:paraId="5EB70052" w14:textId="77777777" w:rsidR="00EB35E7" w:rsidRPr="00EB35E7" w:rsidRDefault="00EB35E7" w:rsidP="00EB35E7">
            <w:pPr>
              <w:rPr>
                <w:rFonts w:cs="Frankruhel" w:hint="cs"/>
                <w:rtl/>
              </w:rPr>
            </w:pPr>
            <w:r>
              <w:rPr>
                <w:rtl/>
              </w:rPr>
              <w:t xml:space="preserve">סעיף 1 </w:t>
            </w:r>
          </w:p>
        </w:tc>
        <w:tc>
          <w:tcPr>
            <w:tcW w:w="5669" w:type="dxa"/>
          </w:tcPr>
          <w:p w14:paraId="2D943C49" w14:textId="77777777" w:rsidR="00EB35E7" w:rsidRPr="00EB35E7" w:rsidRDefault="00EB35E7" w:rsidP="00EB35E7">
            <w:pPr>
              <w:rPr>
                <w:rFonts w:cs="Frankruhel" w:hint="cs"/>
                <w:rtl/>
              </w:rPr>
            </w:pPr>
            <w:r>
              <w:rPr>
                <w:rtl/>
              </w:rPr>
              <w:t>מטרה</w:t>
            </w:r>
          </w:p>
        </w:tc>
        <w:tc>
          <w:tcPr>
            <w:tcW w:w="567" w:type="dxa"/>
          </w:tcPr>
          <w:p w14:paraId="2AD9759E" w14:textId="77777777" w:rsidR="00EB35E7" w:rsidRPr="00EB35E7" w:rsidRDefault="00EB35E7" w:rsidP="00EB35E7">
            <w:pPr>
              <w:rPr>
                <w:rStyle w:val="Hyperlink"/>
                <w:rFonts w:hint="cs"/>
                <w:rtl/>
              </w:rPr>
            </w:pPr>
            <w:hyperlink w:anchor="Seif1" w:tooltip="מטרה" w:history="1">
              <w:r w:rsidRPr="00EB35E7">
                <w:rPr>
                  <w:rStyle w:val="Hyperlink"/>
                </w:rPr>
                <w:t>Go</w:t>
              </w:r>
            </w:hyperlink>
          </w:p>
        </w:tc>
        <w:tc>
          <w:tcPr>
            <w:tcW w:w="850" w:type="dxa"/>
          </w:tcPr>
          <w:p w14:paraId="7381F19B"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EB35E7" w:rsidRPr="00EB35E7" w14:paraId="4B70976D" w14:textId="77777777" w:rsidTr="00EB35E7">
        <w:tblPrEx>
          <w:tblCellMar>
            <w:top w:w="0" w:type="dxa"/>
            <w:bottom w:w="0" w:type="dxa"/>
          </w:tblCellMar>
        </w:tblPrEx>
        <w:tc>
          <w:tcPr>
            <w:tcW w:w="1247" w:type="dxa"/>
          </w:tcPr>
          <w:p w14:paraId="467422CA" w14:textId="77777777" w:rsidR="00EB35E7" w:rsidRPr="00EB35E7" w:rsidRDefault="00EB35E7" w:rsidP="00EB35E7">
            <w:pPr>
              <w:rPr>
                <w:rFonts w:cs="Frankruhel" w:hint="cs"/>
                <w:rtl/>
              </w:rPr>
            </w:pPr>
            <w:r>
              <w:rPr>
                <w:rtl/>
              </w:rPr>
              <w:t xml:space="preserve">סעיף 2 </w:t>
            </w:r>
          </w:p>
        </w:tc>
        <w:tc>
          <w:tcPr>
            <w:tcW w:w="5669" w:type="dxa"/>
          </w:tcPr>
          <w:p w14:paraId="70676F8E" w14:textId="77777777" w:rsidR="00EB35E7" w:rsidRPr="00EB35E7" w:rsidRDefault="00EB35E7" w:rsidP="00EB35E7">
            <w:pPr>
              <w:rPr>
                <w:rFonts w:cs="Frankruhel" w:hint="cs"/>
                <w:rtl/>
              </w:rPr>
            </w:pPr>
            <w:r>
              <w:rPr>
                <w:rtl/>
              </w:rPr>
              <w:t>הגדרות</w:t>
            </w:r>
          </w:p>
        </w:tc>
        <w:tc>
          <w:tcPr>
            <w:tcW w:w="567" w:type="dxa"/>
          </w:tcPr>
          <w:p w14:paraId="4B2F8210" w14:textId="77777777" w:rsidR="00EB35E7" w:rsidRPr="00EB35E7" w:rsidRDefault="00EB35E7" w:rsidP="00EB35E7">
            <w:pPr>
              <w:rPr>
                <w:rStyle w:val="Hyperlink"/>
                <w:rFonts w:hint="cs"/>
                <w:rtl/>
              </w:rPr>
            </w:pPr>
            <w:hyperlink w:anchor="Seif2" w:tooltip="הגדרות" w:history="1">
              <w:r w:rsidRPr="00EB35E7">
                <w:rPr>
                  <w:rStyle w:val="Hyperlink"/>
                </w:rPr>
                <w:t>Go</w:t>
              </w:r>
            </w:hyperlink>
          </w:p>
        </w:tc>
        <w:tc>
          <w:tcPr>
            <w:tcW w:w="850" w:type="dxa"/>
          </w:tcPr>
          <w:p w14:paraId="789D73CE"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EB35E7" w:rsidRPr="00EB35E7" w14:paraId="2D7C0D82" w14:textId="77777777" w:rsidTr="00EB35E7">
        <w:tblPrEx>
          <w:tblCellMar>
            <w:top w:w="0" w:type="dxa"/>
            <w:bottom w:w="0" w:type="dxa"/>
          </w:tblCellMar>
        </w:tblPrEx>
        <w:tc>
          <w:tcPr>
            <w:tcW w:w="1247" w:type="dxa"/>
          </w:tcPr>
          <w:p w14:paraId="396E1886" w14:textId="77777777" w:rsidR="00EB35E7" w:rsidRPr="00EB35E7" w:rsidRDefault="00EB35E7" w:rsidP="00EB35E7">
            <w:pPr>
              <w:rPr>
                <w:rFonts w:cs="Frankruhel" w:hint="cs"/>
                <w:rtl/>
              </w:rPr>
            </w:pPr>
          </w:p>
        </w:tc>
        <w:tc>
          <w:tcPr>
            <w:tcW w:w="5669" w:type="dxa"/>
          </w:tcPr>
          <w:p w14:paraId="4FAFA40C" w14:textId="77777777" w:rsidR="00EB35E7" w:rsidRPr="00EB35E7" w:rsidRDefault="00EB35E7" w:rsidP="00EB35E7">
            <w:pPr>
              <w:rPr>
                <w:rFonts w:cs="Frankruhel" w:hint="cs"/>
                <w:rtl/>
              </w:rPr>
            </w:pPr>
            <w:r>
              <w:rPr>
                <w:rtl/>
              </w:rPr>
              <w:t>פרק ב': אימוץ הכרזת מועצת הביטחון</w:t>
            </w:r>
          </w:p>
        </w:tc>
        <w:tc>
          <w:tcPr>
            <w:tcW w:w="567" w:type="dxa"/>
          </w:tcPr>
          <w:p w14:paraId="20353242" w14:textId="77777777" w:rsidR="00EB35E7" w:rsidRPr="00EB35E7" w:rsidRDefault="00EB35E7" w:rsidP="00EB35E7">
            <w:pPr>
              <w:rPr>
                <w:rStyle w:val="Hyperlink"/>
                <w:rFonts w:hint="cs"/>
                <w:rtl/>
              </w:rPr>
            </w:pPr>
            <w:hyperlink w:anchor="med1" w:tooltip="פרק ב: אימוץ הכרזת מועצת הביטחון" w:history="1">
              <w:r w:rsidRPr="00EB35E7">
                <w:rPr>
                  <w:rStyle w:val="Hyperlink"/>
                </w:rPr>
                <w:t>Go</w:t>
              </w:r>
            </w:hyperlink>
          </w:p>
        </w:tc>
        <w:tc>
          <w:tcPr>
            <w:tcW w:w="850" w:type="dxa"/>
          </w:tcPr>
          <w:p w14:paraId="33D5D5E9"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EB35E7" w:rsidRPr="00EB35E7" w14:paraId="1B4616BE" w14:textId="77777777" w:rsidTr="00EB35E7">
        <w:tblPrEx>
          <w:tblCellMar>
            <w:top w:w="0" w:type="dxa"/>
            <w:bottom w:w="0" w:type="dxa"/>
          </w:tblCellMar>
        </w:tblPrEx>
        <w:tc>
          <w:tcPr>
            <w:tcW w:w="1247" w:type="dxa"/>
          </w:tcPr>
          <w:p w14:paraId="0B1F011B" w14:textId="77777777" w:rsidR="00EB35E7" w:rsidRPr="00EB35E7" w:rsidRDefault="00EB35E7" w:rsidP="00EB35E7">
            <w:pPr>
              <w:rPr>
                <w:rFonts w:cs="Frankruhel" w:hint="cs"/>
                <w:rtl/>
              </w:rPr>
            </w:pPr>
            <w:r>
              <w:rPr>
                <w:rtl/>
              </w:rPr>
              <w:t xml:space="preserve">סעיף 3 </w:t>
            </w:r>
          </w:p>
        </w:tc>
        <w:tc>
          <w:tcPr>
            <w:tcW w:w="5669" w:type="dxa"/>
          </w:tcPr>
          <w:p w14:paraId="3F7A2A39" w14:textId="77777777" w:rsidR="00EB35E7" w:rsidRPr="00EB35E7" w:rsidRDefault="00EB35E7" w:rsidP="00EB35E7">
            <w:pPr>
              <w:rPr>
                <w:rFonts w:cs="Frankruhel" w:hint="cs"/>
                <w:rtl/>
              </w:rPr>
            </w:pPr>
            <w:r>
              <w:rPr>
                <w:rtl/>
              </w:rPr>
              <w:t>אימוץ הכרזת מועצת הביטחון</w:t>
            </w:r>
          </w:p>
        </w:tc>
        <w:tc>
          <w:tcPr>
            <w:tcW w:w="567" w:type="dxa"/>
          </w:tcPr>
          <w:p w14:paraId="4CB29623" w14:textId="77777777" w:rsidR="00EB35E7" w:rsidRPr="00EB35E7" w:rsidRDefault="00EB35E7" w:rsidP="00EB35E7">
            <w:pPr>
              <w:rPr>
                <w:rStyle w:val="Hyperlink"/>
                <w:rFonts w:hint="cs"/>
                <w:rtl/>
              </w:rPr>
            </w:pPr>
            <w:hyperlink w:anchor="Seif3" w:tooltip="אימוץ הכרזת מועצת הביטחון" w:history="1">
              <w:r w:rsidRPr="00EB35E7">
                <w:rPr>
                  <w:rStyle w:val="Hyperlink"/>
                </w:rPr>
                <w:t>Go</w:t>
              </w:r>
            </w:hyperlink>
          </w:p>
        </w:tc>
        <w:tc>
          <w:tcPr>
            <w:tcW w:w="850" w:type="dxa"/>
          </w:tcPr>
          <w:p w14:paraId="7A3696DA"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B35E7" w:rsidRPr="00EB35E7" w14:paraId="2B629F40" w14:textId="77777777" w:rsidTr="00EB35E7">
        <w:tblPrEx>
          <w:tblCellMar>
            <w:top w:w="0" w:type="dxa"/>
            <w:bottom w:w="0" w:type="dxa"/>
          </w:tblCellMar>
        </w:tblPrEx>
        <w:tc>
          <w:tcPr>
            <w:tcW w:w="1247" w:type="dxa"/>
          </w:tcPr>
          <w:p w14:paraId="6AE34014" w14:textId="77777777" w:rsidR="00EB35E7" w:rsidRPr="00EB35E7" w:rsidRDefault="00EB35E7" w:rsidP="00EB35E7">
            <w:pPr>
              <w:rPr>
                <w:rFonts w:cs="Frankruhel" w:hint="cs"/>
                <w:rtl/>
              </w:rPr>
            </w:pPr>
          </w:p>
        </w:tc>
        <w:tc>
          <w:tcPr>
            <w:tcW w:w="5669" w:type="dxa"/>
          </w:tcPr>
          <w:p w14:paraId="2B1E1CED" w14:textId="77777777" w:rsidR="00EB35E7" w:rsidRPr="00EB35E7" w:rsidRDefault="00EB35E7" w:rsidP="00EB35E7">
            <w:pPr>
              <w:rPr>
                <w:rFonts w:cs="Frankruhel" w:hint="cs"/>
                <w:rtl/>
              </w:rPr>
            </w:pPr>
            <w:r>
              <w:rPr>
                <w:rtl/>
              </w:rPr>
              <w:t>פרק ג': הכרזת שר האוצר בשל הכרזת גורם מוסמך זר</w:t>
            </w:r>
          </w:p>
        </w:tc>
        <w:tc>
          <w:tcPr>
            <w:tcW w:w="567" w:type="dxa"/>
          </w:tcPr>
          <w:p w14:paraId="3D488C09" w14:textId="77777777" w:rsidR="00EB35E7" w:rsidRPr="00EB35E7" w:rsidRDefault="00EB35E7" w:rsidP="00EB35E7">
            <w:pPr>
              <w:rPr>
                <w:rStyle w:val="Hyperlink"/>
                <w:rFonts w:hint="cs"/>
                <w:rtl/>
              </w:rPr>
            </w:pPr>
            <w:hyperlink w:anchor="med2" w:tooltip="פרק ג: הכרזת שר האוצר בשל הכרזת גורם מוסמך זר" w:history="1">
              <w:r w:rsidRPr="00EB35E7">
                <w:rPr>
                  <w:rStyle w:val="Hyperlink"/>
                </w:rPr>
                <w:t>Go</w:t>
              </w:r>
            </w:hyperlink>
          </w:p>
        </w:tc>
        <w:tc>
          <w:tcPr>
            <w:tcW w:w="850" w:type="dxa"/>
          </w:tcPr>
          <w:p w14:paraId="23310A3E"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EB35E7" w:rsidRPr="00EB35E7" w14:paraId="62E3444D" w14:textId="77777777" w:rsidTr="00EB35E7">
        <w:tblPrEx>
          <w:tblCellMar>
            <w:top w:w="0" w:type="dxa"/>
            <w:bottom w:w="0" w:type="dxa"/>
          </w:tblCellMar>
        </w:tblPrEx>
        <w:tc>
          <w:tcPr>
            <w:tcW w:w="1247" w:type="dxa"/>
          </w:tcPr>
          <w:p w14:paraId="018432F8" w14:textId="77777777" w:rsidR="00EB35E7" w:rsidRPr="00EB35E7" w:rsidRDefault="00EB35E7" w:rsidP="00EB35E7">
            <w:pPr>
              <w:rPr>
                <w:rFonts w:cs="Frankruhel" w:hint="cs"/>
                <w:rtl/>
              </w:rPr>
            </w:pPr>
            <w:r>
              <w:rPr>
                <w:rtl/>
              </w:rPr>
              <w:t xml:space="preserve">סעיף 4 </w:t>
            </w:r>
          </w:p>
        </w:tc>
        <w:tc>
          <w:tcPr>
            <w:tcW w:w="5669" w:type="dxa"/>
          </w:tcPr>
          <w:p w14:paraId="47A409F8" w14:textId="77777777" w:rsidR="00EB35E7" w:rsidRPr="00EB35E7" w:rsidRDefault="00EB35E7" w:rsidP="00EB35E7">
            <w:pPr>
              <w:rPr>
                <w:rFonts w:cs="Frankruhel" w:hint="cs"/>
                <w:rtl/>
              </w:rPr>
            </w:pPr>
            <w:r>
              <w:rPr>
                <w:rtl/>
              </w:rPr>
              <w:t>הכרזת שר האוצר בשל הכרזת גורם מוסמך זר</w:t>
            </w:r>
          </w:p>
        </w:tc>
        <w:tc>
          <w:tcPr>
            <w:tcW w:w="567" w:type="dxa"/>
          </w:tcPr>
          <w:p w14:paraId="7B1F3992" w14:textId="77777777" w:rsidR="00EB35E7" w:rsidRPr="00EB35E7" w:rsidRDefault="00EB35E7" w:rsidP="00EB35E7">
            <w:pPr>
              <w:rPr>
                <w:rStyle w:val="Hyperlink"/>
                <w:rFonts w:hint="cs"/>
                <w:rtl/>
              </w:rPr>
            </w:pPr>
            <w:hyperlink w:anchor="Seif4" w:tooltip="הכרזת שר האוצר בשל הכרזת גורם מוסמך זר" w:history="1">
              <w:r w:rsidRPr="00EB35E7">
                <w:rPr>
                  <w:rStyle w:val="Hyperlink"/>
                </w:rPr>
                <w:t>Go</w:t>
              </w:r>
            </w:hyperlink>
          </w:p>
        </w:tc>
        <w:tc>
          <w:tcPr>
            <w:tcW w:w="850" w:type="dxa"/>
          </w:tcPr>
          <w:p w14:paraId="77F09078"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EB35E7" w:rsidRPr="00EB35E7" w14:paraId="64C9A596" w14:textId="77777777" w:rsidTr="00EB35E7">
        <w:tblPrEx>
          <w:tblCellMar>
            <w:top w:w="0" w:type="dxa"/>
            <w:bottom w:w="0" w:type="dxa"/>
          </w:tblCellMar>
        </w:tblPrEx>
        <w:tc>
          <w:tcPr>
            <w:tcW w:w="1247" w:type="dxa"/>
          </w:tcPr>
          <w:p w14:paraId="43C02FCA" w14:textId="77777777" w:rsidR="00EB35E7" w:rsidRPr="00EB35E7" w:rsidRDefault="00EB35E7" w:rsidP="00EB35E7">
            <w:pPr>
              <w:rPr>
                <w:rFonts w:cs="Frankruhel" w:hint="cs"/>
                <w:rtl/>
              </w:rPr>
            </w:pPr>
          </w:p>
        </w:tc>
        <w:tc>
          <w:tcPr>
            <w:tcW w:w="5669" w:type="dxa"/>
          </w:tcPr>
          <w:p w14:paraId="3EF62EDA" w14:textId="77777777" w:rsidR="00EB35E7" w:rsidRPr="00EB35E7" w:rsidRDefault="00EB35E7" w:rsidP="00EB35E7">
            <w:pPr>
              <w:rPr>
                <w:rFonts w:cs="Frankruhel" w:hint="cs"/>
                <w:rtl/>
              </w:rPr>
            </w:pPr>
            <w:r>
              <w:rPr>
                <w:rtl/>
              </w:rPr>
              <w:t>פרק ד': הוראות לעניין גורם מוכרז וגורם קשור</w:t>
            </w:r>
          </w:p>
        </w:tc>
        <w:tc>
          <w:tcPr>
            <w:tcW w:w="567" w:type="dxa"/>
          </w:tcPr>
          <w:p w14:paraId="05702C34" w14:textId="77777777" w:rsidR="00EB35E7" w:rsidRPr="00EB35E7" w:rsidRDefault="00EB35E7" w:rsidP="00EB35E7">
            <w:pPr>
              <w:rPr>
                <w:rStyle w:val="Hyperlink"/>
                <w:rFonts w:hint="cs"/>
                <w:rtl/>
              </w:rPr>
            </w:pPr>
            <w:hyperlink w:anchor="med3" w:tooltip="פרק ד: הוראות לעניין גורם מוכרז וגורם קשור" w:history="1">
              <w:r w:rsidRPr="00EB35E7">
                <w:rPr>
                  <w:rStyle w:val="Hyperlink"/>
                </w:rPr>
                <w:t>Go</w:t>
              </w:r>
            </w:hyperlink>
          </w:p>
        </w:tc>
        <w:tc>
          <w:tcPr>
            <w:tcW w:w="850" w:type="dxa"/>
          </w:tcPr>
          <w:p w14:paraId="3B5C738C"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EB35E7" w:rsidRPr="00EB35E7" w14:paraId="55BD0D5E" w14:textId="77777777" w:rsidTr="00EB35E7">
        <w:tblPrEx>
          <w:tblCellMar>
            <w:top w:w="0" w:type="dxa"/>
            <w:bottom w:w="0" w:type="dxa"/>
          </w:tblCellMar>
        </w:tblPrEx>
        <w:tc>
          <w:tcPr>
            <w:tcW w:w="1247" w:type="dxa"/>
          </w:tcPr>
          <w:p w14:paraId="26E262A1" w14:textId="77777777" w:rsidR="00EB35E7" w:rsidRPr="00EB35E7" w:rsidRDefault="00EB35E7" w:rsidP="00EB35E7">
            <w:pPr>
              <w:rPr>
                <w:rFonts w:cs="Frankruhel" w:hint="cs"/>
                <w:rtl/>
              </w:rPr>
            </w:pPr>
            <w:r>
              <w:rPr>
                <w:rtl/>
              </w:rPr>
              <w:t xml:space="preserve">סעיף 5 </w:t>
            </w:r>
          </w:p>
        </w:tc>
        <w:tc>
          <w:tcPr>
            <w:tcW w:w="5669" w:type="dxa"/>
          </w:tcPr>
          <w:p w14:paraId="55EE8CFC" w14:textId="77777777" w:rsidR="00EB35E7" w:rsidRPr="00EB35E7" w:rsidRDefault="00EB35E7" w:rsidP="00EB35E7">
            <w:pPr>
              <w:rPr>
                <w:rFonts w:cs="Frankruhel" w:hint="cs"/>
                <w:rtl/>
              </w:rPr>
            </w:pPr>
            <w:r>
              <w:rPr>
                <w:rtl/>
              </w:rPr>
              <w:t>איסור קיום פעילות כלכלית עם גורם מוכרז וגורם קשור והפסקת פעילות כלכלית קיימת</w:t>
            </w:r>
          </w:p>
        </w:tc>
        <w:tc>
          <w:tcPr>
            <w:tcW w:w="567" w:type="dxa"/>
          </w:tcPr>
          <w:p w14:paraId="3BA378DD" w14:textId="77777777" w:rsidR="00EB35E7" w:rsidRPr="00EB35E7" w:rsidRDefault="00EB35E7" w:rsidP="00EB35E7">
            <w:pPr>
              <w:rPr>
                <w:rStyle w:val="Hyperlink"/>
                <w:rFonts w:hint="cs"/>
                <w:rtl/>
              </w:rPr>
            </w:pPr>
            <w:hyperlink w:anchor="Seif5" w:tooltip="איסור קיום פעילות כלכלית עם גורם מוכרז וגורם קשור והפסקת פעילות כלכלית קיימת" w:history="1">
              <w:r w:rsidRPr="00EB35E7">
                <w:rPr>
                  <w:rStyle w:val="Hyperlink"/>
                </w:rPr>
                <w:t>Go</w:t>
              </w:r>
            </w:hyperlink>
          </w:p>
        </w:tc>
        <w:tc>
          <w:tcPr>
            <w:tcW w:w="850" w:type="dxa"/>
          </w:tcPr>
          <w:p w14:paraId="09607D8C"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EB35E7" w:rsidRPr="00EB35E7" w14:paraId="2FE0F511" w14:textId="77777777" w:rsidTr="00EB35E7">
        <w:tblPrEx>
          <w:tblCellMar>
            <w:top w:w="0" w:type="dxa"/>
            <w:bottom w:w="0" w:type="dxa"/>
          </w:tblCellMar>
        </w:tblPrEx>
        <w:tc>
          <w:tcPr>
            <w:tcW w:w="1247" w:type="dxa"/>
          </w:tcPr>
          <w:p w14:paraId="50B6C11D" w14:textId="77777777" w:rsidR="00EB35E7" w:rsidRPr="00EB35E7" w:rsidRDefault="00EB35E7" w:rsidP="00EB35E7">
            <w:pPr>
              <w:rPr>
                <w:rFonts w:cs="Frankruhel" w:hint="cs"/>
                <w:rtl/>
              </w:rPr>
            </w:pPr>
            <w:r>
              <w:rPr>
                <w:rtl/>
              </w:rPr>
              <w:t xml:space="preserve">סעיף 6 </w:t>
            </w:r>
          </w:p>
        </w:tc>
        <w:tc>
          <w:tcPr>
            <w:tcW w:w="5669" w:type="dxa"/>
          </w:tcPr>
          <w:p w14:paraId="0E1B59F1" w14:textId="77777777" w:rsidR="00EB35E7" w:rsidRPr="00EB35E7" w:rsidRDefault="00EB35E7" w:rsidP="00EB35E7">
            <w:pPr>
              <w:rPr>
                <w:rFonts w:cs="Frankruhel" w:hint="cs"/>
                <w:rtl/>
              </w:rPr>
            </w:pPr>
            <w:r>
              <w:rPr>
                <w:rtl/>
              </w:rPr>
              <w:t>חובת דיווח למשטרת ישראל על קיום פעילות כלכלית עם גורם מוכרז או גורם קשור</w:t>
            </w:r>
          </w:p>
        </w:tc>
        <w:tc>
          <w:tcPr>
            <w:tcW w:w="567" w:type="dxa"/>
          </w:tcPr>
          <w:p w14:paraId="4A563550" w14:textId="77777777" w:rsidR="00EB35E7" w:rsidRPr="00EB35E7" w:rsidRDefault="00EB35E7" w:rsidP="00EB35E7">
            <w:pPr>
              <w:rPr>
                <w:rStyle w:val="Hyperlink"/>
                <w:rFonts w:hint="cs"/>
                <w:rtl/>
              </w:rPr>
            </w:pPr>
            <w:hyperlink w:anchor="Seif6" w:tooltip="חובת דיווח למשטרת ישראל על קיום פעילות כלכלית עם גורם מוכרז או גורם קשור" w:history="1">
              <w:r w:rsidRPr="00EB35E7">
                <w:rPr>
                  <w:rStyle w:val="Hyperlink"/>
                </w:rPr>
                <w:t>Go</w:t>
              </w:r>
            </w:hyperlink>
          </w:p>
        </w:tc>
        <w:tc>
          <w:tcPr>
            <w:tcW w:w="850" w:type="dxa"/>
          </w:tcPr>
          <w:p w14:paraId="684811D5"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EB35E7" w:rsidRPr="00EB35E7" w14:paraId="7BBB414A" w14:textId="77777777" w:rsidTr="00EB35E7">
        <w:tblPrEx>
          <w:tblCellMar>
            <w:top w:w="0" w:type="dxa"/>
            <w:bottom w:w="0" w:type="dxa"/>
          </w:tblCellMar>
        </w:tblPrEx>
        <w:tc>
          <w:tcPr>
            <w:tcW w:w="1247" w:type="dxa"/>
          </w:tcPr>
          <w:p w14:paraId="64265B19" w14:textId="77777777" w:rsidR="00EB35E7" w:rsidRPr="00EB35E7" w:rsidRDefault="00EB35E7" w:rsidP="00EB35E7">
            <w:pPr>
              <w:rPr>
                <w:rFonts w:cs="Frankruhel" w:hint="cs"/>
                <w:rtl/>
              </w:rPr>
            </w:pPr>
            <w:r>
              <w:rPr>
                <w:rtl/>
              </w:rPr>
              <w:t xml:space="preserve">סעיף 7 </w:t>
            </w:r>
          </w:p>
        </w:tc>
        <w:tc>
          <w:tcPr>
            <w:tcW w:w="5669" w:type="dxa"/>
          </w:tcPr>
          <w:p w14:paraId="2E81CAB0" w14:textId="77777777" w:rsidR="00EB35E7" w:rsidRPr="00EB35E7" w:rsidRDefault="00EB35E7" w:rsidP="00EB35E7">
            <w:pPr>
              <w:rPr>
                <w:rFonts w:cs="Frankruhel" w:hint="cs"/>
                <w:rtl/>
              </w:rPr>
            </w:pPr>
            <w:r>
              <w:rPr>
                <w:rtl/>
              </w:rPr>
              <w:t>פטור מאחריות והגבלות על גילוי דיווח</w:t>
            </w:r>
          </w:p>
        </w:tc>
        <w:tc>
          <w:tcPr>
            <w:tcW w:w="567" w:type="dxa"/>
          </w:tcPr>
          <w:p w14:paraId="44499E66" w14:textId="77777777" w:rsidR="00EB35E7" w:rsidRPr="00EB35E7" w:rsidRDefault="00EB35E7" w:rsidP="00EB35E7">
            <w:pPr>
              <w:rPr>
                <w:rStyle w:val="Hyperlink"/>
                <w:rFonts w:hint="cs"/>
                <w:rtl/>
              </w:rPr>
            </w:pPr>
            <w:hyperlink w:anchor="Seif7" w:tooltip="פטור מאחריות והגבלות על גילוי דיווח" w:history="1">
              <w:r w:rsidRPr="00EB35E7">
                <w:rPr>
                  <w:rStyle w:val="Hyperlink"/>
                </w:rPr>
                <w:t>Go</w:t>
              </w:r>
            </w:hyperlink>
          </w:p>
        </w:tc>
        <w:tc>
          <w:tcPr>
            <w:tcW w:w="850" w:type="dxa"/>
          </w:tcPr>
          <w:p w14:paraId="574E8E70"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EB35E7" w:rsidRPr="00EB35E7" w14:paraId="33FD5251" w14:textId="77777777" w:rsidTr="00EB35E7">
        <w:tblPrEx>
          <w:tblCellMar>
            <w:top w:w="0" w:type="dxa"/>
            <w:bottom w:w="0" w:type="dxa"/>
          </w:tblCellMar>
        </w:tblPrEx>
        <w:tc>
          <w:tcPr>
            <w:tcW w:w="1247" w:type="dxa"/>
          </w:tcPr>
          <w:p w14:paraId="59C4B595" w14:textId="77777777" w:rsidR="00EB35E7" w:rsidRPr="00EB35E7" w:rsidRDefault="00EB35E7" w:rsidP="00EB35E7">
            <w:pPr>
              <w:rPr>
                <w:rFonts w:cs="Frankruhel" w:hint="cs"/>
                <w:rtl/>
              </w:rPr>
            </w:pPr>
            <w:r>
              <w:rPr>
                <w:rtl/>
              </w:rPr>
              <w:t xml:space="preserve">סעיף 8 </w:t>
            </w:r>
          </w:p>
        </w:tc>
        <w:tc>
          <w:tcPr>
            <w:tcW w:w="5669" w:type="dxa"/>
          </w:tcPr>
          <w:p w14:paraId="6A76FF26" w14:textId="77777777" w:rsidR="00EB35E7" w:rsidRPr="00EB35E7" w:rsidRDefault="00EB35E7" w:rsidP="00EB35E7">
            <w:pPr>
              <w:rPr>
                <w:rFonts w:cs="Frankruhel" w:hint="cs"/>
                <w:rtl/>
              </w:rPr>
            </w:pPr>
            <w:r>
              <w:rPr>
                <w:rtl/>
              </w:rPr>
              <w:t>תחולת הוראות חוק איסור הלבנת הון</w:t>
            </w:r>
          </w:p>
        </w:tc>
        <w:tc>
          <w:tcPr>
            <w:tcW w:w="567" w:type="dxa"/>
          </w:tcPr>
          <w:p w14:paraId="722755D4" w14:textId="77777777" w:rsidR="00EB35E7" w:rsidRPr="00EB35E7" w:rsidRDefault="00EB35E7" w:rsidP="00EB35E7">
            <w:pPr>
              <w:rPr>
                <w:rStyle w:val="Hyperlink"/>
                <w:rFonts w:hint="cs"/>
                <w:rtl/>
              </w:rPr>
            </w:pPr>
            <w:hyperlink w:anchor="Seif8" w:tooltip="תחולת הוראות חוק איסור הלבנת הון" w:history="1">
              <w:r w:rsidRPr="00EB35E7">
                <w:rPr>
                  <w:rStyle w:val="Hyperlink"/>
                </w:rPr>
                <w:t>Go</w:t>
              </w:r>
            </w:hyperlink>
          </w:p>
        </w:tc>
        <w:tc>
          <w:tcPr>
            <w:tcW w:w="850" w:type="dxa"/>
          </w:tcPr>
          <w:p w14:paraId="6A149DF9"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EB35E7" w:rsidRPr="00EB35E7" w14:paraId="2F7875A2" w14:textId="77777777" w:rsidTr="00EB35E7">
        <w:tblPrEx>
          <w:tblCellMar>
            <w:top w:w="0" w:type="dxa"/>
            <w:bottom w:w="0" w:type="dxa"/>
          </w:tblCellMar>
        </w:tblPrEx>
        <w:tc>
          <w:tcPr>
            <w:tcW w:w="1247" w:type="dxa"/>
          </w:tcPr>
          <w:p w14:paraId="184BC6BE" w14:textId="77777777" w:rsidR="00EB35E7" w:rsidRPr="00EB35E7" w:rsidRDefault="00EB35E7" w:rsidP="00EB35E7">
            <w:pPr>
              <w:rPr>
                <w:rFonts w:cs="Frankruhel" w:hint="cs"/>
                <w:rtl/>
              </w:rPr>
            </w:pPr>
          </w:p>
        </w:tc>
        <w:tc>
          <w:tcPr>
            <w:tcW w:w="5669" w:type="dxa"/>
          </w:tcPr>
          <w:p w14:paraId="2E142E48" w14:textId="77777777" w:rsidR="00EB35E7" w:rsidRPr="00EB35E7" w:rsidRDefault="00EB35E7" w:rsidP="00EB35E7">
            <w:pPr>
              <w:rPr>
                <w:rFonts w:cs="Frankruhel" w:hint="cs"/>
                <w:rtl/>
              </w:rPr>
            </w:pPr>
            <w:r>
              <w:rPr>
                <w:rtl/>
              </w:rPr>
              <w:t>פרק ה': הוראות כלליות לעניין הכרזות לפי סעיפים 3 ו-4</w:t>
            </w:r>
          </w:p>
        </w:tc>
        <w:tc>
          <w:tcPr>
            <w:tcW w:w="567" w:type="dxa"/>
          </w:tcPr>
          <w:p w14:paraId="57405007" w14:textId="77777777" w:rsidR="00EB35E7" w:rsidRPr="00EB35E7" w:rsidRDefault="00EB35E7" w:rsidP="00EB35E7">
            <w:pPr>
              <w:rPr>
                <w:rStyle w:val="Hyperlink"/>
                <w:rFonts w:hint="cs"/>
                <w:rtl/>
              </w:rPr>
            </w:pPr>
            <w:hyperlink w:anchor="med4" w:tooltip="פרק ה: הוראות כלליות לעניין הכרזות לפי סעיפים 3 ו-4" w:history="1">
              <w:r w:rsidRPr="00EB35E7">
                <w:rPr>
                  <w:rStyle w:val="Hyperlink"/>
                </w:rPr>
                <w:t>Go</w:t>
              </w:r>
            </w:hyperlink>
          </w:p>
        </w:tc>
        <w:tc>
          <w:tcPr>
            <w:tcW w:w="850" w:type="dxa"/>
          </w:tcPr>
          <w:p w14:paraId="594B0E82"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EB35E7" w:rsidRPr="00EB35E7" w14:paraId="355B496C" w14:textId="77777777" w:rsidTr="00EB35E7">
        <w:tblPrEx>
          <w:tblCellMar>
            <w:top w:w="0" w:type="dxa"/>
            <w:bottom w:w="0" w:type="dxa"/>
          </w:tblCellMar>
        </w:tblPrEx>
        <w:tc>
          <w:tcPr>
            <w:tcW w:w="1247" w:type="dxa"/>
          </w:tcPr>
          <w:p w14:paraId="3B458A9D" w14:textId="77777777" w:rsidR="00EB35E7" w:rsidRPr="00EB35E7" w:rsidRDefault="00EB35E7" w:rsidP="00EB35E7">
            <w:pPr>
              <w:rPr>
                <w:rFonts w:cs="Frankruhel" w:hint="cs"/>
                <w:rtl/>
              </w:rPr>
            </w:pPr>
            <w:r>
              <w:rPr>
                <w:rtl/>
              </w:rPr>
              <w:t xml:space="preserve">סעיף 9 </w:t>
            </w:r>
          </w:p>
        </w:tc>
        <w:tc>
          <w:tcPr>
            <w:tcW w:w="5669" w:type="dxa"/>
          </w:tcPr>
          <w:p w14:paraId="75E37CCD" w14:textId="77777777" w:rsidR="00EB35E7" w:rsidRPr="00EB35E7" w:rsidRDefault="00EB35E7" w:rsidP="00EB35E7">
            <w:pPr>
              <w:rPr>
                <w:rFonts w:cs="Frankruhel" w:hint="cs"/>
                <w:rtl/>
              </w:rPr>
            </w:pPr>
            <w:r>
              <w:rPr>
                <w:rtl/>
              </w:rPr>
              <w:t>הודעה על כוונה להכריז</w:t>
            </w:r>
          </w:p>
        </w:tc>
        <w:tc>
          <w:tcPr>
            <w:tcW w:w="567" w:type="dxa"/>
          </w:tcPr>
          <w:p w14:paraId="3337C786" w14:textId="77777777" w:rsidR="00EB35E7" w:rsidRPr="00EB35E7" w:rsidRDefault="00EB35E7" w:rsidP="00EB35E7">
            <w:pPr>
              <w:rPr>
                <w:rStyle w:val="Hyperlink"/>
                <w:rFonts w:hint="cs"/>
                <w:rtl/>
              </w:rPr>
            </w:pPr>
            <w:hyperlink w:anchor="Seif9" w:tooltip="הודעה על כוונה להכריז" w:history="1">
              <w:r w:rsidRPr="00EB35E7">
                <w:rPr>
                  <w:rStyle w:val="Hyperlink"/>
                </w:rPr>
                <w:t>Go</w:t>
              </w:r>
            </w:hyperlink>
          </w:p>
        </w:tc>
        <w:tc>
          <w:tcPr>
            <w:tcW w:w="850" w:type="dxa"/>
          </w:tcPr>
          <w:p w14:paraId="7DEE2DAD"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EB35E7" w:rsidRPr="00EB35E7" w14:paraId="6E1D1DD4" w14:textId="77777777" w:rsidTr="00EB35E7">
        <w:tblPrEx>
          <w:tblCellMar>
            <w:top w:w="0" w:type="dxa"/>
            <w:bottom w:w="0" w:type="dxa"/>
          </w:tblCellMar>
        </w:tblPrEx>
        <w:tc>
          <w:tcPr>
            <w:tcW w:w="1247" w:type="dxa"/>
          </w:tcPr>
          <w:p w14:paraId="0A1C8C94" w14:textId="77777777" w:rsidR="00EB35E7" w:rsidRPr="00EB35E7" w:rsidRDefault="00EB35E7" w:rsidP="00EB35E7">
            <w:pPr>
              <w:rPr>
                <w:rFonts w:cs="Frankruhel" w:hint="cs"/>
                <w:rtl/>
              </w:rPr>
            </w:pPr>
            <w:r>
              <w:rPr>
                <w:rtl/>
              </w:rPr>
              <w:t xml:space="preserve">סעיף 10 </w:t>
            </w:r>
          </w:p>
        </w:tc>
        <w:tc>
          <w:tcPr>
            <w:tcW w:w="5669" w:type="dxa"/>
          </w:tcPr>
          <w:p w14:paraId="0449C32A" w14:textId="77777777" w:rsidR="00EB35E7" w:rsidRPr="00EB35E7" w:rsidRDefault="00EB35E7" w:rsidP="00EB35E7">
            <w:pPr>
              <w:rPr>
                <w:rFonts w:cs="Frankruhel" w:hint="cs"/>
                <w:rtl/>
              </w:rPr>
            </w:pPr>
            <w:r>
              <w:rPr>
                <w:rtl/>
              </w:rPr>
              <w:t>בקשה שלא להכריז</w:t>
            </w:r>
          </w:p>
        </w:tc>
        <w:tc>
          <w:tcPr>
            <w:tcW w:w="567" w:type="dxa"/>
          </w:tcPr>
          <w:p w14:paraId="1CD0DAFB" w14:textId="77777777" w:rsidR="00EB35E7" w:rsidRPr="00EB35E7" w:rsidRDefault="00EB35E7" w:rsidP="00EB35E7">
            <w:pPr>
              <w:rPr>
                <w:rStyle w:val="Hyperlink"/>
                <w:rFonts w:hint="cs"/>
                <w:rtl/>
              </w:rPr>
            </w:pPr>
            <w:hyperlink w:anchor="Seif10" w:tooltip="בקשה שלא להכריז" w:history="1">
              <w:r w:rsidRPr="00EB35E7">
                <w:rPr>
                  <w:rStyle w:val="Hyperlink"/>
                </w:rPr>
                <w:t>Go</w:t>
              </w:r>
            </w:hyperlink>
          </w:p>
        </w:tc>
        <w:tc>
          <w:tcPr>
            <w:tcW w:w="850" w:type="dxa"/>
          </w:tcPr>
          <w:p w14:paraId="136D95EB"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EB35E7" w:rsidRPr="00EB35E7" w14:paraId="1E2F0CBE" w14:textId="77777777" w:rsidTr="00EB35E7">
        <w:tblPrEx>
          <w:tblCellMar>
            <w:top w:w="0" w:type="dxa"/>
            <w:bottom w:w="0" w:type="dxa"/>
          </w:tblCellMar>
        </w:tblPrEx>
        <w:tc>
          <w:tcPr>
            <w:tcW w:w="1247" w:type="dxa"/>
          </w:tcPr>
          <w:p w14:paraId="6E0E3677" w14:textId="77777777" w:rsidR="00EB35E7" w:rsidRPr="00EB35E7" w:rsidRDefault="00EB35E7" w:rsidP="00EB35E7">
            <w:pPr>
              <w:rPr>
                <w:rFonts w:cs="Frankruhel" w:hint="cs"/>
                <w:rtl/>
              </w:rPr>
            </w:pPr>
            <w:r>
              <w:rPr>
                <w:rtl/>
              </w:rPr>
              <w:t xml:space="preserve">סעיף 11 </w:t>
            </w:r>
          </w:p>
        </w:tc>
        <w:tc>
          <w:tcPr>
            <w:tcW w:w="5669" w:type="dxa"/>
          </w:tcPr>
          <w:p w14:paraId="324C552A" w14:textId="77777777" w:rsidR="00EB35E7" w:rsidRPr="00EB35E7" w:rsidRDefault="00EB35E7" w:rsidP="00EB35E7">
            <w:pPr>
              <w:rPr>
                <w:rFonts w:cs="Frankruhel" w:hint="cs"/>
                <w:rtl/>
              </w:rPr>
            </w:pPr>
            <w:r>
              <w:rPr>
                <w:rtl/>
              </w:rPr>
              <w:t>בקשה לביטול הכרזה</w:t>
            </w:r>
          </w:p>
        </w:tc>
        <w:tc>
          <w:tcPr>
            <w:tcW w:w="567" w:type="dxa"/>
          </w:tcPr>
          <w:p w14:paraId="356BEF52" w14:textId="77777777" w:rsidR="00EB35E7" w:rsidRPr="00EB35E7" w:rsidRDefault="00EB35E7" w:rsidP="00EB35E7">
            <w:pPr>
              <w:rPr>
                <w:rStyle w:val="Hyperlink"/>
                <w:rFonts w:hint="cs"/>
                <w:rtl/>
              </w:rPr>
            </w:pPr>
            <w:hyperlink w:anchor="Seif11" w:tooltip="בקשה לביטול הכרזה" w:history="1">
              <w:r w:rsidRPr="00EB35E7">
                <w:rPr>
                  <w:rStyle w:val="Hyperlink"/>
                </w:rPr>
                <w:t>Go</w:t>
              </w:r>
            </w:hyperlink>
          </w:p>
        </w:tc>
        <w:tc>
          <w:tcPr>
            <w:tcW w:w="850" w:type="dxa"/>
          </w:tcPr>
          <w:p w14:paraId="08C8E613"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EB35E7" w:rsidRPr="00EB35E7" w14:paraId="7C96CB92" w14:textId="77777777" w:rsidTr="00EB35E7">
        <w:tblPrEx>
          <w:tblCellMar>
            <w:top w:w="0" w:type="dxa"/>
            <w:bottom w:w="0" w:type="dxa"/>
          </w:tblCellMar>
        </w:tblPrEx>
        <w:tc>
          <w:tcPr>
            <w:tcW w:w="1247" w:type="dxa"/>
          </w:tcPr>
          <w:p w14:paraId="0E08A473" w14:textId="77777777" w:rsidR="00EB35E7" w:rsidRPr="00EB35E7" w:rsidRDefault="00EB35E7" w:rsidP="00EB35E7">
            <w:pPr>
              <w:rPr>
                <w:rFonts w:cs="Frankruhel" w:hint="cs"/>
                <w:rtl/>
              </w:rPr>
            </w:pPr>
            <w:r>
              <w:rPr>
                <w:rtl/>
              </w:rPr>
              <w:t xml:space="preserve">סעיף 12 </w:t>
            </w:r>
          </w:p>
        </w:tc>
        <w:tc>
          <w:tcPr>
            <w:tcW w:w="5669" w:type="dxa"/>
          </w:tcPr>
          <w:p w14:paraId="7C9997EE" w14:textId="77777777" w:rsidR="00EB35E7" w:rsidRPr="00EB35E7" w:rsidRDefault="00EB35E7" w:rsidP="00EB35E7">
            <w:pPr>
              <w:rPr>
                <w:rFonts w:cs="Frankruhel" w:hint="cs"/>
                <w:rtl/>
              </w:rPr>
            </w:pPr>
            <w:r>
              <w:rPr>
                <w:rtl/>
              </w:rPr>
              <w:t>זכות עיון לשם הגשת בקשה שלא להכריז או בקשה לביטול הכרזה</w:t>
            </w:r>
          </w:p>
        </w:tc>
        <w:tc>
          <w:tcPr>
            <w:tcW w:w="567" w:type="dxa"/>
          </w:tcPr>
          <w:p w14:paraId="2B668298" w14:textId="77777777" w:rsidR="00EB35E7" w:rsidRPr="00EB35E7" w:rsidRDefault="00EB35E7" w:rsidP="00EB35E7">
            <w:pPr>
              <w:rPr>
                <w:rStyle w:val="Hyperlink"/>
                <w:rFonts w:hint="cs"/>
                <w:rtl/>
              </w:rPr>
            </w:pPr>
            <w:hyperlink w:anchor="Seif12" w:tooltip="זכות עיון לשם הגשת בקשה שלא להכריז או בקשה לביטול הכרזה" w:history="1">
              <w:r w:rsidRPr="00EB35E7">
                <w:rPr>
                  <w:rStyle w:val="Hyperlink"/>
                </w:rPr>
                <w:t>Go</w:t>
              </w:r>
            </w:hyperlink>
          </w:p>
        </w:tc>
        <w:tc>
          <w:tcPr>
            <w:tcW w:w="850" w:type="dxa"/>
          </w:tcPr>
          <w:p w14:paraId="16ACC1E2"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0F8BB905" w14:textId="77777777" w:rsidTr="00EB35E7">
        <w:tblPrEx>
          <w:tblCellMar>
            <w:top w:w="0" w:type="dxa"/>
            <w:bottom w:w="0" w:type="dxa"/>
          </w:tblCellMar>
        </w:tblPrEx>
        <w:tc>
          <w:tcPr>
            <w:tcW w:w="1247" w:type="dxa"/>
          </w:tcPr>
          <w:p w14:paraId="400CA364" w14:textId="77777777" w:rsidR="00EB35E7" w:rsidRPr="00EB35E7" w:rsidRDefault="00EB35E7" w:rsidP="00EB35E7">
            <w:pPr>
              <w:rPr>
                <w:rFonts w:cs="Frankruhel" w:hint="cs"/>
                <w:rtl/>
              </w:rPr>
            </w:pPr>
          </w:p>
        </w:tc>
        <w:tc>
          <w:tcPr>
            <w:tcW w:w="5669" w:type="dxa"/>
          </w:tcPr>
          <w:p w14:paraId="3FE4F6D7" w14:textId="77777777" w:rsidR="00EB35E7" w:rsidRPr="00EB35E7" w:rsidRDefault="00EB35E7" w:rsidP="00EB35E7">
            <w:pPr>
              <w:rPr>
                <w:rFonts w:cs="Frankruhel" w:hint="cs"/>
                <w:rtl/>
              </w:rPr>
            </w:pPr>
            <w:r>
              <w:rPr>
                <w:rtl/>
              </w:rPr>
              <w:t>פרק ו': עונשין וסמכויות אכיפה</w:t>
            </w:r>
          </w:p>
        </w:tc>
        <w:tc>
          <w:tcPr>
            <w:tcW w:w="567" w:type="dxa"/>
          </w:tcPr>
          <w:p w14:paraId="4DDE62D5" w14:textId="77777777" w:rsidR="00EB35E7" w:rsidRPr="00EB35E7" w:rsidRDefault="00EB35E7" w:rsidP="00EB35E7">
            <w:pPr>
              <w:rPr>
                <w:rStyle w:val="Hyperlink"/>
                <w:rFonts w:hint="cs"/>
                <w:rtl/>
              </w:rPr>
            </w:pPr>
            <w:hyperlink w:anchor="med5" w:tooltip="פרק ו: עונשין וסמכויות אכיפה" w:history="1">
              <w:r w:rsidRPr="00EB35E7">
                <w:rPr>
                  <w:rStyle w:val="Hyperlink"/>
                </w:rPr>
                <w:t>Go</w:t>
              </w:r>
            </w:hyperlink>
          </w:p>
        </w:tc>
        <w:tc>
          <w:tcPr>
            <w:tcW w:w="850" w:type="dxa"/>
          </w:tcPr>
          <w:p w14:paraId="67825F37"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4D03D4B7" w14:textId="77777777" w:rsidTr="00EB35E7">
        <w:tblPrEx>
          <w:tblCellMar>
            <w:top w:w="0" w:type="dxa"/>
            <w:bottom w:w="0" w:type="dxa"/>
          </w:tblCellMar>
        </w:tblPrEx>
        <w:tc>
          <w:tcPr>
            <w:tcW w:w="1247" w:type="dxa"/>
          </w:tcPr>
          <w:p w14:paraId="7E45A7D7" w14:textId="77777777" w:rsidR="00EB35E7" w:rsidRPr="00EB35E7" w:rsidRDefault="00EB35E7" w:rsidP="00EB35E7">
            <w:pPr>
              <w:rPr>
                <w:rFonts w:cs="Frankruhel" w:hint="cs"/>
                <w:rtl/>
              </w:rPr>
            </w:pPr>
            <w:r>
              <w:rPr>
                <w:rtl/>
              </w:rPr>
              <w:t xml:space="preserve">סעיף 13 </w:t>
            </w:r>
          </w:p>
        </w:tc>
        <w:tc>
          <w:tcPr>
            <w:tcW w:w="5669" w:type="dxa"/>
          </w:tcPr>
          <w:p w14:paraId="5144D7B1" w14:textId="77777777" w:rsidR="00EB35E7" w:rsidRPr="00EB35E7" w:rsidRDefault="00EB35E7" w:rsidP="00EB35E7">
            <w:pPr>
              <w:rPr>
                <w:rFonts w:cs="Frankruhel" w:hint="cs"/>
                <w:rtl/>
              </w:rPr>
            </w:pPr>
            <w:r>
              <w:rPr>
                <w:rtl/>
              </w:rPr>
              <w:t>סיוע בפיתוח, בייצור, בהפצה או במימון של נשק להשמדה המונית או קידום פעילות כאמור</w:t>
            </w:r>
          </w:p>
        </w:tc>
        <w:tc>
          <w:tcPr>
            <w:tcW w:w="567" w:type="dxa"/>
          </w:tcPr>
          <w:p w14:paraId="5913936A" w14:textId="77777777" w:rsidR="00EB35E7" w:rsidRPr="00EB35E7" w:rsidRDefault="00EB35E7" w:rsidP="00EB35E7">
            <w:pPr>
              <w:rPr>
                <w:rStyle w:val="Hyperlink"/>
                <w:rFonts w:hint="cs"/>
                <w:rtl/>
              </w:rPr>
            </w:pPr>
            <w:hyperlink w:anchor="Seif13" w:tooltip="סיוע בפיתוח, בייצור, בהפצה או במימון של נשק להשמדה המונית או קידום פעילות כאמור" w:history="1">
              <w:r w:rsidRPr="00EB35E7">
                <w:rPr>
                  <w:rStyle w:val="Hyperlink"/>
                </w:rPr>
                <w:t>Go</w:t>
              </w:r>
            </w:hyperlink>
          </w:p>
        </w:tc>
        <w:tc>
          <w:tcPr>
            <w:tcW w:w="850" w:type="dxa"/>
          </w:tcPr>
          <w:p w14:paraId="5F0B3BD9"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01603E73" w14:textId="77777777" w:rsidTr="00EB35E7">
        <w:tblPrEx>
          <w:tblCellMar>
            <w:top w:w="0" w:type="dxa"/>
            <w:bottom w:w="0" w:type="dxa"/>
          </w:tblCellMar>
        </w:tblPrEx>
        <w:tc>
          <w:tcPr>
            <w:tcW w:w="1247" w:type="dxa"/>
          </w:tcPr>
          <w:p w14:paraId="27044500" w14:textId="77777777" w:rsidR="00EB35E7" w:rsidRPr="00EB35E7" w:rsidRDefault="00EB35E7" w:rsidP="00EB35E7">
            <w:pPr>
              <w:rPr>
                <w:rFonts w:cs="Frankruhel" w:hint="cs"/>
                <w:rtl/>
              </w:rPr>
            </w:pPr>
            <w:r>
              <w:rPr>
                <w:rtl/>
              </w:rPr>
              <w:t xml:space="preserve">סעיף 14 </w:t>
            </w:r>
          </w:p>
        </w:tc>
        <w:tc>
          <w:tcPr>
            <w:tcW w:w="5669" w:type="dxa"/>
          </w:tcPr>
          <w:p w14:paraId="69D7E6A4" w14:textId="77777777" w:rsidR="00EB35E7" w:rsidRPr="00EB35E7" w:rsidRDefault="00EB35E7" w:rsidP="00EB35E7">
            <w:pPr>
              <w:rPr>
                <w:rFonts w:cs="Frankruhel" w:hint="cs"/>
                <w:rtl/>
              </w:rPr>
            </w:pPr>
            <w:r>
              <w:rPr>
                <w:rtl/>
              </w:rPr>
              <w:t>קיום פעילות כלכלית עם גורם מוכרז או גורם קשור</w:t>
            </w:r>
          </w:p>
        </w:tc>
        <w:tc>
          <w:tcPr>
            <w:tcW w:w="567" w:type="dxa"/>
          </w:tcPr>
          <w:p w14:paraId="1AB81306" w14:textId="77777777" w:rsidR="00EB35E7" w:rsidRPr="00EB35E7" w:rsidRDefault="00EB35E7" w:rsidP="00EB35E7">
            <w:pPr>
              <w:rPr>
                <w:rStyle w:val="Hyperlink"/>
                <w:rFonts w:hint="cs"/>
                <w:rtl/>
              </w:rPr>
            </w:pPr>
            <w:hyperlink w:anchor="Seif14" w:tooltip="קיום פעילות כלכלית עם גורם מוכרז או גורם קשור" w:history="1">
              <w:r w:rsidRPr="00EB35E7">
                <w:rPr>
                  <w:rStyle w:val="Hyperlink"/>
                </w:rPr>
                <w:t>Go</w:t>
              </w:r>
            </w:hyperlink>
          </w:p>
        </w:tc>
        <w:tc>
          <w:tcPr>
            <w:tcW w:w="850" w:type="dxa"/>
          </w:tcPr>
          <w:p w14:paraId="22BE80CF"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6E7CE23B" w14:textId="77777777" w:rsidTr="00EB35E7">
        <w:tblPrEx>
          <w:tblCellMar>
            <w:top w:w="0" w:type="dxa"/>
            <w:bottom w:w="0" w:type="dxa"/>
          </w:tblCellMar>
        </w:tblPrEx>
        <w:tc>
          <w:tcPr>
            <w:tcW w:w="1247" w:type="dxa"/>
          </w:tcPr>
          <w:p w14:paraId="64486C8F" w14:textId="77777777" w:rsidR="00EB35E7" w:rsidRPr="00EB35E7" w:rsidRDefault="00EB35E7" w:rsidP="00EB35E7">
            <w:pPr>
              <w:rPr>
                <w:rFonts w:cs="Frankruhel" w:hint="cs"/>
                <w:rtl/>
              </w:rPr>
            </w:pPr>
            <w:r>
              <w:rPr>
                <w:rtl/>
              </w:rPr>
              <w:t xml:space="preserve">סעיף 15 </w:t>
            </w:r>
          </w:p>
        </w:tc>
        <w:tc>
          <w:tcPr>
            <w:tcW w:w="5669" w:type="dxa"/>
          </w:tcPr>
          <w:p w14:paraId="49799F4A" w14:textId="77777777" w:rsidR="00EB35E7" w:rsidRPr="00EB35E7" w:rsidRDefault="00EB35E7" w:rsidP="00EB35E7">
            <w:pPr>
              <w:rPr>
                <w:rFonts w:cs="Frankruhel" w:hint="cs"/>
                <w:rtl/>
              </w:rPr>
            </w:pPr>
            <w:r>
              <w:rPr>
                <w:rtl/>
              </w:rPr>
              <w:t>הפרת חובת דיווח</w:t>
            </w:r>
          </w:p>
        </w:tc>
        <w:tc>
          <w:tcPr>
            <w:tcW w:w="567" w:type="dxa"/>
          </w:tcPr>
          <w:p w14:paraId="59E0AA0E" w14:textId="77777777" w:rsidR="00EB35E7" w:rsidRPr="00EB35E7" w:rsidRDefault="00EB35E7" w:rsidP="00EB35E7">
            <w:pPr>
              <w:rPr>
                <w:rStyle w:val="Hyperlink"/>
                <w:rFonts w:hint="cs"/>
                <w:rtl/>
              </w:rPr>
            </w:pPr>
            <w:hyperlink w:anchor="Seif15" w:tooltip="הפרת חובת דיווח" w:history="1">
              <w:r w:rsidRPr="00EB35E7">
                <w:rPr>
                  <w:rStyle w:val="Hyperlink"/>
                </w:rPr>
                <w:t>Go</w:t>
              </w:r>
            </w:hyperlink>
          </w:p>
        </w:tc>
        <w:tc>
          <w:tcPr>
            <w:tcW w:w="850" w:type="dxa"/>
          </w:tcPr>
          <w:p w14:paraId="1AE8C291"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3EBB2FB4" w14:textId="77777777" w:rsidTr="00EB35E7">
        <w:tblPrEx>
          <w:tblCellMar>
            <w:top w:w="0" w:type="dxa"/>
            <w:bottom w:w="0" w:type="dxa"/>
          </w:tblCellMar>
        </w:tblPrEx>
        <w:tc>
          <w:tcPr>
            <w:tcW w:w="1247" w:type="dxa"/>
          </w:tcPr>
          <w:p w14:paraId="47FFDC0E" w14:textId="77777777" w:rsidR="00EB35E7" w:rsidRPr="00EB35E7" w:rsidRDefault="00EB35E7" w:rsidP="00EB35E7">
            <w:pPr>
              <w:rPr>
                <w:rFonts w:cs="Frankruhel" w:hint="cs"/>
                <w:rtl/>
              </w:rPr>
            </w:pPr>
            <w:r>
              <w:rPr>
                <w:rtl/>
              </w:rPr>
              <w:t xml:space="preserve">סעיף 16 </w:t>
            </w:r>
          </w:p>
        </w:tc>
        <w:tc>
          <w:tcPr>
            <w:tcW w:w="5669" w:type="dxa"/>
          </w:tcPr>
          <w:p w14:paraId="3DA9F135" w14:textId="77777777" w:rsidR="00EB35E7" w:rsidRPr="00EB35E7" w:rsidRDefault="00EB35E7" w:rsidP="00EB35E7">
            <w:pPr>
              <w:rPr>
                <w:rFonts w:cs="Frankruhel" w:hint="cs"/>
                <w:rtl/>
              </w:rPr>
            </w:pPr>
            <w:r>
              <w:rPr>
                <w:rtl/>
              </w:rPr>
              <w:t>אחריות נושא משרה בתאגיד</w:t>
            </w:r>
          </w:p>
        </w:tc>
        <w:tc>
          <w:tcPr>
            <w:tcW w:w="567" w:type="dxa"/>
          </w:tcPr>
          <w:p w14:paraId="3B975C37" w14:textId="77777777" w:rsidR="00EB35E7" w:rsidRPr="00EB35E7" w:rsidRDefault="00EB35E7" w:rsidP="00EB35E7">
            <w:pPr>
              <w:rPr>
                <w:rStyle w:val="Hyperlink"/>
                <w:rFonts w:hint="cs"/>
                <w:rtl/>
              </w:rPr>
            </w:pPr>
            <w:hyperlink w:anchor="Seif16" w:tooltip="אחריות נושא משרה בתאגיד" w:history="1">
              <w:r w:rsidRPr="00EB35E7">
                <w:rPr>
                  <w:rStyle w:val="Hyperlink"/>
                </w:rPr>
                <w:t>Go</w:t>
              </w:r>
            </w:hyperlink>
          </w:p>
        </w:tc>
        <w:tc>
          <w:tcPr>
            <w:tcW w:w="850" w:type="dxa"/>
          </w:tcPr>
          <w:p w14:paraId="38B97B47"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75E7F624" w14:textId="77777777" w:rsidTr="00EB35E7">
        <w:tblPrEx>
          <w:tblCellMar>
            <w:top w:w="0" w:type="dxa"/>
            <w:bottom w:w="0" w:type="dxa"/>
          </w:tblCellMar>
        </w:tblPrEx>
        <w:tc>
          <w:tcPr>
            <w:tcW w:w="1247" w:type="dxa"/>
          </w:tcPr>
          <w:p w14:paraId="2E21EF39" w14:textId="77777777" w:rsidR="00EB35E7" w:rsidRPr="00EB35E7" w:rsidRDefault="00EB35E7" w:rsidP="00EB35E7">
            <w:pPr>
              <w:rPr>
                <w:rFonts w:cs="Frankruhel" w:hint="cs"/>
                <w:rtl/>
              </w:rPr>
            </w:pPr>
          </w:p>
        </w:tc>
        <w:tc>
          <w:tcPr>
            <w:tcW w:w="5669" w:type="dxa"/>
          </w:tcPr>
          <w:p w14:paraId="66E32796" w14:textId="77777777" w:rsidR="00EB35E7" w:rsidRPr="00EB35E7" w:rsidRDefault="00EB35E7" w:rsidP="00EB35E7">
            <w:pPr>
              <w:rPr>
                <w:rFonts w:cs="Frankruhel" w:hint="cs"/>
                <w:rtl/>
              </w:rPr>
            </w:pPr>
            <w:r>
              <w:rPr>
                <w:rtl/>
              </w:rPr>
              <w:t>פרק ז': תפיסה וחילוט</w:t>
            </w:r>
          </w:p>
        </w:tc>
        <w:tc>
          <w:tcPr>
            <w:tcW w:w="567" w:type="dxa"/>
          </w:tcPr>
          <w:p w14:paraId="33728314" w14:textId="77777777" w:rsidR="00EB35E7" w:rsidRPr="00EB35E7" w:rsidRDefault="00EB35E7" w:rsidP="00EB35E7">
            <w:pPr>
              <w:rPr>
                <w:rStyle w:val="Hyperlink"/>
                <w:rFonts w:hint="cs"/>
                <w:rtl/>
              </w:rPr>
            </w:pPr>
            <w:hyperlink w:anchor="med6" w:tooltip="פרק ז: תפיסה וחילוט" w:history="1">
              <w:r w:rsidRPr="00EB35E7">
                <w:rPr>
                  <w:rStyle w:val="Hyperlink"/>
                </w:rPr>
                <w:t>Go</w:t>
              </w:r>
            </w:hyperlink>
          </w:p>
        </w:tc>
        <w:tc>
          <w:tcPr>
            <w:tcW w:w="850" w:type="dxa"/>
          </w:tcPr>
          <w:p w14:paraId="4B1B6B16"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5EC840F0" w14:textId="77777777" w:rsidTr="00EB35E7">
        <w:tblPrEx>
          <w:tblCellMar>
            <w:top w:w="0" w:type="dxa"/>
            <w:bottom w:w="0" w:type="dxa"/>
          </w:tblCellMar>
        </w:tblPrEx>
        <w:tc>
          <w:tcPr>
            <w:tcW w:w="1247" w:type="dxa"/>
          </w:tcPr>
          <w:p w14:paraId="5EDACA66" w14:textId="77777777" w:rsidR="00EB35E7" w:rsidRPr="00EB35E7" w:rsidRDefault="00EB35E7" w:rsidP="00EB35E7">
            <w:pPr>
              <w:rPr>
                <w:rFonts w:cs="Frankruhel" w:hint="cs"/>
                <w:rtl/>
              </w:rPr>
            </w:pPr>
            <w:r>
              <w:rPr>
                <w:rtl/>
              </w:rPr>
              <w:t xml:space="preserve">סעיף 17 </w:t>
            </w:r>
          </w:p>
        </w:tc>
        <w:tc>
          <w:tcPr>
            <w:tcW w:w="5669" w:type="dxa"/>
          </w:tcPr>
          <w:p w14:paraId="0A9386B2" w14:textId="77777777" w:rsidR="00EB35E7" w:rsidRPr="00EB35E7" w:rsidRDefault="00EB35E7" w:rsidP="00EB35E7">
            <w:pPr>
              <w:rPr>
                <w:rFonts w:cs="Frankruhel" w:hint="cs"/>
                <w:rtl/>
              </w:rPr>
            </w:pPr>
            <w:r>
              <w:rPr>
                <w:rtl/>
              </w:rPr>
              <w:t>הגדרות   פרק ז'</w:t>
            </w:r>
          </w:p>
        </w:tc>
        <w:tc>
          <w:tcPr>
            <w:tcW w:w="567" w:type="dxa"/>
          </w:tcPr>
          <w:p w14:paraId="58A313C2" w14:textId="77777777" w:rsidR="00EB35E7" w:rsidRPr="00EB35E7" w:rsidRDefault="00EB35E7" w:rsidP="00EB35E7">
            <w:pPr>
              <w:rPr>
                <w:rStyle w:val="Hyperlink"/>
                <w:rFonts w:hint="cs"/>
                <w:rtl/>
              </w:rPr>
            </w:pPr>
            <w:hyperlink w:anchor="Seif17" w:tooltip="הגדרות   פרק ז" w:history="1">
              <w:r w:rsidRPr="00EB35E7">
                <w:rPr>
                  <w:rStyle w:val="Hyperlink"/>
                </w:rPr>
                <w:t>Go</w:t>
              </w:r>
            </w:hyperlink>
          </w:p>
        </w:tc>
        <w:tc>
          <w:tcPr>
            <w:tcW w:w="850" w:type="dxa"/>
          </w:tcPr>
          <w:p w14:paraId="0339E30E"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38C949D7" w14:textId="77777777" w:rsidTr="00EB35E7">
        <w:tblPrEx>
          <w:tblCellMar>
            <w:top w:w="0" w:type="dxa"/>
            <w:bottom w:w="0" w:type="dxa"/>
          </w:tblCellMar>
        </w:tblPrEx>
        <w:tc>
          <w:tcPr>
            <w:tcW w:w="1247" w:type="dxa"/>
          </w:tcPr>
          <w:p w14:paraId="43702183" w14:textId="77777777" w:rsidR="00EB35E7" w:rsidRPr="00EB35E7" w:rsidRDefault="00EB35E7" w:rsidP="00EB35E7">
            <w:pPr>
              <w:rPr>
                <w:rFonts w:cs="Frankruhel" w:hint="cs"/>
                <w:rtl/>
              </w:rPr>
            </w:pPr>
            <w:r>
              <w:rPr>
                <w:rtl/>
              </w:rPr>
              <w:t xml:space="preserve">סעיף 18 </w:t>
            </w:r>
          </w:p>
        </w:tc>
        <w:tc>
          <w:tcPr>
            <w:tcW w:w="5669" w:type="dxa"/>
          </w:tcPr>
          <w:p w14:paraId="3FC285C4" w14:textId="77777777" w:rsidR="00EB35E7" w:rsidRPr="00EB35E7" w:rsidRDefault="00EB35E7" w:rsidP="00EB35E7">
            <w:pPr>
              <w:rPr>
                <w:rFonts w:cs="Frankruhel" w:hint="cs"/>
                <w:rtl/>
              </w:rPr>
            </w:pPr>
            <w:r>
              <w:rPr>
                <w:rtl/>
              </w:rPr>
              <w:t>חילוט רכוש לאחר הרשעה</w:t>
            </w:r>
          </w:p>
        </w:tc>
        <w:tc>
          <w:tcPr>
            <w:tcW w:w="567" w:type="dxa"/>
          </w:tcPr>
          <w:p w14:paraId="24928E9D" w14:textId="77777777" w:rsidR="00EB35E7" w:rsidRPr="00EB35E7" w:rsidRDefault="00EB35E7" w:rsidP="00EB35E7">
            <w:pPr>
              <w:rPr>
                <w:rStyle w:val="Hyperlink"/>
                <w:rFonts w:hint="cs"/>
                <w:rtl/>
              </w:rPr>
            </w:pPr>
            <w:hyperlink w:anchor="Seif18" w:tooltip="חילוט רכוש לאחר הרשעה" w:history="1">
              <w:r w:rsidRPr="00EB35E7">
                <w:rPr>
                  <w:rStyle w:val="Hyperlink"/>
                </w:rPr>
                <w:t>Go</w:t>
              </w:r>
            </w:hyperlink>
          </w:p>
        </w:tc>
        <w:tc>
          <w:tcPr>
            <w:tcW w:w="850" w:type="dxa"/>
          </w:tcPr>
          <w:p w14:paraId="2575F1C8"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EB35E7" w:rsidRPr="00EB35E7" w14:paraId="3DCB199E" w14:textId="77777777" w:rsidTr="00EB35E7">
        <w:tblPrEx>
          <w:tblCellMar>
            <w:top w:w="0" w:type="dxa"/>
            <w:bottom w:w="0" w:type="dxa"/>
          </w:tblCellMar>
        </w:tblPrEx>
        <w:tc>
          <w:tcPr>
            <w:tcW w:w="1247" w:type="dxa"/>
          </w:tcPr>
          <w:p w14:paraId="1D22A230" w14:textId="77777777" w:rsidR="00EB35E7" w:rsidRPr="00EB35E7" w:rsidRDefault="00EB35E7" w:rsidP="00EB35E7">
            <w:pPr>
              <w:rPr>
                <w:rFonts w:cs="Frankruhel" w:hint="cs"/>
                <w:rtl/>
              </w:rPr>
            </w:pPr>
            <w:r>
              <w:rPr>
                <w:rtl/>
              </w:rPr>
              <w:t xml:space="preserve">סעיף 19 </w:t>
            </w:r>
          </w:p>
        </w:tc>
        <w:tc>
          <w:tcPr>
            <w:tcW w:w="5669" w:type="dxa"/>
          </w:tcPr>
          <w:p w14:paraId="54B4C030" w14:textId="77777777" w:rsidR="00EB35E7" w:rsidRPr="00EB35E7" w:rsidRDefault="00EB35E7" w:rsidP="00EB35E7">
            <w:pPr>
              <w:rPr>
                <w:rFonts w:cs="Frankruhel" w:hint="cs"/>
                <w:rtl/>
              </w:rPr>
            </w:pPr>
            <w:r>
              <w:rPr>
                <w:rtl/>
              </w:rPr>
              <w:t>חילוט רכוש שלא בעקבות הרשעה</w:t>
            </w:r>
          </w:p>
        </w:tc>
        <w:tc>
          <w:tcPr>
            <w:tcW w:w="567" w:type="dxa"/>
          </w:tcPr>
          <w:p w14:paraId="353DC67B" w14:textId="77777777" w:rsidR="00EB35E7" w:rsidRPr="00EB35E7" w:rsidRDefault="00EB35E7" w:rsidP="00EB35E7">
            <w:pPr>
              <w:rPr>
                <w:rStyle w:val="Hyperlink"/>
                <w:rFonts w:hint="cs"/>
                <w:rtl/>
              </w:rPr>
            </w:pPr>
            <w:hyperlink w:anchor="Seif19" w:tooltip="חילוט רכוש שלא בעקבות הרשעה" w:history="1">
              <w:r w:rsidRPr="00EB35E7">
                <w:rPr>
                  <w:rStyle w:val="Hyperlink"/>
                </w:rPr>
                <w:t>Go</w:t>
              </w:r>
            </w:hyperlink>
          </w:p>
        </w:tc>
        <w:tc>
          <w:tcPr>
            <w:tcW w:w="850" w:type="dxa"/>
          </w:tcPr>
          <w:p w14:paraId="1DF43CBE"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085193A8" w14:textId="77777777" w:rsidTr="00EB35E7">
        <w:tblPrEx>
          <w:tblCellMar>
            <w:top w:w="0" w:type="dxa"/>
            <w:bottom w:w="0" w:type="dxa"/>
          </w:tblCellMar>
        </w:tblPrEx>
        <w:tc>
          <w:tcPr>
            <w:tcW w:w="1247" w:type="dxa"/>
          </w:tcPr>
          <w:p w14:paraId="33A29F03" w14:textId="77777777" w:rsidR="00EB35E7" w:rsidRPr="00EB35E7" w:rsidRDefault="00EB35E7" w:rsidP="00EB35E7">
            <w:pPr>
              <w:rPr>
                <w:rFonts w:cs="Frankruhel" w:hint="cs"/>
                <w:rtl/>
              </w:rPr>
            </w:pPr>
            <w:r>
              <w:rPr>
                <w:rtl/>
              </w:rPr>
              <w:t xml:space="preserve">סעיף 20 </w:t>
            </w:r>
          </w:p>
        </w:tc>
        <w:tc>
          <w:tcPr>
            <w:tcW w:w="5669" w:type="dxa"/>
          </w:tcPr>
          <w:p w14:paraId="00BAFD0D" w14:textId="77777777" w:rsidR="00EB35E7" w:rsidRPr="00EB35E7" w:rsidRDefault="00EB35E7" w:rsidP="00EB35E7">
            <w:pPr>
              <w:rPr>
                <w:rFonts w:cs="Frankruhel" w:hint="cs"/>
                <w:rtl/>
              </w:rPr>
            </w:pPr>
            <w:r>
              <w:rPr>
                <w:rtl/>
              </w:rPr>
              <w:t>ניהול רכוש ומימושו</w:t>
            </w:r>
          </w:p>
        </w:tc>
        <w:tc>
          <w:tcPr>
            <w:tcW w:w="567" w:type="dxa"/>
          </w:tcPr>
          <w:p w14:paraId="208A8FBA" w14:textId="77777777" w:rsidR="00EB35E7" w:rsidRPr="00EB35E7" w:rsidRDefault="00EB35E7" w:rsidP="00EB35E7">
            <w:pPr>
              <w:rPr>
                <w:rStyle w:val="Hyperlink"/>
                <w:rFonts w:hint="cs"/>
                <w:rtl/>
              </w:rPr>
            </w:pPr>
            <w:hyperlink w:anchor="Seif20" w:tooltip="ניהול רכוש ומימושו" w:history="1">
              <w:r w:rsidRPr="00EB35E7">
                <w:rPr>
                  <w:rStyle w:val="Hyperlink"/>
                </w:rPr>
                <w:t>Go</w:t>
              </w:r>
            </w:hyperlink>
          </w:p>
        </w:tc>
        <w:tc>
          <w:tcPr>
            <w:tcW w:w="850" w:type="dxa"/>
          </w:tcPr>
          <w:p w14:paraId="7EB8884B"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060DEDE1" w14:textId="77777777" w:rsidTr="00EB35E7">
        <w:tblPrEx>
          <w:tblCellMar>
            <w:top w:w="0" w:type="dxa"/>
            <w:bottom w:w="0" w:type="dxa"/>
          </w:tblCellMar>
        </w:tblPrEx>
        <w:tc>
          <w:tcPr>
            <w:tcW w:w="1247" w:type="dxa"/>
          </w:tcPr>
          <w:p w14:paraId="3C9A4D34" w14:textId="77777777" w:rsidR="00EB35E7" w:rsidRPr="00EB35E7" w:rsidRDefault="00EB35E7" w:rsidP="00EB35E7">
            <w:pPr>
              <w:rPr>
                <w:rFonts w:cs="Frankruhel" w:hint="cs"/>
                <w:rtl/>
              </w:rPr>
            </w:pPr>
            <w:r>
              <w:rPr>
                <w:rtl/>
              </w:rPr>
              <w:t xml:space="preserve">סעיף 21 </w:t>
            </w:r>
          </w:p>
        </w:tc>
        <w:tc>
          <w:tcPr>
            <w:tcW w:w="5669" w:type="dxa"/>
          </w:tcPr>
          <w:p w14:paraId="06908E13" w14:textId="77777777" w:rsidR="00EB35E7" w:rsidRPr="00EB35E7" w:rsidRDefault="00EB35E7" w:rsidP="00EB35E7">
            <w:pPr>
              <w:rPr>
                <w:rFonts w:cs="Frankruhel" w:hint="cs"/>
                <w:rtl/>
              </w:rPr>
            </w:pPr>
            <w:r>
              <w:rPr>
                <w:rtl/>
              </w:rPr>
              <w:t>תקנות לעניין תפיסה וחילוט</w:t>
            </w:r>
          </w:p>
        </w:tc>
        <w:tc>
          <w:tcPr>
            <w:tcW w:w="567" w:type="dxa"/>
          </w:tcPr>
          <w:p w14:paraId="72A71BA2" w14:textId="77777777" w:rsidR="00EB35E7" w:rsidRPr="00EB35E7" w:rsidRDefault="00EB35E7" w:rsidP="00EB35E7">
            <w:pPr>
              <w:rPr>
                <w:rStyle w:val="Hyperlink"/>
                <w:rFonts w:hint="cs"/>
                <w:rtl/>
              </w:rPr>
            </w:pPr>
            <w:hyperlink w:anchor="Seif21" w:tooltip="תקנות לעניין תפיסה וחילוט" w:history="1">
              <w:r w:rsidRPr="00EB35E7">
                <w:rPr>
                  <w:rStyle w:val="Hyperlink"/>
                </w:rPr>
                <w:t>Go</w:t>
              </w:r>
            </w:hyperlink>
          </w:p>
        </w:tc>
        <w:tc>
          <w:tcPr>
            <w:tcW w:w="850" w:type="dxa"/>
          </w:tcPr>
          <w:p w14:paraId="0FDC008D"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2B3F2349" w14:textId="77777777" w:rsidTr="00EB35E7">
        <w:tblPrEx>
          <w:tblCellMar>
            <w:top w:w="0" w:type="dxa"/>
            <w:bottom w:w="0" w:type="dxa"/>
          </w:tblCellMar>
        </w:tblPrEx>
        <w:tc>
          <w:tcPr>
            <w:tcW w:w="1247" w:type="dxa"/>
          </w:tcPr>
          <w:p w14:paraId="5F6B7D3E" w14:textId="77777777" w:rsidR="00EB35E7" w:rsidRPr="00EB35E7" w:rsidRDefault="00EB35E7" w:rsidP="00EB35E7">
            <w:pPr>
              <w:rPr>
                <w:rFonts w:cs="Frankruhel" w:hint="cs"/>
                <w:rtl/>
              </w:rPr>
            </w:pPr>
          </w:p>
        </w:tc>
        <w:tc>
          <w:tcPr>
            <w:tcW w:w="5669" w:type="dxa"/>
          </w:tcPr>
          <w:p w14:paraId="39B0AFAE" w14:textId="77777777" w:rsidR="00EB35E7" w:rsidRPr="00EB35E7" w:rsidRDefault="00EB35E7" w:rsidP="00EB35E7">
            <w:pPr>
              <w:rPr>
                <w:rFonts w:cs="Frankruhel" w:hint="cs"/>
                <w:rtl/>
              </w:rPr>
            </w:pPr>
            <w:r>
              <w:rPr>
                <w:rtl/>
              </w:rPr>
              <w:t>פרק ח': הוראות שונות</w:t>
            </w:r>
          </w:p>
        </w:tc>
        <w:tc>
          <w:tcPr>
            <w:tcW w:w="567" w:type="dxa"/>
          </w:tcPr>
          <w:p w14:paraId="4A507F3A" w14:textId="77777777" w:rsidR="00EB35E7" w:rsidRPr="00EB35E7" w:rsidRDefault="00EB35E7" w:rsidP="00EB35E7">
            <w:pPr>
              <w:rPr>
                <w:rStyle w:val="Hyperlink"/>
                <w:rFonts w:hint="cs"/>
                <w:rtl/>
              </w:rPr>
            </w:pPr>
            <w:hyperlink w:anchor="med7" w:tooltip="פרק ח: הוראות שונות" w:history="1">
              <w:r w:rsidRPr="00EB35E7">
                <w:rPr>
                  <w:rStyle w:val="Hyperlink"/>
                </w:rPr>
                <w:t>Go</w:t>
              </w:r>
            </w:hyperlink>
          </w:p>
        </w:tc>
        <w:tc>
          <w:tcPr>
            <w:tcW w:w="850" w:type="dxa"/>
          </w:tcPr>
          <w:p w14:paraId="0D2DA5D2"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2BE24352" w14:textId="77777777" w:rsidTr="00EB35E7">
        <w:tblPrEx>
          <w:tblCellMar>
            <w:top w:w="0" w:type="dxa"/>
            <w:bottom w:w="0" w:type="dxa"/>
          </w:tblCellMar>
        </w:tblPrEx>
        <w:tc>
          <w:tcPr>
            <w:tcW w:w="1247" w:type="dxa"/>
          </w:tcPr>
          <w:p w14:paraId="303971A0" w14:textId="77777777" w:rsidR="00EB35E7" w:rsidRPr="00EB35E7" w:rsidRDefault="00EB35E7" w:rsidP="00EB35E7">
            <w:pPr>
              <w:rPr>
                <w:rFonts w:cs="Frankruhel" w:hint="cs"/>
                <w:rtl/>
              </w:rPr>
            </w:pPr>
            <w:r>
              <w:rPr>
                <w:rtl/>
              </w:rPr>
              <w:t xml:space="preserve">סעיף 22 </w:t>
            </w:r>
          </w:p>
        </w:tc>
        <w:tc>
          <w:tcPr>
            <w:tcW w:w="5669" w:type="dxa"/>
          </w:tcPr>
          <w:p w14:paraId="26C8D341" w14:textId="77777777" w:rsidR="00EB35E7" w:rsidRPr="00EB35E7" w:rsidRDefault="00EB35E7" w:rsidP="00EB35E7">
            <w:pPr>
              <w:rPr>
                <w:rFonts w:cs="Frankruhel" w:hint="cs"/>
                <w:rtl/>
              </w:rPr>
            </w:pPr>
            <w:r>
              <w:rPr>
                <w:rtl/>
              </w:rPr>
              <w:t>סמכות לקבלת מידע ושמירתו</w:t>
            </w:r>
          </w:p>
        </w:tc>
        <w:tc>
          <w:tcPr>
            <w:tcW w:w="567" w:type="dxa"/>
          </w:tcPr>
          <w:p w14:paraId="015D2D13" w14:textId="77777777" w:rsidR="00EB35E7" w:rsidRPr="00EB35E7" w:rsidRDefault="00EB35E7" w:rsidP="00EB35E7">
            <w:pPr>
              <w:rPr>
                <w:rStyle w:val="Hyperlink"/>
                <w:rFonts w:hint="cs"/>
                <w:rtl/>
              </w:rPr>
            </w:pPr>
            <w:hyperlink w:anchor="Seif22" w:tooltip="סמכות לקבלת מידע ושמירתו" w:history="1">
              <w:r w:rsidRPr="00EB35E7">
                <w:rPr>
                  <w:rStyle w:val="Hyperlink"/>
                </w:rPr>
                <w:t>Go</w:t>
              </w:r>
            </w:hyperlink>
          </w:p>
        </w:tc>
        <w:tc>
          <w:tcPr>
            <w:tcW w:w="850" w:type="dxa"/>
          </w:tcPr>
          <w:p w14:paraId="6E96D7D0"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0809C8F6" w14:textId="77777777" w:rsidTr="00EB35E7">
        <w:tblPrEx>
          <w:tblCellMar>
            <w:top w:w="0" w:type="dxa"/>
            <w:bottom w:w="0" w:type="dxa"/>
          </w:tblCellMar>
        </w:tblPrEx>
        <w:tc>
          <w:tcPr>
            <w:tcW w:w="1247" w:type="dxa"/>
          </w:tcPr>
          <w:p w14:paraId="223D7071" w14:textId="77777777" w:rsidR="00EB35E7" w:rsidRPr="00EB35E7" w:rsidRDefault="00EB35E7" w:rsidP="00EB35E7">
            <w:pPr>
              <w:rPr>
                <w:rFonts w:cs="Frankruhel" w:hint="cs"/>
                <w:rtl/>
              </w:rPr>
            </w:pPr>
            <w:r>
              <w:rPr>
                <w:rtl/>
              </w:rPr>
              <w:t xml:space="preserve">סעיף 23 </w:t>
            </w:r>
          </w:p>
        </w:tc>
        <w:tc>
          <w:tcPr>
            <w:tcW w:w="5669" w:type="dxa"/>
          </w:tcPr>
          <w:p w14:paraId="2A0F55C0" w14:textId="77777777" w:rsidR="00EB35E7" w:rsidRPr="00EB35E7" w:rsidRDefault="00EB35E7" w:rsidP="00EB35E7">
            <w:pPr>
              <w:rPr>
                <w:rFonts w:cs="Frankruhel" w:hint="cs"/>
                <w:rtl/>
              </w:rPr>
            </w:pPr>
            <w:r>
              <w:rPr>
                <w:rtl/>
              </w:rPr>
              <w:t>החלת הוראות על המדינה</w:t>
            </w:r>
          </w:p>
        </w:tc>
        <w:tc>
          <w:tcPr>
            <w:tcW w:w="567" w:type="dxa"/>
          </w:tcPr>
          <w:p w14:paraId="29597128" w14:textId="77777777" w:rsidR="00EB35E7" w:rsidRPr="00EB35E7" w:rsidRDefault="00EB35E7" w:rsidP="00EB35E7">
            <w:pPr>
              <w:rPr>
                <w:rStyle w:val="Hyperlink"/>
                <w:rFonts w:hint="cs"/>
                <w:rtl/>
              </w:rPr>
            </w:pPr>
            <w:hyperlink w:anchor="Seif23" w:tooltip="החלת הוראות על המדינה" w:history="1">
              <w:r w:rsidRPr="00EB35E7">
                <w:rPr>
                  <w:rStyle w:val="Hyperlink"/>
                </w:rPr>
                <w:t>Go</w:t>
              </w:r>
            </w:hyperlink>
          </w:p>
        </w:tc>
        <w:tc>
          <w:tcPr>
            <w:tcW w:w="850" w:type="dxa"/>
          </w:tcPr>
          <w:p w14:paraId="6756CD2B"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5F1F9686" w14:textId="77777777" w:rsidTr="00EB35E7">
        <w:tblPrEx>
          <w:tblCellMar>
            <w:top w:w="0" w:type="dxa"/>
            <w:bottom w:w="0" w:type="dxa"/>
          </w:tblCellMar>
        </w:tblPrEx>
        <w:tc>
          <w:tcPr>
            <w:tcW w:w="1247" w:type="dxa"/>
          </w:tcPr>
          <w:p w14:paraId="7A6F2CC7" w14:textId="77777777" w:rsidR="00EB35E7" w:rsidRPr="00EB35E7" w:rsidRDefault="00EB35E7" w:rsidP="00EB35E7">
            <w:pPr>
              <w:rPr>
                <w:rFonts w:cs="Frankruhel" w:hint="cs"/>
                <w:rtl/>
              </w:rPr>
            </w:pPr>
            <w:r>
              <w:rPr>
                <w:rtl/>
              </w:rPr>
              <w:t xml:space="preserve">סעיף 24 </w:t>
            </w:r>
          </w:p>
        </w:tc>
        <w:tc>
          <w:tcPr>
            <w:tcW w:w="5669" w:type="dxa"/>
          </w:tcPr>
          <w:p w14:paraId="1615BCF7" w14:textId="77777777" w:rsidR="00EB35E7" w:rsidRPr="00EB35E7" w:rsidRDefault="00EB35E7" w:rsidP="00EB35E7">
            <w:pPr>
              <w:rPr>
                <w:rFonts w:cs="Frankruhel" w:hint="cs"/>
                <w:rtl/>
              </w:rPr>
            </w:pPr>
            <w:r>
              <w:rPr>
                <w:rtl/>
              </w:rPr>
              <w:t>שמירת דינים</w:t>
            </w:r>
          </w:p>
        </w:tc>
        <w:tc>
          <w:tcPr>
            <w:tcW w:w="567" w:type="dxa"/>
          </w:tcPr>
          <w:p w14:paraId="5AFF0E25" w14:textId="77777777" w:rsidR="00EB35E7" w:rsidRPr="00EB35E7" w:rsidRDefault="00EB35E7" w:rsidP="00EB35E7">
            <w:pPr>
              <w:rPr>
                <w:rStyle w:val="Hyperlink"/>
                <w:rFonts w:hint="cs"/>
                <w:rtl/>
              </w:rPr>
            </w:pPr>
            <w:hyperlink w:anchor="Seif24" w:tooltip="שמירת דינים" w:history="1">
              <w:r w:rsidRPr="00EB35E7">
                <w:rPr>
                  <w:rStyle w:val="Hyperlink"/>
                </w:rPr>
                <w:t>Go</w:t>
              </w:r>
            </w:hyperlink>
          </w:p>
        </w:tc>
        <w:tc>
          <w:tcPr>
            <w:tcW w:w="850" w:type="dxa"/>
          </w:tcPr>
          <w:p w14:paraId="05CE870C"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69496A86" w14:textId="77777777" w:rsidTr="00EB35E7">
        <w:tblPrEx>
          <w:tblCellMar>
            <w:top w:w="0" w:type="dxa"/>
            <w:bottom w:w="0" w:type="dxa"/>
          </w:tblCellMar>
        </w:tblPrEx>
        <w:tc>
          <w:tcPr>
            <w:tcW w:w="1247" w:type="dxa"/>
          </w:tcPr>
          <w:p w14:paraId="59DE713D" w14:textId="77777777" w:rsidR="00EB35E7" w:rsidRPr="00EB35E7" w:rsidRDefault="00EB35E7" w:rsidP="00EB35E7">
            <w:pPr>
              <w:rPr>
                <w:rFonts w:cs="Frankruhel" w:hint="cs"/>
                <w:rtl/>
              </w:rPr>
            </w:pPr>
            <w:r>
              <w:rPr>
                <w:rtl/>
              </w:rPr>
              <w:t xml:space="preserve">סעיף 25 </w:t>
            </w:r>
          </w:p>
        </w:tc>
        <w:tc>
          <w:tcPr>
            <w:tcW w:w="5669" w:type="dxa"/>
          </w:tcPr>
          <w:p w14:paraId="45AB13D7" w14:textId="77777777" w:rsidR="00EB35E7" w:rsidRPr="00EB35E7" w:rsidRDefault="00EB35E7" w:rsidP="00EB35E7">
            <w:pPr>
              <w:rPr>
                <w:rFonts w:cs="Frankruhel" w:hint="cs"/>
                <w:rtl/>
              </w:rPr>
            </w:pPr>
            <w:r>
              <w:rPr>
                <w:rtl/>
              </w:rPr>
              <w:t>ביצוע ותקנות ושינוי התוספת</w:t>
            </w:r>
          </w:p>
        </w:tc>
        <w:tc>
          <w:tcPr>
            <w:tcW w:w="567" w:type="dxa"/>
          </w:tcPr>
          <w:p w14:paraId="4F250169" w14:textId="77777777" w:rsidR="00EB35E7" w:rsidRPr="00EB35E7" w:rsidRDefault="00EB35E7" w:rsidP="00EB35E7">
            <w:pPr>
              <w:rPr>
                <w:rStyle w:val="Hyperlink"/>
                <w:rFonts w:hint="cs"/>
                <w:rtl/>
              </w:rPr>
            </w:pPr>
            <w:hyperlink w:anchor="Seif25" w:tooltip="ביצוע ותקנות ושינוי התוספת" w:history="1">
              <w:r w:rsidRPr="00EB35E7">
                <w:rPr>
                  <w:rStyle w:val="Hyperlink"/>
                </w:rPr>
                <w:t>Go</w:t>
              </w:r>
            </w:hyperlink>
          </w:p>
        </w:tc>
        <w:tc>
          <w:tcPr>
            <w:tcW w:w="850" w:type="dxa"/>
          </w:tcPr>
          <w:p w14:paraId="59B3FEF9"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1DB69B92" w14:textId="77777777" w:rsidTr="00EB35E7">
        <w:tblPrEx>
          <w:tblCellMar>
            <w:top w:w="0" w:type="dxa"/>
            <w:bottom w:w="0" w:type="dxa"/>
          </w:tblCellMar>
        </w:tblPrEx>
        <w:tc>
          <w:tcPr>
            <w:tcW w:w="1247" w:type="dxa"/>
          </w:tcPr>
          <w:p w14:paraId="40888F3D" w14:textId="77777777" w:rsidR="00EB35E7" w:rsidRPr="00EB35E7" w:rsidRDefault="00EB35E7" w:rsidP="00EB35E7">
            <w:pPr>
              <w:rPr>
                <w:rFonts w:cs="Frankruhel" w:hint="cs"/>
                <w:rtl/>
              </w:rPr>
            </w:pPr>
          </w:p>
        </w:tc>
        <w:tc>
          <w:tcPr>
            <w:tcW w:w="5669" w:type="dxa"/>
          </w:tcPr>
          <w:p w14:paraId="51EBFAF7" w14:textId="77777777" w:rsidR="00EB35E7" w:rsidRPr="00EB35E7" w:rsidRDefault="00EB35E7" w:rsidP="00EB35E7">
            <w:pPr>
              <w:rPr>
                <w:rFonts w:cs="Frankruhel" w:hint="cs"/>
                <w:rtl/>
              </w:rPr>
            </w:pPr>
            <w:r>
              <w:rPr>
                <w:rtl/>
              </w:rPr>
              <w:t>פרק ט': תיקונים עקיפים</w:t>
            </w:r>
          </w:p>
        </w:tc>
        <w:tc>
          <w:tcPr>
            <w:tcW w:w="567" w:type="dxa"/>
          </w:tcPr>
          <w:p w14:paraId="6507AD78" w14:textId="77777777" w:rsidR="00EB35E7" w:rsidRPr="00EB35E7" w:rsidRDefault="00EB35E7" w:rsidP="00EB35E7">
            <w:pPr>
              <w:rPr>
                <w:rStyle w:val="Hyperlink"/>
                <w:rFonts w:hint="cs"/>
                <w:rtl/>
              </w:rPr>
            </w:pPr>
            <w:hyperlink w:anchor="med8" w:tooltip="פרק ט: תיקונים עקיפים" w:history="1">
              <w:r w:rsidRPr="00EB35E7">
                <w:rPr>
                  <w:rStyle w:val="Hyperlink"/>
                </w:rPr>
                <w:t>Go</w:t>
              </w:r>
            </w:hyperlink>
          </w:p>
        </w:tc>
        <w:tc>
          <w:tcPr>
            <w:tcW w:w="850" w:type="dxa"/>
          </w:tcPr>
          <w:p w14:paraId="7296C954"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00615C32" w14:textId="77777777" w:rsidTr="00EB35E7">
        <w:tblPrEx>
          <w:tblCellMar>
            <w:top w:w="0" w:type="dxa"/>
            <w:bottom w:w="0" w:type="dxa"/>
          </w:tblCellMar>
        </w:tblPrEx>
        <w:tc>
          <w:tcPr>
            <w:tcW w:w="1247" w:type="dxa"/>
          </w:tcPr>
          <w:p w14:paraId="017AF3DA" w14:textId="77777777" w:rsidR="00EB35E7" w:rsidRPr="00EB35E7" w:rsidRDefault="00EB35E7" w:rsidP="00EB35E7">
            <w:pPr>
              <w:rPr>
                <w:rFonts w:cs="Frankruhel" w:hint="cs"/>
                <w:rtl/>
              </w:rPr>
            </w:pPr>
            <w:r>
              <w:rPr>
                <w:rtl/>
              </w:rPr>
              <w:t xml:space="preserve">סעיף 26 </w:t>
            </w:r>
          </w:p>
        </w:tc>
        <w:tc>
          <w:tcPr>
            <w:tcW w:w="5669" w:type="dxa"/>
          </w:tcPr>
          <w:p w14:paraId="64E9B46E" w14:textId="77777777" w:rsidR="00EB35E7" w:rsidRPr="00EB35E7" w:rsidRDefault="00EB35E7" w:rsidP="00EB35E7">
            <w:pPr>
              <w:rPr>
                <w:rFonts w:cs="Frankruhel" w:hint="cs"/>
                <w:rtl/>
              </w:rPr>
            </w:pPr>
            <w:r>
              <w:rPr>
                <w:rtl/>
              </w:rPr>
              <w:t>תיקון חוק איסור הלבנת הון   מס' 27</w:t>
            </w:r>
          </w:p>
        </w:tc>
        <w:tc>
          <w:tcPr>
            <w:tcW w:w="567" w:type="dxa"/>
          </w:tcPr>
          <w:p w14:paraId="74BBCFAD" w14:textId="77777777" w:rsidR="00EB35E7" w:rsidRPr="00EB35E7" w:rsidRDefault="00EB35E7" w:rsidP="00EB35E7">
            <w:pPr>
              <w:rPr>
                <w:rStyle w:val="Hyperlink"/>
                <w:rFonts w:hint="cs"/>
                <w:rtl/>
              </w:rPr>
            </w:pPr>
            <w:hyperlink w:anchor="Seif26" w:tooltip="תיקון חוק איסור הלבנת הון   מס 27" w:history="1">
              <w:r w:rsidRPr="00EB35E7">
                <w:rPr>
                  <w:rStyle w:val="Hyperlink"/>
                </w:rPr>
                <w:t>Go</w:t>
              </w:r>
            </w:hyperlink>
          </w:p>
        </w:tc>
        <w:tc>
          <w:tcPr>
            <w:tcW w:w="850" w:type="dxa"/>
          </w:tcPr>
          <w:p w14:paraId="641B24D8"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EB35E7" w:rsidRPr="00EB35E7" w14:paraId="41AA7150" w14:textId="77777777" w:rsidTr="00EB35E7">
        <w:tblPrEx>
          <w:tblCellMar>
            <w:top w:w="0" w:type="dxa"/>
            <w:bottom w:w="0" w:type="dxa"/>
          </w:tblCellMar>
        </w:tblPrEx>
        <w:tc>
          <w:tcPr>
            <w:tcW w:w="1247" w:type="dxa"/>
          </w:tcPr>
          <w:p w14:paraId="321AA8F5" w14:textId="77777777" w:rsidR="00EB35E7" w:rsidRPr="00EB35E7" w:rsidRDefault="00EB35E7" w:rsidP="00EB35E7">
            <w:pPr>
              <w:rPr>
                <w:rFonts w:cs="Frankruhel" w:hint="cs"/>
                <w:rtl/>
              </w:rPr>
            </w:pPr>
            <w:r>
              <w:rPr>
                <w:rtl/>
              </w:rPr>
              <w:t xml:space="preserve">סעיף 27 </w:t>
            </w:r>
          </w:p>
        </w:tc>
        <w:tc>
          <w:tcPr>
            <w:tcW w:w="5669" w:type="dxa"/>
          </w:tcPr>
          <w:p w14:paraId="43D07AB9" w14:textId="77777777" w:rsidR="00EB35E7" w:rsidRPr="00EB35E7" w:rsidRDefault="00EB35E7" w:rsidP="00EB35E7">
            <w:pPr>
              <w:rPr>
                <w:rFonts w:cs="Frankruhel" w:hint="cs"/>
                <w:rtl/>
              </w:rPr>
            </w:pPr>
            <w:r>
              <w:rPr>
                <w:rtl/>
              </w:rPr>
              <w:t>תיקון חוק המאבק בתכנית הגרעין של איראן</w:t>
            </w:r>
          </w:p>
        </w:tc>
        <w:tc>
          <w:tcPr>
            <w:tcW w:w="567" w:type="dxa"/>
          </w:tcPr>
          <w:p w14:paraId="3000EA84" w14:textId="77777777" w:rsidR="00EB35E7" w:rsidRPr="00EB35E7" w:rsidRDefault="00EB35E7" w:rsidP="00EB35E7">
            <w:pPr>
              <w:rPr>
                <w:rStyle w:val="Hyperlink"/>
                <w:rFonts w:hint="cs"/>
                <w:rtl/>
              </w:rPr>
            </w:pPr>
            <w:hyperlink w:anchor="Seif27" w:tooltip="תיקון חוק המאבק בתכנית הגרעין של איראן" w:history="1">
              <w:r w:rsidRPr="00EB35E7">
                <w:rPr>
                  <w:rStyle w:val="Hyperlink"/>
                </w:rPr>
                <w:t>Go</w:t>
              </w:r>
            </w:hyperlink>
          </w:p>
        </w:tc>
        <w:tc>
          <w:tcPr>
            <w:tcW w:w="850" w:type="dxa"/>
          </w:tcPr>
          <w:p w14:paraId="2E31A598"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9</w:t>
            </w:r>
            <w:r>
              <w:rPr>
                <w:rFonts w:cs="Frankruhel"/>
                <w:rtl/>
              </w:rPr>
              <w:fldChar w:fldCharType="end"/>
            </w:r>
          </w:p>
        </w:tc>
      </w:tr>
      <w:tr w:rsidR="00EB35E7" w:rsidRPr="00EB35E7" w14:paraId="6A29FAC6" w14:textId="77777777" w:rsidTr="00EB35E7">
        <w:tblPrEx>
          <w:tblCellMar>
            <w:top w:w="0" w:type="dxa"/>
            <w:bottom w:w="0" w:type="dxa"/>
          </w:tblCellMar>
        </w:tblPrEx>
        <w:tc>
          <w:tcPr>
            <w:tcW w:w="1247" w:type="dxa"/>
          </w:tcPr>
          <w:p w14:paraId="42C9F3A3" w14:textId="77777777" w:rsidR="00EB35E7" w:rsidRPr="00EB35E7" w:rsidRDefault="00EB35E7" w:rsidP="00EB35E7">
            <w:pPr>
              <w:rPr>
                <w:rFonts w:cs="Frankruhel" w:hint="cs"/>
                <w:rtl/>
              </w:rPr>
            </w:pPr>
          </w:p>
        </w:tc>
        <w:tc>
          <w:tcPr>
            <w:tcW w:w="5669" w:type="dxa"/>
          </w:tcPr>
          <w:p w14:paraId="58948B6E" w14:textId="77777777" w:rsidR="00EB35E7" w:rsidRPr="00EB35E7" w:rsidRDefault="00EB35E7" w:rsidP="00EB35E7">
            <w:pPr>
              <w:rPr>
                <w:rFonts w:cs="Frankruhel" w:hint="cs"/>
                <w:rtl/>
              </w:rPr>
            </w:pPr>
            <w:r>
              <w:rPr>
                <w:rtl/>
              </w:rPr>
              <w:t>פרק י': הוראת מעבר</w:t>
            </w:r>
          </w:p>
        </w:tc>
        <w:tc>
          <w:tcPr>
            <w:tcW w:w="567" w:type="dxa"/>
          </w:tcPr>
          <w:p w14:paraId="55B5E548" w14:textId="77777777" w:rsidR="00EB35E7" w:rsidRPr="00EB35E7" w:rsidRDefault="00EB35E7" w:rsidP="00EB35E7">
            <w:pPr>
              <w:rPr>
                <w:rStyle w:val="Hyperlink"/>
                <w:rFonts w:hint="cs"/>
                <w:rtl/>
              </w:rPr>
            </w:pPr>
            <w:hyperlink w:anchor="med9" w:tooltip="פרק י: הוראת מעבר" w:history="1">
              <w:r w:rsidRPr="00EB35E7">
                <w:rPr>
                  <w:rStyle w:val="Hyperlink"/>
                </w:rPr>
                <w:t>Go</w:t>
              </w:r>
            </w:hyperlink>
          </w:p>
        </w:tc>
        <w:tc>
          <w:tcPr>
            <w:tcW w:w="850" w:type="dxa"/>
          </w:tcPr>
          <w:p w14:paraId="3E29F1B1"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10</w:t>
            </w:r>
            <w:r>
              <w:rPr>
                <w:rFonts w:cs="Frankruhel"/>
                <w:rtl/>
              </w:rPr>
              <w:fldChar w:fldCharType="end"/>
            </w:r>
          </w:p>
        </w:tc>
      </w:tr>
      <w:tr w:rsidR="00EB35E7" w:rsidRPr="00EB35E7" w14:paraId="3B7E804E" w14:textId="77777777" w:rsidTr="00EB35E7">
        <w:tblPrEx>
          <w:tblCellMar>
            <w:top w:w="0" w:type="dxa"/>
            <w:bottom w:w="0" w:type="dxa"/>
          </w:tblCellMar>
        </w:tblPrEx>
        <w:tc>
          <w:tcPr>
            <w:tcW w:w="1247" w:type="dxa"/>
          </w:tcPr>
          <w:p w14:paraId="67867836" w14:textId="77777777" w:rsidR="00EB35E7" w:rsidRPr="00EB35E7" w:rsidRDefault="00EB35E7" w:rsidP="00EB35E7">
            <w:pPr>
              <w:rPr>
                <w:rFonts w:cs="Frankruhel" w:hint="cs"/>
                <w:rtl/>
              </w:rPr>
            </w:pPr>
            <w:r>
              <w:rPr>
                <w:rtl/>
              </w:rPr>
              <w:lastRenderedPageBreak/>
              <w:t xml:space="preserve">סעיף 28 </w:t>
            </w:r>
          </w:p>
        </w:tc>
        <w:tc>
          <w:tcPr>
            <w:tcW w:w="5669" w:type="dxa"/>
          </w:tcPr>
          <w:p w14:paraId="2CBE9A3E" w14:textId="77777777" w:rsidR="00EB35E7" w:rsidRPr="00EB35E7" w:rsidRDefault="00EB35E7" w:rsidP="00EB35E7">
            <w:pPr>
              <w:rPr>
                <w:rFonts w:cs="Frankruhel" w:hint="cs"/>
                <w:rtl/>
              </w:rPr>
            </w:pPr>
            <w:r>
              <w:rPr>
                <w:rtl/>
              </w:rPr>
              <w:t>הוראת מעבר</w:t>
            </w:r>
          </w:p>
        </w:tc>
        <w:tc>
          <w:tcPr>
            <w:tcW w:w="567" w:type="dxa"/>
          </w:tcPr>
          <w:p w14:paraId="27300235" w14:textId="77777777" w:rsidR="00EB35E7" w:rsidRPr="00EB35E7" w:rsidRDefault="00EB35E7" w:rsidP="00EB35E7">
            <w:pPr>
              <w:rPr>
                <w:rStyle w:val="Hyperlink"/>
                <w:rFonts w:hint="cs"/>
                <w:rtl/>
              </w:rPr>
            </w:pPr>
            <w:hyperlink w:anchor="Seif28" w:tooltip="הוראת מעבר" w:history="1">
              <w:r w:rsidRPr="00EB35E7">
                <w:rPr>
                  <w:rStyle w:val="Hyperlink"/>
                </w:rPr>
                <w:t>Go</w:t>
              </w:r>
            </w:hyperlink>
          </w:p>
        </w:tc>
        <w:tc>
          <w:tcPr>
            <w:tcW w:w="850" w:type="dxa"/>
          </w:tcPr>
          <w:p w14:paraId="77D1823E"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10</w:t>
            </w:r>
            <w:r>
              <w:rPr>
                <w:rFonts w:cs="Frankruhel"/>
                <w:rtl/>
              </w:rPr>
              <w:fldChar w:fldCharType="end"/>
            </w:r>
          </w:p>
        </w:tc>
      </w:tr>
      <w:tr w:rsidR="00EB35E7" w:rsidRPr="00EB35E7" w14:paraId="785CD580" w14:textId="77777777" w:rsidTr="00EB35E7">
        <w:tblPrEx>
          <w:tblCellMar>
            <w:top w:w="0" w:type="dxa"/>
            <w:bottom w:w="0" w:type="dxa"/>
          </w:tblCellMar>
        </w:tblPrEx>
        <w:tc>
          <w:tcPr>
            <w:tcW w:w="1247" w:type="dxa"/>
          </w:tcPr>
          <w:p w14:paraId="7F0D0CDE" w14:textId="77777777" w:rsidR="00EB35E7" w:rsidRPr="00EB35E7" w:rsidRDefault="00EB35E7" w:rsidP="00EB35E7">
            <w:pPr>
              <w:rPr>
                <w:rFonts w:cs="Frankruhel" w:hint="cs"/>
                <w:rtl/>
              </w:rPr>
            </w:pPr>
          </w:p>
        </w:tc>
        <w:tc>
          <w:tcPr>
            <w:tcW w:w="5669" w:type="dxa"/>
          </w:tcPr>
          <w:p w14:paraId="32B3AD5D" w14:textId="77777777" w:rsidR="00EB35E7" w:rsidRPr="00EB35E7" w:rsidRDefault="00EB35E7" w:rsidP="00EB35E7">
            <w:pPr>
              <w:rPr>
                <w:rFonts w:cs="Frankruhel" w:hint="cs"/>
                <w:rtl/>
              </w:rPr>
            </w:pPr>
            <w:r>
              <w:rPr>
                <w:rtl/>
              </w:rPr>
              <w:t>תוספת</w:t>
            </w:r>
          </w:p>
        </w:tc>
        <w:tc>
          <w:tcPr>
            <w:tcW w:w="567" w:type="dxa"/>
          </w:tcPr>
          <w:p w14:paraId="320EA76C" w14:textId="77777777" w:rsidR="00EB35E7" w:rsidRPr="00EB35E7" w:rsidRDefault="00EB35E7" w:rsidP="00EB35E7">
            <w:pPr>
              <w:rPr>
                <w:rStyle w:val="Hyperlink"/>
                <w:rFonts w:hint="cs"/>
                <w:rtl/>
              </w:rPr>
            </w:pPr>
            <w:hyperlink w:anchor="med10" w:tooltip="תוספת" w:history="1">
              <w:r w:rsidRPr="00EB35E7">
                <w:rPr>
                  <w:rStyle w:val="Hyperlink"/>
                </w:rPr>
                <w:t>Go</w:t>
              </w:r>
            </w:hyperlink>
          </w:p>
        </w:tc>
        <w:tc>
          <w:tcPr>
            <w:tcW w:w="850" w:type="dxa"/>
          </w:tcPr>
          <w:p w14:paraId="77399D84" w14:textId="77777777" w:rsidR="00EB35E7" w:rsidRPr="00EB35E7" w:rsidRDefault="00EB35E7" w:rsidP="00EB35E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10</w:t>
            </w:r>
            <w:r>
              <w:rPr>
                <w:rFonts w:cs="Frankruhel"/>
                <w:rtl/>
              </w:rPr>
              <w:fldChar w:fldCharType="end"/>
            </w:r>
          </w:p>
        </w:tc>
      </w:tr>
    </w:tbl>
    <w:p w14:paraId="1C7775C8" w14:textId="77777777" w:rsidR="002A24E2" w:rsidRDefault="002A24E2">
      <w:pPr>
        <w:pStyle w:val="big-header"/>
        <w:ind w:left="0" w:right="1134"/>
        <w:rPr>
          <w:rFonts w:cs="FrankRuehl" w:hint="cs"/>
          <w:sz w:val="32"/>
          <w:rtl/>
        </w:rPr>
      </w:pPr>
    </w:p>
    <w:p w14:paraId="2DEE2AE3" w14:textId="77777777" w:rsidR="002A24E2" w:rsidRDefault="002A24E2" w:rsidP="00833EE7">
      <w:pPr>
        <w:pStyle w:val="big-header"/>
        <w:ind w:left="0" w:right="1134"/>
        <w:rPr>
          <w:rStyle w:val="default"/>
          <w:sz w:val="22"/>
          <w:szCs w:val="22"/>
          <w:rtl/>
        </w:rPr>
      </w:pPr>
      <w:r>
        <w:rPr>
          <w:rFonts w:cs="FrankRuehl"/>
          <w:sz w:val="32"/>
          <w:rtl/>
        </w:rPr>
        <w:br w:type="page"/>
      </w:r>
      <w:r w:rsidR="002343A7">
        <w:rPr>
          <w:rFonts w:cs="FrankRuehl" w:hint="cs"/>
          <w:sz w:val="32"/>
          <w:rtl/>
        </w:rPr>
        <w:lastRenderedPageBreak/>
        <w:t>חוק למניעת הפצה ומימון של נשק להשמדה המונית, תשע"ח-2018</w:t>
      </w:r>
      <w:r>
        <w:rPr>
          <w:rStyle w:val="default"/>
          <w:sz w:val="22"/>
          <w:szCs w:val="22"/>
          <w:rtl/>
        </w:rPr>
        <w:footnoteReference w:customMarkFollows="1" w:id="1"/>
        <w:t>*</w:t>
      </w:r>
    </w:p>
    <w:p w14:paraId="24F006E8" w14:textId="77777777" w:rsidR="002343A7" w:rsidRPr="002343A7" w:rsidRDefault="002343A7" w:rsidP="002343A7">
      <w:pPr>
        <w:pStyle w:val="medium2-header"/>
        <w:keepLines w:val="0"/>
        <w:spacing w:before="72"/>
        <w:ind w:left="0" w:right="1134"/>
        <w:rPr>
          <w:rFonts w:cs="FrankRuehl"/>
          <w:noProof/>
          <w:rtl/>
        </w:rPr>
      </w:pPr>
      <w:bookmarkStart w:id="0" w:name="med0"/>
      <w:bookmarkEnd w:id="0"/>
      <w:r w:rsidRPr="002343A7">
        <w:rPr>
          <w:rFonts w:cs="FrankRuehl" w:hint="cs"/>
          <w:noProof/>
          <w:rtl/>
        </w:rPr>
        <w:t>פרק א': מטרה ופרשנות</w:t>
      </w:r>
    </w:p>
    <w:p w14:paraId="2745ADDA" w14:textId="77777777" w:rsidR="002A24E2" w:rsidRDefault="002A24E2" w:rsidP="00DE728B">
      <w:pPr>
        <w:pStyle w:val="P00"/>
        <w:spacing w:before="72"/>
        <w:ind w:left="0" w:right="1134"/>
        <w:rPr>
          <w:rStyle w:val="default"/>
          <w:rFonts w:cs="FrankRuehl"/>
          <w:rtl/>
        </w:rPr>
      </w:pPr>
      <w:bookmarkStart w:id="1" w:name="Seif1"/>
      <w:bookmarkEnd w:id="1"/>
      <w:r>
        <w:rPr>
          <w:rFonts w:cs="Miriam"/>
          <w:lang w:val="he-IL"/>
        </w:rPr>
        <w:pict w14:anchorId="7708FD8F">
          <v:rect id="_x0000_s1026" style="position:absolute;left:0;text-align:left;margin-left:464.35pt;margin-top:7.1pt;width:75.05pt;height:10.95pt;z-index:251643904" o:allowincell="f" filled="f" stroked="f" strokecolor="lime" strokeweight=".25pt">
            <v:textbox style="mso-next-textbox:#_x0000_s1026" inset="0,0,0,0">
              <w:txbxContent>
                <w:p w14:paraId="1060415C" w14:textId="77777777" w:rsidR="004A1FAB" w:rsidRDefault="002343A7" w:rsidP="00E2192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F5974">
        <w:rPr>
          <w:rStyle w:val="default"/>
          <w:rFonts w:cs="FrankRuehl" w:hint="cs"/>
          <w:rtl/>
        </w:rPr>
        <w:t>מטרתו של חוק זה למנוע הפצה ומימון של נשק להשמדה המונית, לרבות באמצעות יישום הסנקציות של מועצת הביטחון על גורמים המפיצים ומממנים נשק להשמדה המונית, וכן על גורמים המסייעים בהפצה ובמימון של נשק כאמור, והכול כחלק מהמאבק הבין-לאומי בהפצה ובמימון של נשק כאמור</w:t>
      </w:r>
      <w:r w:rsidR="004A1FAB">
        <w:rPr>
          <w:rStyle w:val="default"/>
          <w:rFonts w:cs="FrankRuehl" w:hint="cs"/>
          <w:rtl/>
        </w:rPr>
        <w:t>.</w:t>
      </w:r>
    </w:p>
    <w:p w14:paraId="372B472F" w14:textId="77777777" w:rsidR="00E21924" w:rsidRDefault="00E21924" w:rsidP="00DE728B">
      <w:pPr>
        <w:pStyle w:val="P00"/>
        <w:spacing w:before="72"/>
        <w:ind w:left="0" w:right="1134"/>
        <w:rPr>
          <w:rStyle w:val="default"/>
          <w:rFonts w:cs="FrankRuehl"/>
          <w:rtl/>
        </w:rPr>
      </w:pPr>
      <w:bookmarkStart w:id="2" w:name="Seif2"/>
      <w:bookmarkEnd w:id="2"/>
      <w:r>
        <w:rPr>
          <w:rFonts w:cs="Miriam"/>
          <w:lang w:val="he-IL"/>
        </w:rPr>
        <w:pict w14:anchorId="2EF4610B">
          <v:rect id="_x0000_s1388" style="position:absolute;left:0;text-align:left;margin-left:464.35pt;margin-top:7.1pt;width:75.05pt;height:12.05pt;z-index:251644928" o:allowincell="f" filled="f" stroked="f" strokecolor="lime" strokeweight=".25pt">
            <v:textbox style="mso-next-textbox:#_x0000_s1388" inset="0,0,0,0">
              <w:txbxContent>
                <w:p w14:paraId="4CA0FFE8" w14:textId="77777777" w:rsidR="004A1FAB" w:rsidRDefault="009F5974"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9F5974">
        <w:rPr>
          <w:rStyle w:val="default"/>
          <w:rFonts w:cs="FrankRuehl" w:hint="cs"/>
          <w:rtl/>
        </w:rPr>
        <w:t xml:space="preserve">בחוק זה </w:t>
      </w:r>
      <w:r w:rsidR="009F5974">
        <w:rPr>
          <w:rStyle w:val="default"/>
          <w:rFonts w:cs="FrankRuehl"/>
          <w:rtl/>
        </w:rPr>
        <w:t>–</w:t>
      </w:r>
    </w:p>
    <w:p w14:paraId="12569864" w14:textId="77777777" w:rsidR="009F5974" w:rsidRDefault="009F5974"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עניין" ו"שליטה" </w:t>
      </w:r>
      <w:r>
        <w:rPr>
          <w:rStyle w:val="default"/>
          <w:rFonts w:cs="FrankRuehl"/>
          <w:rtl/>
        </w:rPr>
        <w:t>–</w:t>
      </w:r>
      <w:r>
        <w:rPr>
          <w:rStyle w:val="default"/>
          <w:rFonts w:cs="FrankRuehl" w:hint="cs"/>
          <w:rtl/>
        </w:rPr>
        <w:t xml:space="preserve"> כהגדרתם בחוק ניירות ערך, התשכ"ח-1968;</w:t>
      </w:r>
    </w:p>
    <w:p w14:paraId="1F20DE4A" w14:textId="77777777" w:rsidR="009F5974" w:rsidRDefault="009F5974"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זר" </w:t>
      </w:r>
      <w:r w:rsidR="00CF2508">
        <w:rPr>
          <w:rStyle w:val="default"/>
          <w:rFonts w:cs="FrankRuehl"/>
          <w:rtl/>
        </w:rPr>
        <w:t>–</w:t>
      </w:r>
      <w:r>
        <w:rPr>
          <w:rStyle w:val="default"/>
          <w:rFonts w:cs="FrankRuehl" w:hint="cs"/>
          <w:rtl/>
        </w:rPr>
        <w:t xml:space="preserve"> </w:t>
      </w:r>
      <w:r w:rsidR="00CF2508">
        <w:rPr>
          <w:rStyle w:val="default"/>
          <w:rFonts w:cs="FrankRuehl" w:hint="cs"/>
          <w:rtl/>
        </w:rPr>
        <w:t>מי שמתקיים לגביו אחד מאלה, לפי העניין:</w:t>
      </w:r>
    </w:p>
    <w:p w14:paraId="4AFC8BEF" w14:textId="77777777" w:rsidR="00CF2508" w:rsidRDefault="00CF2508" w:rsidP="00CF25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יחיד </w:t>
      </w:r>
      <w:r>
        <w:rPr>
          <w:rStyle w:val="default"/>
          <w:rFonts w:cs="FrankRuehl"/>
          <w:rtl/>
        </w:rPr>
        <w:t>–</w:t>
      </w:r>
      <w:r>
        <w:rPr>
          <w:rStyle w:val="default"/>
          <w:rFonts w:cs="FrankRuehl" w:hint="cs"/>
          <w:rtl/>
        </w:rPr>
        <w:t xml:space="preserve"> הוא אינו אזרח ישראלי או תושב ישראל;</w:t>
      </w:r>
    </w:p>
    <w:p w14:paraId="55911B80" w14:textId="77777777" w:rsidR="00CF2508" w:rsidRDefault="00CF2508" w:rsidP="00CF25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חבר בני אדם </w:t>
      </w:r>
      <w:r>
        <w:rPr>
          <w:rStyle w:val="default"/>
          <w:rFonts w:cs="FrankRuehl"/>
          <w:rtl/>
        </w:rPr>
        <w:t>–</w:t>
      </w:r>
      <w:r>
        <w:rPr>
          <w:rStyle w:val="default"/>
          <w:rFonts w:cs="FrankRuehl" w:hint="cs"/>
          <w:rtl/>
        </w:rPr>
        <w:t xml:space="preserve"> מרכז פעילותו אינו בישראל, ואם הוא תאגיד </w:t>
      </w:r>
      <w:r>
        <w:rPr>
          <w:rStyle w:val="default"/>
          <w:rFonts w:cs="FrankRuehl"/>
          <w:rtl/>
        </w:rPr>
        <w:t>–</w:t>
      </w:r>
      <w:r>
        <w:rPr>
          <w:rStyle w:val="default"/>
          <w:rFonts w:cs="FrankRuehl" w:hint="cs"/>
          <w:rtl/>
        </w:rPr>
        <w:t xml:space="preserve"> מתקיימים בו גם כל אלה:</w:t>
      </w:r>
    </w:p>
    <w:p w14:paraId="3AD8E8DF" w14:textId="77777777" w:rsidR="00CF2508" w:rsidRDefault="00CF2508" w:rsidP="00CA3E8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אינו רשום בישראל;</w:t>
      </w:r>
    </w:p>
    <w:p w14:paraId="2E6A9804" w14:textId="77777777" w:rsidR="00CF2508" w:rsidRDefault="00CF2508" w:rsidP="00CA3E8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השליטה בו אינה בידי תושב ישראל;</w:t>
      </w:r>
    </w:p>
    <w:p w14:paraId="4A56A599" w14:textId="77777777" w:rsidR="00CF2508" w:rsidRDefault="00CF2508"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מוכרז" </w:t>
      </w:r>
      <w:r w:rsidR="00CA3E83">
        <w:rPr>
          <w:rStyle w:val="default"/>
          <w:rFonts w:cs="FrankRuehl"/>
          <w:rtl/>
        </w:rPr>
        <w:t>–</w:t>
      </w:r>
      <w:r>
        <w:rPr>
          <w:rStyle w:val="default"/>
          <w:rFonts w:cs="FrankRuehl" w:hint="cs"/>
          <w:rtl/>
        </w:rPr>
        <w:t xml:space="preserve"> </w:t>
      </w:r>
      <w:r w:rsidR="00CA3E83">
        <w:rPr>
          <w:rStyle w:val="default"/>
          <w:rFonts w:cs="FrankRuehl" w:hint="cs"/>
          <w:rtl/>
        </w:rPr>
        <w:t>גורם זר שחלה לגביו הכרזה לפי סעיפים 3(א)(1) או (ב) או 4(א);</w:t>
      </w:r>
    </w:p>
    <w:p w14:paraId="791BB7BE"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קשור" </w:t>
      </w:r>
      <w:r>
        <w:rPr>
          <w:rStyle w:val="default"/>
          <w:rFonts w:cs="FrankRuehl"/>
          <w:rtl/>
        </w:rPr>
        <w:t>–</w:t>
      </w:r>
      <w:r>
        <w:rPr>
          <w:rStyle w:val="default"/>
          <w:rFonts w:cs="FrankRuehl" w:hint="cs"/>
          <w:rtl/>
        </w:rPr>
        <w:t xml:space="preserve"> אחד מאלה:</w:t>
      </w:r>
    </w:p>
    <w:p w14:paraId="3764FA12" w14:textId="77777777" w:rsidR="00CA3E83" w:rsidRDefault="00CA3E83" w:rsidP="00CA3E8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שליטה או בעל עניין בתאגיד שהוא גורם מוכרז;</w:t>
      </w:r>
    </w:p>
    <w:p w14:paraId="37DA5CBB" w14:textId="77777777" w:rsidR="00CA3E83" w:rsidRDefault="00CA3E83" w:rsidP="00CA3E8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שבעל השליטה או בעל עניין בו הוא גורם מוכרז;</w:t>
      </w:r>
    </w:p>
    <w:p w14:paraId="4F2443C1"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איסור הלבנת הון" </w:t>
      </w:r>
      <w:r>
        <w:rPr>
          <w:rStyle w:val="default"/>
          <w:rFonts w:cs="FrankRuehl"/>
          <w:rtl/>
        </w:rPr>
        <w:t>–</w:t>
      </w:r>
      <w:r>
        <w:rPr>
          <w:rStyle w:val="default"/>
          <w:rFonts w:cs="FrankRuehl" w:hint="cs"/>
          <w:rtl/>
        </w:rPr>
        <w:t xml:space="preserve"> חוק איסור הלבנת הון, התש"ס-2000;</w:t>
      </w:r>
    </w:p>
    <w:p w14:paraId="3D482A71"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המאבק בתכנית הגרעין של איראן" </w:t>
      </w:r>
      <w:r>
        <w:rPr>
          <w:rStyle w:val="default"/>
          <w:rFonts w:cs="FrankRuehl"/>
          <w:rtl/>
        </w:rPr>
        <w:t>–</w:t>
      </w:r>
      <w:r>
        <w:rPr>
          <w:rStyle w:val="default"/>
          <w:rFonts w:cs="FrankRuehl" w:hint="cs"/>
          <w:rtl/>
        </w:rPr>
        <w:t xml:space="preserve"> חוק המאבק בתכנית הגרעין של איראן, התשע"ב-2012;</w:t>
      </w:r>
    </w:p>
    <w:p w14:paraId="1490F709"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14:paraId="1861E0C6"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"מדינת חוץ" </w:t>
      </w:r>
      <w:r>
        <w:rPr>
          <w:rStyle w:val="default"/>
          <w:rFonts w:cs="FrankRuehl"/>
          <w:rtl/>
        </w:rPr>
        <w:t>–</w:t>
      </w:r>
      <w:r>
        <w:rPr>
          <w:rStyle w:val="default"/>
          <w:rFonts w:cs="FrankRuehl" w:hint="cs"/>
          <w:rtl/>
        </w:rPr>
        <w:t xml:space="preserve"> מדינה המנויה בתוספת;</w:t>
      </w:r>
    </w:p>
    <w:p w14:paraId="7DF8D0DC"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"מטה הסנקציות" </w:t>
      </w:r>
      <w:r>
        <w:rPr>
          <w:rStyle w:val="default"/>
          <w:rFonts w:cs="FrankRuehl"/>
          <w:rtl/>
        </w:rPr>
        <w:t>–</w:t>
      </w:r>
      <w:r>
        <w:rPr>
          <w:rStyle w:val="default"/>
          <w:rFonts w:cs="FrankRuehl" w:hint="cs"/>
          <w:rtl/>
        </w:rPr>
        <w:t xml:space="preserve"> כהגדרתו בחוק המאבק בתכנית הגרעין של איראן;</w:t>
      </w:r>
    </w:p>
    <w:p w14:paraId="4D718C52"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"נשק להשמדה המונית" </w:t>
      </w:r>
      <w:r>
        <w:rPr>
          <w:rStyle w:val="default"/>
          <w:rFonts w:cs="FrankRuehl"/>
          <w:rtl/>
        </w:rPr>
        <w:t>–</w:t>
      </w:r>
      <w:r>
        <w:rPr>
          <w:rStyle w:val="default"/>
          <w:rFonts w:cs="FrankRuehl" w:hint="cs"/>
          <w:rtl/>
        </w:rPr>
        <w:t xml:space="preserve"> נשק כימי, ביולוגי, גרעיני או רדיולוגי, העלול לפי סוגו או טיבו לגרום למוות של ציבור גדול או לפגיעה חמורה בו, ולרבות אמצעי לנשיאת נשק כאמור;</w:t>
      </w:r>
    </w:p>
    <w:p w14:paraId="1820FE22" w14:textId="77777777" w:rsidR="00CA3E83" w:rsidRDefault="00CA3E83"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"פעילות כלכלית" </w:t>
      </w:r>
      <w:r w:rsidR="00030545">
        <w:rPr>
          <w:rStyle w:val="default"/>
          <w:rFonts w:cs="FrankRuehl"/>
          <w:rtl/>
        </w:rPr>
        <w:t>–</w:t>
      </w:r>
      <w:r>
        <w:rPr>
          <w:rStyle w:val="default"/>
          <w:rFonts w:cs="FrankRuehl" w:hint="cs"/>
          <w:rtl/>
        </w:rPr>
        <w:t xml:space="preserve"> </w:t>
      </w:r>
      <w:r w:rsidR="00030545">
        <w:rPr>
          <w:rStyle w:val="default"/>
          <w:rFonts w:cs="FrankRuehl" w:hint="cs"/>
          <w:rtl/>
        </w:rPr>
        <w:t>כל פעילות שיש לה ערך כלכלי, בין שנעשית בתמורה ובין שנעשית בלא תמורה, ובכלל זה סחר, מתן או קבלה של הלוואה, מתן או קבלה של שירות לרבות שירות פיננסי, הקניה או קבלה של שעלות או של זכות אחרת ברכוש או מתן זכות כלכלית לפי דין;</w:t>
      </w:r>
    </w:p>
    <w:p w14:paraId="44C217BF" w14:textId="77777777" w:rsidR="00030545" w:rsidRDefault="00030545"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"מועצת הביטחון" </w:t>
      </w:r>
      <w:r>
        <w:rPr>
          <w:rStyle w:val="default"/>
          <w:rFonts w:cs="FrankRuehl"/>
          <w:rtl/>
        </w:rPr>
        <w:t>–</w:t>
      </w:r>
      <w:r>
        <w:rPr>
          <w:rStyle w:val="default"/>
          <w:rFonts w:cs="FrankRuehl" w:hint="cs"/>
          <w:rtl/>
        </w:rPr>
        <w:t xml:space="preserve"> מועצת הביטחון של האומות המאוחדות;</w:t>
      </w:r>
    </w:p>
    <w:p w14:paraId="6515D978" w14:textId="77777777" w:rsidR="00030545" w:rsidRDefault="00030545"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"רכוש" </w:t>
      </w:r>
      <w:r>
        <w:rPr>
          <w:rStyle w:val="default"/>
          <w:rFonts w:cs="FrankRuehl"/>
          <w:rtl/>
        </w:rPr>
        <w:t>–</w:t>
      </w:r>
      <w:r>
        <w:rPr>
          <w:rStyle w:val="default"/>
          <w:rFonts w:cs="FrankRuehl" w:hint="cs"/>
          <w:rtl/>
        </w:rPr>
        <w:t xml:space="preserve"> מקרקעין, מיטלטלין, כספים וזכויות, לרבות רכוש שהוא תמורתו של רכוש כאמור, וכל רכוש שצמח או שבא מרכוש כאמור או מרווחיו;</w:t>
      </w:r>
    </w:p>
    <w:p w14:paraId="1244BDB1" w14:textId="77777777" w:rsidR="00030545" w:rsidRDefault="00030545"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ישראל" </w:t>
      </w:r>
      <w:r>
        <w:rPr>
          <w:rStyle w:val="default"/>
          <w:rFonts w:cs="FrankRuehl"/>
          <w:rtl/>
        </w:rPr>
        <w:t>–</w:t>
      </w:r>
      <w:r>
        <w:rPr>
          <w:rStyle w:val="default"/>
          <w:rFonts w:cs="FrankRuehl" w:hint="cs"/>
          <w:rtl/>
        </w:rPr>
        <w:t xml:space="preserve"> לרבות אדם שמקום מגוריו הוא באזור כהגדרתו בתקנות שעת חירום (יהודה והשומרון </w:t>
      </w:r>
      <w:r>
        <w:rPr>
          <w:rStyle w:val="default"/>
          <w:rFonts w:cs="FrankRuehl"/>
          <w:rtl/>
        </w:rPr>
        <w:t>–</w:t>
      </w:r>
      <w:r>
        <w:rPr>
          <w:rStyle w:val="default"/>
          <w:rFonts w:cs="FrankRuehl" w:hint="cs"/>
          <w:rtl/>
        </w:rPr>
        <w:t xml:space="preserve"> שיפוט בעבירות ועזרה משפטית), התשכ"ז-1967, כפי שהוארך תוקפן ותוקן נוסחן מעת לעת, והוא אזרח ישראלי או שהוא זכאי לעלות לישראל לפי חוק השבות, התש"י-1950, ושאילו מקום מגוריו היה בישראל היה בגדר תושב ישראל;</w:t>
      </w:r>
    </w:p>
    <w:p w14:paraId="722DF4C2" w14:textId="77777777" w:rsidR="00030545" w:rsidRDefault="00030545" w:rsidP="00DE728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האוצר.</w:t>
      </w:r>
    </w:p>
    <w:p w14:paraId="68139EED" w14:textId="77777777" w:rsidR="00030545" w:rsidRPr="00030545" w:rsidRDefault="00030545" w:rsidP="00030545">
      <w:pPr>
        <w:pStyle w:val="medium2-header"/>
        <w:keepLines w:val="0"/>
        <w:spacing w:before="72"/>
        <w:ind w:left="0" w:right="1134"/>
        <w:rPr>
          <w:rFonts w:cs="FrankRuehl"/>
          <w:noProof/>
          <w:rtl/>
        </w:rPr>
      </w:pPr>
      <w:bookmarkStart w:id="3" w:name="med1"/>
      <w:bookmarkEnd w:id="3"/>
      <w:r w:rsidRPr="00030545">
        <w:rPr>
          <w:rFonts w:cs="FrankRuehl" w:hint="cs"/>
          <w:noProof/>
          <w:rtl/>
        </w:rPr>
        <w:t>פרק ב': אימוץ הכרזת מועצת הביטחון</w:t>
      </w:r>
    </w:p>
    <w:p w14:paraId="53C4CC07" w14:textId="77777777" w:rsidR="0003781E" w:rsidRDefault="003041B8" w:rsidP="00DE728B">
      <w:pPr>
        <w:pStyle w:val="P00"/>
        <w:spacing w:before="72"/>
        <w:ind w:left="0" w:right="1134"/>
        <w:rPr>
          <w:rStyle w:val="default"/>
          <w:rFonts w:cs="FrankRuehl"/>
          <w:rtl/>
        </w:rPr>
      </w:pPr>
      <w:bookmarkStart w:id="4" w:name="Seif3"/>
      <w:bookmarkEnd w:id="4"/>
      <w:r>
        <w:rPr>
          <w:rFonts w:cs="Miriam"/>
          <w:lang w:val="he-IL"/>
        </w:rPr>
        <w:pict w14:anchorId="703BB3D7">
          <v:rect id="_x0000_s1518" style="position:absolute;left:0;text-align:left;margin-left:464.35pt;margin-top:7.1pt;width:75.05pt;height:18.05pt;z-index:251645952" o:allowincell="f" filled="f" stroked="f" strokecolor="lime" strokeweight=".25pt">
            <v:textbox style="mso-next-textbox:#_x0000_s1518" inset="0,0,0,0">
              <w:txbxContent>
                <w:p w14:paraId="56B35A75" w14:textId="77777777" w:rsidR="004A1FAB" w:rsidRDefault="00030545" w:rsidP="003041B8">
                  <w:pPr>
                    <w:spacing w:line="160" w:lineRule="exact"/>
                    <w:rPr>
                      <w:rFonts w:cs="Miriam" w:hint="cs"/>
                      <w:noProof/>
                      <w:sz w:val="18"/>
                      <w:szCs w:val="18"/>
                      <w:rtl/>
                    </w:rPr>
                  </w:pPr>
                  <w:r>
                    <w:rPr>
                      <w:rFonts w:cs="Miriam" w:hint="cs"/>
                      <w:sz w:val="18"/>
                      <w:szCs w:val="18"/>
                      <w:rtl/>
                    </w:rPr>
                    <w:t>אימוץ הכרזת מועצת הביטחון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326208">
        <w:rPr>
          <w:rStyle w:val="default"/>
          <w:rFonts w:cs="FrankRuehl" w:hint="cs"/>
          <w:rtl/>
        </w:rPr>
        <w:t>(א)</w:t>
      </w:r>
      <w:r w:rsidR="00326208">
        <w:rPr>
          <w:rStyle w:val="default"/>
          <w:rFonts w:cs="FrankRuehl" w:hint="cs"/>
          <w:rtl/>
        </w:rPr>
        <w:tab/>
      </w:r>
      <w:r w:rsidR="00362F72">
        <w:rPr>
          <w:rStyle w:val="default"/>
          <w:rFonts w:cs="FrankRuehl" w:hint="cs"/>
          <w:rtl/>
        </w:rPr>
        <w:t xml:space="preserve">הכריזה מועצת הביטחון או מי שהיא הסמיכה לכך כי גורם זר הוא גורם המסייע למדינת חוץ או לארגון לא מדינתי הפועל במדינת חוץ בהפצה ובמימון של נשק להשמדה המונית (להלן </w:t>
      </w:r>
      <w:r w:rsidR="00362F72">
        <w:rPr>
          <w:rStyle w:val="default"/>
          <w:rFonts w:cs="FrankRuehl"/>
          <w:rtl/>
        </w:rPr>
        <w:t>–</w:t>
      </w:r>
      <w:r w:rsidR="00362F72">
        <w:rPr>
          <w:rStyle w:val="default"/>
          <w:rFonts w:cs="FrankRuehl" w:hint="cs"/>
          <w:rtl/>
        </w:rPr>
        <w:t xml:space="preserve"> הכרזת מועצת הביטחון), יחולו הוראות אלה:</w:t>
      </w:r>
    </w:p>
    <w:p w14:paraId="3FD411E4" w14:textId="77777777" w:rsidR="00362F72" w:rsidRDefault="00362F72" w:rsidP="00362F7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יראו את אותו גורם זר, בתקופה האמורה בפסקה (3), כמי שהוכרז עליו בישראל שהוא גורם המסייע להפצה ולמימון של נשק להשמדה המונית (להלן </w:t>
      </w:r>
      <w:r>
        <w:rPr>
          <w:rStyle w:val="default"/>
          <w:rFonts w:cs="FrankRuehl"/>
          <w:rtl/>
        </w:rPr>
        <w:t>–</w:t>
      </w:r>
      <w:r>
        <w:rPr>
          <w:rStyle w:val="default"/>
          <w:rFonts w:cs="FrankRuehl" w:hint="cs"/>
          <w:rtl/>
        </w:rPr>
        <w:t xml:space="preserve"> אימוץ זמני של ההכרזה);</w:t>
      </w:r>
    </w:p>
    <w:p w14:paraId="45BF4081" w14:textId="77777777" w:rsidR="00362F72" w:rsidRDefault="00362F72" w:rsidP="00362F7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מטה הסנקציות יפרסם את הכרזת מועצת הביטחון בשפה האנגלית, וכן הודעה על אימוץ זמני של ההכרזה באתר האינטרנט שלו, בתוך 24 שעות ממועד ההכרזה או סמוך ככל האפשר לאחר מכן; הכרזת מועצת הביטחון והודעה על אימוץ זמני של ההכרזה יפורסמו ברשומות בתוך 14 ימים ממועד פרסומן באתר האינטרנט של מטה הסנקציות</w:t>
      </w:r>
      <w:r w:rsidR="007F06AE">
        <w:rPr>
          <w:rStyle w:val="a6"/>
          <w:rFonts w:cs="FrankRuehl"/>
          <w:sz w:val="26"/>
          <w:rtl/>
        </w:rPr>
        <w:footnoteReference w:id="2"/>
      </w:r>
      <w:r>
        <w:rPr>
          <w:rStyle w:val="default"/>
          <w:rFonts w:cs="FrankRuehl" w:hint="cs"/>
          <w:rtl/>
        </w:rPr>
        <w:t>;</w:t>
      </w:r>
    </w:p>
    <w:p w14:paraId="551A652F" w14:textId="77777777" w:rsidR="00362F72" w:rsidRDefault="00362F72" w:rsidP="00362F7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אימוץ זמני של ההכרזה ייכנס לתוקף במועד פרסום ההכרזה וההודעה באתר האינטרנט של מטה הסנקציות לפי הוראות פסקה (2) (להלן </w:t>
      </w:r>
      <w:r>
        <w:rPr>
          <w:rStyle w:val="default"/>
          <w:rFonts w:cs="FrankRuehl"/>
          <w:rtl/>
        </w:rPr>
        <w:t>–</w:t>
      </w:r>
      <w:r>
        <w:rPr>
          <w:rStyle w:val="default"/>
          <w:rFonts w:cs="FrankRuehl" w:hint="cs"/>
          <w:rtl/>
        </w:rPr>
        <w:t xml:space="preserve"> מועד האימוץ הזמני של ההכרזה), ויעמוד בתוקף עד תום ארבעה חודשים מהמועד האמור, ואם קיבל השר, לפני תום התקופה האמורה, החלטה לפי סעיף קטן (ב) להכריז על הגורם הזר או שלא להכריז עליו </w:t>
      </w:r>
      <w:r>
        <w:rPr>
          <w:rStyle w:val="default"/>
          <w:rFonts w:cs="FrankRuehl"/>
          <w:rtl/>
        </w:rPr>
        <w:t>–</w:t>
      </w:r>
      <w:r>
        <w:rPr>
          <w:rStyle w:val="default"/>
          <w:rFonts w:cs="FrankRuehl" w:hint="cs"/>
          <w:rtl/>
        </w:rPr>
        <w:t xml:space="preserve"> עד למועד החלטתו כאמור; בוטלה הכרזת מועצת הביטחון לפני המועד האמור, יפקע תוקפו של האימוץ הזמני.</w:t>
      </w:r>
    </w:p>
    <w:p w14:paraId="70A8B17C" w14:textId="77777777" w:rsidR="00362F72" w:rsidRDefault="00362F72"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6157F">
        <w:rPr>
          <w:rStyle w:val="default"/>
          <w:rFonts w:cs="FrankRuehl" w:hint="cs"/>
          <w:rtl/>
        </w:rPr>
        <w:t>השר, בהתייעצות עם שר החוץ ולאחר שהובאה לפניו עמדת מטה הסנקציות, רשאי להכריז בצו כי גורם זר שניתנה לגביו הכרזת מועצת הביטחון הוא גורם המסייע להפצה ולמימון של נשק להשמדה המונית, והכול בכפוף להוראות פרק ה'.</w:t>
      </w:r>
    </w:p>
    <w:p w14:paraId="12ADD417" w14:textId="77777777" w:rsidR="0076157F" w:rsidRDefault="0076157F" w:rsidP="0076157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הכריז השר כאמור בסעיף קטן (ב), ובוטלה הכרזת מועצת הביטחון, יבטל השר בצו את הכרזתו; צו כאמור ייכנס לתוקף במועד ביטולה של הכרזת מועצת הביטחון;</w:t>
      </w:r>
    </w:p>
    <w:p w14:paraId="31AE3B84" w14:textId="77777777" w:rsidR="0076157F" w:rsidRDefault="0076157F" w:rsidP="007615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השר, בהתייעצות עם שר החוץ, רשאי לבטל בצו את הכרזתו גם אם הכרזת מועצת הביטחון לא בוטלה, אם מצא כי מתקיים טעם אחר לכך.</w:t>
      </w:r>
    </w:p>
    <w:p w14:paraId="042E0389" w14:textId="77777777" w:rsidR="0076157F" w:rsidRDefault="0076157F"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רשימת הגורמים שחלה לגביהם הכרזה לפי סעיף זה תפורסם באתר האינטרנט של מטה הסנקציות ויפורטו בה, לגבי כל אחד מהגורמים הנכללים בה, פרטי זהותו וכן מועד האימוץ הזמני של ההכרזה או המועד שבו ניתנה לגביו הכרזת השר, לפי העניין; הרשימה תעודכן בסמוך לאחר כל אימוץ זמני של הכרזה, הכרזה או שינוי של אחד מאלה.</w:t>
      </w:r>
    </w:p>
    <w:p w14:paraId="744A444E" w14:textId="77777777" w:rsidR="0076157F" w:rsidRDefault="0076157F"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מטה הסנקציות ימסור הודעה על הגורמים המוכרזים בהתאם לסעיף זה, למי שיקבע השר ובדרך שיקבע.</w:t>
      </w:r>
    </w:p>
    <w:p w14:paraId="602B649D" w14:textId="77777777" w:rsidR="0076157F" w:rsidRPr="0076157F" w:rsidRDefault="0076157F" w:rsidP="0076157F">
      <w:pPr>
        <w:pStyle w:val="medium2-header"/>
        <w:keepLines w:val="0"/>
        <w:spacing w:before="72"/>
        <w:ind w:left="0" w:right="1134"/>
        <w:rPr>
          <w:rFonts w:cs="FrankRuehl"/>
          <w:noProof/>
          <w:rtl/>
        </w:rPr>
      </w:pPr>
      <w:bookmarkStart w:id="5" w:name="med2"/>
      <w:bookmarkEnd w:id="5"/>
      <w:r w:rsidRPr="0076157F">
        <w:rPr>
          <w:rFonts w:cs="FrankRuehl" w:hint="cs"/>
          <w:noProof/>
          <w:rtl/>
        </w:rPr>
        <w:t>פרק ג': הכרזת שר האוצר בשל הכרזת גורם מוסמך זר</w:t>
      </w:r>
    </w:p>
    <w:p w14:paraId="7BBFB3AC" w14:textId="77777777" w:rsidR="003041B8" w:rsidRDefault="003041B8" w:rsidP="00DE728B">
      <w:pPr>
        <w:pStyle w:val="P00"/>
        <w:spacing w:before="72"/>
        <w:ind w:left="0" w:right="1134"/>
        <w:rPr>
          <w:rStyle w:val="default"/>
          <w:rFonts w:cs="FrankRuehl"/>
          <w:rtl/>
        </w:rPr>
      </w:pPr>
      <w:bookmarkStart w:id="6" w:name="Seif4"/>
      <w:bookmarkEnd w:id="6"/>
      <w:r>
        <w:rPr>
          <w:rFonts w:cs="Miriam"/>
          <w:lang w:val="he-IL"/>
        </w:rPr>
        <w:pict w14:anchorId="3D6F3EEF">
          <v:rect id="_x0000_s1519" style="position:absolute;left:0;text-align:left;margin-left:464.35pt;margin-top:7.1pt;width:75.05pt;height:27.45pt;z-index:251646976" o:allowincell="f" filled="f" stroked="f" strokecolor="lime" strokeweight=".25pt">
            <v:textbox style="mso-next-textbox:#_x0000_s1519" inset="0,0,0,0">
              <w:txbxContent>
                <w:p w14:paraId="18F37127" w14:textId="77777777" w:rsidR="004A1FAB" w:rsidRDefault="0076157F" w:rsidP="00787C76">
                  <w:pPr>
                    <w:spacing w:line="160" w:lineRule="exact"/>
                    <w:rPr>
                      <w:rFonts w:cs="Miriam" w:hint="cs"/>
                      <w:noProof/>
                      <w:sz w:val="18"/>
                      <w:szCs w:val="18"/>
                      <w:rtl/>
                    </w:rPr>
                  </w:pPr>
                  <w:r>
                    <w:rPr>
                      <w:rFonts w:cs="Miriam" w:hint="cs"/>
                      <w:sz w:val="18"/>
                      <w:szCs w:val="18"/>
                      <w:rtl/>
                    </w:rPr>
                    <w:t>הכרזת שר האוצר בשל הכרזת גורם מוסמך זר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76157F">
        <w:rPr>
          <w:rStyle w:val="default"/>
          <w:rFonts w:cs="FrankRuehl" w:hint="cs"/>
          <w:rtl/>
        </w:rPr>
        <w:t>(א)</w:t>
      </w:r>
      <w:r w:rsidR="0076157F">
        <w:rPr>
          <w:rStyle w:val="default"/>
          <w:rFonts w:cs="FrankRuehl"/>
          <w:rtl/>
        </w:rPr>
        <w:tab/>
      </w:r>
      <w:r w:rsidR="0076157F">
        <w:rPr>
          <w:rStyle w:val="default"/>
          <w:rFonts w:cs="FrankRuehl" w:hint="cs"/>
          <w:rtl/>
        </w:rPr>
        <w:t xml:space="preserve">הכריז גורם מוסמך מחוץ לישראל, מכוח סמכותו לפי הדין החל עליו, כי גורם זר הוא גורם המסייע למדינת חוץ או לארגון לא מדינתי הפועל במדינת חוץ בהפצה ובמימון של נשק להשמדה המונית (להלן </w:t>
      </w:r>
      <w:r w:rsidR="0076157F">
        <w:rPr>
          <w:rStyle w:val="default"/>
          <w:rFonts w:cs="FrankRuehl"/>
          <w:rtl/>
        </w:rPr>
        <w:t>–</w:t>
      </w:r>
      <w:r w:rsidR="0076157F">
        <w:rPr>
          <w:rStyle w:val="default"/>
          <w:rFonts w:cs="FrankRuehl" w:hint="cs"/>
          <w:rtl/>
        </w:rPr>
        <w:t xml:space="preserve"> הכרזת גורם מוסמך זר) והיה לשר, לאחר שהובאה לפני עמדת מטה הסנקציות, יסוד סביר להניח כי הגורם הזר מסייע כאמור, רשאי השר, בהתייעצות עם שר החוץ ושר הביטחון, להכריז בצו כי אותו גורם הוא גורם המסייע בהפצה ובמימון של נשק להשמדה המונית (בסעיף זה </w:t>
      </w:r>
      <w:r w:rsidR="0076157F">
        <w:rPr>
          <w:rStyle w:val="default"/>
          <w:rFonts w:cs="FrankRuehl"/>
          <w:rtl/>
        </w:rPr>
        <w:t>–</w:t>
      </w:r>
      <w:r w:rsidR="0076157F">
        <w:rPr>
          <w:rStyle w:val="default"/>
          <w:rFonts w:cs="FrankRuehl" w:hint="cs"/>
          <w:rtl/>
        </w:rPr>
        <w:t xml:space="preserve"> הכרזת השר), והכול בכפוף להוראות פרק ה'.</w:t>
      </w:r>
    </w:p>
    <w:p w14:paraId="045CC91F" w14:textId="77777777" w:rsidR="0076157F" w:rsidRDefault="0076157F" w:rsidP="0056513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65136">
        <w:rPr>
          <w:rStyle w:val="default"/>
          <w:rFonts w:cs="FrankRuehl" w:hint="cs"/>
          <w:rtl/>
        </w:rPr>
        <w:t>(1)</w:t>
      </w:r>
      <w:r w:rsidR="00565136">
        <w:rPr>
          <w:rStyle w:val="default"/>
          <w:rFonts w:cs="FrankRuehl"/>
          <w:rtl/>
        </w:rPr>
        <w:tab/>
      </w:r>
      <w:r w:rsidR="00565136">
        <w:rPr>
          <w:rStyle w:val="default"/>
          <w:rFonts w:cs="FrankRuehl" w:hint="cs"/>
          <w:rtl/>
        </w:rPr>
        <w:t>הכריז השר כאמור בסעיף קטן (א), ובוטלה הכרזת הגורם המוסמך הזר, יבטל השר בצו את הכרזת השר; צו כאמור ייכנס לתוקף במועד ביטולה של הכרזת הגורם המוסמך הזר;</w:t>
      </w:r>
    </w:p>
    <w:p w14:paraId="769C52A5" w14:textId="77777777" w:rsidR="00565136" w:rsidRDefault="00565136" w:rsidP="0056513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השר, בהתייעצות עם שר החוץ ושר הביטחון, רשאי לבטל את הכרזת השר, גם אם הכרזת הגורם המוסמך הזר לא בוטלה, אם מצא כי מתקיים טעם אחר לכך.</w:t>
      </w:r>
    </w:p>
    <w:p w14:paraId="661B8078" w14:textId="77777777" w:rsidR="00565136" w:rsidRDefault="00565136"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3(ד) ו-(ה) יחולו לעניין גורם שהוכרז לפי סעיף זה.</w:t>
      </w:r>
    </w:p>
    <w:p w14:paraId="481C779A" w14:textId="77777777" w:rsidR="00D77A7B" w:rsidRPr="00D77A7B" w:rsidRDefault="00D77A7B" w:rsidP="00D77A7B">
      <w:pPr>
        <w:pStyle w:val="medium2-header"/>
        <w:keepLines w:val="0"/>
        <w:spacing w:before="72"/>
        <w:ind w:left="0" w:right="1134"/>
        <w:rPr>
          <w:rFonts w:cs="FrankRuehl"/>
          <w:noProof/>
          <w:rtl/>
        </w:rPr>
      </w:pPr>
      <w:bookmarkStart w:id="7" w:name="med3"/>
      <w:bookmarkEnd w:id="7"/>
      <w:r w:rsidRPr="00D77A7B">
        <w:rPr>
          <w:rFonts w:cs="FrankRuehl" w:hint="cs"/>
          <w:noProof/>
          <w:rtl/>
        </w:rPr>
        <w:t>פרק ד': הוראות לעניין גורם מוכרז וגורם קשור</w:t>
      </w:r>
    </w:p>
    <w:p w14:paraId="07251A07" w14:textId="77777777" w:rsidR="0003781E" w:rsidRDefault="003041B8" w:rsidP="00DE728B">
      <w:pPr>
        <w:pStyle w:val="P00"/>
        <w:spacing w:before="72"/>
        <w:ind w:left="0" w:right="1134"/>
        <w:rPr>
          <w:rStyle w:val="default"/>
          <w:rFonts w:cs="FrankRuehl"/>
          <w:rtl/>
        </w:rPr>
      </w:pPr>
      <w:bookmarkStart w:id="8" w:name="Seif5"/>
      <w:bookmarkEnd w:id="8"/>
      <w:r>
        <w:rPr>
          <w:rFonts w:cs="Miriam"/>
          <w:lang w:val="he-IL"/>
        </w:rPr>
        <w:pict w14:anchorId="6FCE2C2A">
          <v:rect id="_x0000_s1520" style="position:absolute;left:0;text-align:left;margin-left:464.35pt;margin-top:7.1pt;width:75.05pt;height:42.9pt;z-index:251648000" o:allowincell="f" filled="f" stroked="f" strokecolor="lime" strokeweight=".25pt">
            <v:textbox style="mso-next-textbox:#_x0000_s1520" inset="0,0,0,0">
              <w:txbxContent>
                <w:p w14:paraId="553C7F46" w14:textId="77777777" w:rsidR="004A1FAB" w:rsidRDefault="00D77A7B" w:rsidP="003041B8">
                  <w:pPr>
                    <w:spacing w:line="160" w:lineRule="exact"/>
                    <w:rPr>
                      <w:rFonts w:cs="Miriam" w:hint="cs"/>
                      <w:noProof/>
                      <w:sz w:val="18"/>
                      <w:szCs w:val="18"/>
                      <w:rtl/>
                    </w:rPr>
                  </w:pPr>
                  <w:r>
                    <w:rPr>
                      <w:rFonts w:cs="Miriam" w:hint="cs"/>
                      <w:sz w:val="18"/>
                      <w:szCs w:val="18"/>
                      <w:rtl/>
                    </w:rPr>
                    <w:t>איסור קיום פעילות כלכלית עם גורם מוכרז וגורם קשור והפסקת פעילות כלכלית קיימת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03781E">
        <w:rPr>
          <w:rStyle w:val="default"/>
          <w:rFonts w:cs="FrankRuehl" w:hint="cs"/>
          <w:rtl/>
        </w:rPr>
        <w:t>(א)</w:t>
      </w:r>
      <w:r w:rsidR="0003781E">
        <w:rPr>
          <w:rStyle w:val="default"/>
          <w:rFonts w:cs="FrankRuehl" w:hint="cs"/>
          <w:rtl/>
        </w:rPr>
        <w:tab/>
      </w:r>
      <w:r w:rsidR="00D77A7B">
        <w:rPr>
          <w:rStyle w:val="default"/>
          <w:rFonts w:cs="FrankRuehl" w:hint="cs"/>
          <w:rtl/>
        </w:rPr>
        <w:t>לא יקיים אדם פעילות כלכלית עם גורם מוכרז או עם גורם קשור, אלא אם כן התיר זאת השר לפי הוראות סעיף קטן (ב), ובהתאם לתנאי ההיתר</w:t>
      </w:r>
      <w:r w:rsidR="000C220C">
        <w:rPr>
          <w:rStyle w:val="default"/>
          <w:rFonts w:cs="FrankRuehl" w:hint="cs"/>
          <w:rtl/>
        </w:rPr>
        <w:t>.</w:t>
      </w:r>
    </w:p>
    <w:p w14:paraId="3564322B" w14:textId="77777777" w:rsidR="00D77A7B" w:rsidRDefault="00D77A7B"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רשאי להתיר קיום פעילות כלכלית עם גורם מוכרז או עם גורם קשור, אם מצא, לאחר שהובאה לפניו עמדת מטה הסנקציות, כי יש צורך בכך לפי הנחיות מועצת הביטחון או מי שהיא הסמיכה לכך, כפי שהן מתפרסמות מעת לעת באתר האינטרנט של מועצת הביטחון, או כי יש טעם אחר לכך.</w:t>
      </w:r>
    </w:p>
    <w:p w14:paraId="5FE57B3A" w14:textId="77777777" w:rsidR="00D77A7B" w:rsidRDefault="00D77A7B"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היתר לפי סעיף קטן (ב) יכול שיהיה לסוגים של פעילות כלכלית או לפעילות כלכלית מסוימת, ויכול שיותנה בתנאים; ההיתר יפורסם ברשומות, וכן יפורסם באתר האינטרנט של מטה הסנקציות בדרך שקבע השר.</w:t>
      </w:r>
    </w:p>
    <w:p w14:paraId="01B55796" w14:textId="77777777" w:rsidR="00D77A7B" w:rsidRDefault="00D77A7B"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נכנס לתוקף אימוץ זמני של הכרזת מועצת הביטחון לפי הוראות סעיף 3(א)(3) או הכריז השר כי גורם זר הוא גורם המסייע בהפצה ובמימון של נשק להשמדה המונית לפי הוראות סעיפים 3(ב) או 4, וקיים אדם פעילות כלכלית עם גורם מוכרז או עם גורם קשור, במועד כניסתו לתוקף של האימוץ הזמני או במועד ההכרזה, לפי העניין, יודיע על כך למטה הסנקציות ויפסיק את הפעילות הכלכלית עם הגורם המוכרז או הגורם הקשור, באופן מיידי.</w:t>
      </w:r>
    </w:p>
    <w:p w14:paraId="24EDBE1B" w14:textId="77777777" w:rsidR="00E74BAB" w:rsidRDefault="00E74BAB" w:rsidP="00DE728B">
      <w:pPr>
        <w:pStyle w:val="P00"/>
        <w:spacing w:before="72"/>
        <w:ind w:left="0" w:right="1134"/>
        <w:rPr>
          <w:rStyle w:val="default"/>
          <w:rFonts w:cs="FrankRuehl"/>
          <w:rtl/>
        </w:rPr>
      </w:pPr>
      <w:bookmarkStart w:id="9" w:name="Seif6"/>
      <w:bookmarkEnd w:id="9"/>
      <w:r>
        <w:rPr>
          <w:rFonts w:cs="Miriam"/>
          <w:lang w:val="he-IL"/>
        </w:rPr>
        <w:pict w14:anchorId="53814330">
          <v:rect id="_x0000_s1521" style="position:absolute;left:0;text-align:left;margin-left:464.35pt;margin-top:7.1pt;width:75.05pt;height:41.2pt;z-index:251649024" o:allowincell="f" filled="f" stroked="f" strokecolor="lime" strokeweight=".25pt">
            <v:textbox style="mso-next-textbox:#_x0000_s1521" inset="0,0,0,0">
              <w:txbxContent>
                <w:p w14:paraId="3F9C27CD" w14:textId="77777777" w:rsidR="004A1FAB" w:rsidRDefault="00D77A7B" w:rsidP="00E74BAB">
                  <w:pPr>
                    <w:spacing w:line="160" w:lineRule="exact"/>
                    <w:rPr>
                      <w:rFonts w:cs="Miriam" w:hint="cs"/>
                      <w:noProof/>
                      <w:sz w:val="18"/>
                      <w:szCs w:val="18"/>
                      <w:rtl/>
                    </w:rPr>
                  </w:pPr>
                  <w:r>
                    <w:rPr>
                      <w:rFonts w:cs="Miriam" w:hint="cs"/>
                      <w:sz w:val="18"/>
                      <w:szCs w:val="18"/>
                      <w:rtl/>
                    </w:rPr>
                    <w:t>חובת דיווח למשטרת ישראל על קיום פעילות כלכלית עם גורם מוכרז או גורם קשור</w:t>
                  </w:r>
                </w:p>
              </w:txbxContent>
            </v:textbox>
            <w10:anchorlock/>
          </v:rect>
        </w:pict>
      </w:r>
      <w:r w:rsidR="0003781E">
        <w:rPr>
          <w:rStyle w:val="big-number"/>
          <w:rFonts w:cs="Miriam" w:hint="cs"/>
          <w:rtl/>
        </w:rPr>
        <w:t>6</w:t>
      </w:r>
      <w:r>
        <w:rPr>
          <w:rStyle w:val="big-number"/>
          <w:rFonts w:cs="FrankRuehl"/>
          <w:sz w:val="26"/>
          <w:szCs w:val="26"/>
          <w:rtl/>
        </w:rPr>
        <w:t>.</w:t>
      </w:r>
      <w:r>
        <w:rPr>
          <w:rStyle w:val="big-number"/>
          <w:rFonts w:cs="FrankRuehl"/>
          <w:sz w:val="26"/>
          <w:szCs w:val="26"/>
          <w:rtl/>
        </w:rPr>
        <w:tab/>
      </w:r>
      <w:r w:rsidR="00073902">
        <w:rPr>
          <w:rStyle w:val="default"/>
          <w:rFonts w:cs="FrankRuehl" w:hint="cs"/>
          <w:rtl/>
        </w:rPr>
        <w:t>(א)</w:t>
      </w:r>
      <w:r w:rsidR="00073902">
        <w:rPr>
          <w:rStyle w:val="default"/>
          <w:rFonts w:cs="FrankRuehl" w:hint="cs"/>
          <w:rtl/>
        </w:rPr>
        <w:tab/>
      </w:r>
      <w:r w:rsidR="00D77A7B">
        <w:rPr>
          <w:rStyle w:val="default"/>
          <w:rFonts w:cs="FrankRuehl" w:hint="cs"/>
          <w:rtl/>
        </w:rPr>
        <w:t>התבקש אדם לקיים פעילות כלכלית במהלך עסקיו או במילוי תפקידו, והיה לאותו אדם חשד סביר כי הפעילות הכלכלית היא עם גורם מוכרז או גורם קשור, או קיים אדם פעילות כלכלית והיה לו במועד קיום הפעילות הכלכלית או בתוך שישה חודשים מהמועד האמור חשד סביר כאמור, ידווח על כך למשטרת ישראל</w:t>
      </w:r>
      <w:r w:rsidR="000C220C">
        <w:rPr>
          <w:rStyle w:val="default"/>
          <w:rFonts w:cs="FrankRuehl" w:hint="cs"/>
          <w:rtl/>
        </w:rPr>
        <w:t>.</w:t>
      </w:r>
    </w:p>
    <w:p w14:paraId="4FA2D685" w14:textId="77777777" w:rsidR="00D77A7B" w:rsidRDefault="00D77A7B"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דיווח כאמור בסעיף קטן (א) יכלול כל מידע הידוע למדווח והנוגע לעניין, ויימסר בסמוך ככל האפשר, בנסיבות העניין, למועד שבו היה לאותו אדם חשד סביר להניח כאמור באותו סעיף קטן.</w:t>
      </w:r>
    </w:p>
    <w:p w14:paraId="350C8C73" w14:textId="77777777" w:rsidR="00D77A7B" w:rsidRDefault="00D77A7B"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דרכי הדיווח והמועדים לפי סעיף זה יהיו בהתאם לדרכי הדיווח והמועדים שנקבעו לפי סעיפים 6(ב), 7(ה) ו-8א(ה) לחוק איסור הלבנת הון, אלא אם כן קבעו אחרת השרים האמורים באותם סעיפים, לאחר התייעצות כאמור בהם.</w:t>
      </w:r>
    </w:p>
    <w:p w14:paraId="3D74F357" w14:textId="77777777" w:rsidR="00D77A7B" w:rsidRDefault="00D77A7B"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דיווח לפי סעיף קטן (א) אינו גורע מחובת הדיווח לפי הוראות כל דין, ובכלל זה סעיפים 7 ו-8א לחוק איסור הלבנת הון.</w:t>
      </w:r>
    </w:p>
    <w:p w14:paraId="4AA82918" w14:textId="77777777" w:rsidR="00E74BAB" w:rsidRDefault="00E74BAB" w:rsidP="00DE728B">
      <w:pPr>
        <w:pStyle w:val="P00"/>
        <w:spacing w:before="72"/>
        <w:ind w:left="0" w:right="1134"/>
        <w:rPr>
          <w:rStyle w:val="default"/>
          <w:rFonts w:cs="FrankRuehl"/>
          <w:rtl/>
        </w:rPr>
      </w:pPr>
      <w:bookmarkStart w:id="10" w:name="Seif7"/>
      <w:bookmarkEnd w:id="10"/>
      <w:r>
        <w:rPr>
          <w:rFonts w:cs="Miriam"/>
          <w:lang w:val="he-IL"/>
        </w:rPr>
        <w:pict w14:anchorId="20FB7310">
          <v:rect id="_x0000_s1522" style="position:absolute;left:0;text-align:left;margin-left:464.35pt;margin-top:7.1pt;width:75.05pt;height:26.5pt;z-index:251650048" o:allowincell="f" filled="f" stroked="f" strokecolor="lime" strokeweight=".25pt">
            <v:textbox style="mso-next-textbox:#_x0000_s1522" inset="0,0,0,0">
              <w:txbxContent>
                <w:p w14:paraId="440FE278" w14:textId="77777777" w:rsidR="004A1FAB" w:rsidRDefault="00D77A7B" w:rsidP="00E74BAB">
                  <w:pPr>
                    <w:spacing w:line="160" w:lineRule="exact"/>
                    <w:rPr>
                      <w:rFonts w:cs="Miriam" w:hint="cs"/>
                      <w:noProof/>
                      <w:sz w:val="18"/>
                      <w:szCs w:val="18"/>
                      <w:rtl/>
                    </w:rPr>
                  </w:pPr>
                  <w:r>
                    <w:rPr>
                      <w:rFonts w:cs="Miriam" w:hint="cs"/>
                      <w:sz w:val="18"/>
                      <w:szCs w:val="18"/>
                      <w:rtl/>
                    </w:rPr>
                    <w:t>פטור מאחריות והגבלות על גילוי דיווח</w:t>
                  </w:r>
                </w:p>
              </w:txbxContent>
            </v:textbox>
            <w10:anchorlock/>
          </v:rect>
        </w:pict>
      </w:r>
      <w:r w:rsidR="009A4F05">
        <w:rPr>
          <w:rStyle w:val="big-number"/>
          <w:rFonts w:cs="Miriam" w:hint="cs"/>
          <w:rtl/>
        </w:rPr>
        <w:t>7</w:t>
      </w:r>
      <w:r>
        <w:rPr>
          <w:rStyle w:val="big-number"/>
          <w:rFonts w:cs="FrankRuehl"/>
          <w:sz w:val="26"/>
          <w:szCs w:val="26"/>
          <w:rtl/>
        </w:rPr>
        <w:t>.</w:t>
      </w:r>
      <w:r>
        <w:rPr>
          <w:rStyle w:val="big-number"/>
          <w:rFonts w:cs="FrankRuehl"/>
          <w:sz w:val="26"/>
          <w:szCs w:val="26"/>
          <w:rtl/>
        </w:rPr>
        <w:tab/>
      </w:r>
      <w:r w:rsidR="00D77A7B">
        <w:rPr>
          <w:rStyle w:val="default"/>
          <w:rFonts w:cs="FrankRuehl" w:hint="cs"/>
          <w:rtl/>
        </w:rPr>
        <w:t>(א)</w:t>
      </w:r>
      <w:r w:rsidR="00D77A7B">
        <w:rPr>
          <w:rStyle w:val="default"/>
          <w:rFonts w:cs="FrankRuehl"/>
          <w:rtl/>
        </w:rPr>
        <w:tab/>
      </w:r>
      <w:r w:rsidR="00D77A7B">
        <w:rPr>
          <w:rStyle w:val="default"/>
          <w:rFonts w:cs="FrankRuehl" w:hint="cs"/>
          <w:rtl/>
        </w:rPr>
        <w:t>אי-עשיית פעילות כלכלית, מחדל אחר או מעשה שנעשו בתום לב כדי להימנע מעבירה לפי סעיפים 13 ו-14, וכן דיווח או גילוי שנעשו בתום לב לשם קיום הוראות פרק זה ופעולה בהתאם להנחיות משטרת ישראל, אין בהם הפרה של חובת סודיות ונאמנות או של חובה אחרת לפי כל דין או הסכם, ומי שעשה או שנמנע מעשייה כאמור לא יישא באחריות פלילית, אזרחית או משמעתית בשל המעשה או המחדל; הוראות סעיף 24(ב) ו-(ג) לחוק איסור הלבנת הון יחולו לעניין מעשה או מחדל לפי סעיף קטן זה</w:t>
      </w:r>
      <w:r w:rsidR="001F68E1">
        <w:rPr>
          <w:rStyle w:val="default"/>
          <w:rFonts w:cs="FrankRuehl" w:hint="cs"/>
          <w:rtl/>
        </w:rPr>
        <w:t>.</w:t>
      </w:r>
    </w:p>
    <w:p w14:paraId="303D6B6A" w14:textId="77777777" w:rsidR="00D77A7B" w:rsidRDefault="00D77A7B"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25 לחוק איסור הלבנת הון יחול לעניין גילוי ודיווח לפי הוראות פרק זה, בשינויים המחויבים.</w:t>
      </w:r>
    </w:p>
    <w:p w14:paraId="3F4E985A" w14:textId="77777777" w:rsidR="000D4D83" w:rsidRDefault="000D4D83" w:rsidP="00DE728B">
      <w:pPr>
        <w:pStyle w:val="P00"/>
        <w:spacing w:before="72"/>
        <w:ind w:left="0" w:right="1134"/>
        <w:rPr>
          <w:rStyle w:val="default"/>
          <w:rFonts w:cs="FrankRuehl"/>
          <w:rtl/>
        </w:rPr>
      </w:pPr>
      <w:bookmarkStart w:id="11" w:name="Seif8"/>
      <w:bookmarkEnd w:id="11"/>
      <w:r>
        <w:rPr>
          <w:rFonts w:cs="Miriam"/>
          <w:lang w:val="he-IL"/>
        </w:rPr>
        <w:pict w14:anchorId="6979F27E">
          <v:rect id="_x0000_s1523" style="position:absolute;left:0;text-align:left;margin-left:464.35pt;margin-top:7.1pt;width:75.05pt;height:20.9pt;z-index:251651072" o:allowincell="f" filled="f" stroked="f" strokecolor="lime" strokeweight=".25pt">
            <v:textbox style="mso-next-textbox:#_x0000_s1523" inset="0,0,0,0">
              <w:txbxContent>
                <w:p w14:paraId="50B46D55" w14:textId="77777777" w:rsidR="004A1FAB" w:rsidRDefault="00D77A7B" w:rsidP="000D4D83">
                  <w:pPr>
                    <w:spacing w:line="160" w:lineRule="exact"/>
                    <w:rPr>
                      <w:rFonts w:cs="Miriam" w:hint="cs"/>
                      <w:noProof/>
                      <w:sz w:val="18"/>
                      <w:szCs w:val="18"/>
                      <w:rtl/>
                    </w:rPr>
                  </w:pPr>
                  <w:r>
                    <w:rPr>
                      <w:rFonts w:cs="Miriam" w:hint="cs"/>
                      <w:sz w:val="18"/>
                      <w:szCs w:val="18"/>
                      <w:rtl/>
                    </w:rPr>
                    <w:t>תחולת הוראות חוק איסור הלבנת הון</w:t>
                  </w:r>
                </w:p>
              </w:txbxContent>
            </v:textbox>
            <w10:anchorlock/>
          </v:rect>
        </w:pict>
      </w:r>
      <w:r w:rsidR="00E53D9F">
        <w:rPr>
          <w:rStyle w:val="big-number"/>
          <w:rFonts w:cs="Miriam" w:hint="cs"/>
          <w:rtl/>
        </w:rPr>
        <w:t>8</w:t>
      </w:r>
      <w:r>
        <w:rPr>
          <w:rStyle w:val="big-number"/>
          <w:rFonts w:cs="FrankRuehl"/>
          <w:sz w:val="26"/>
          <w:szCs w:val="26"/>
          <w:rtl/>
        </w:rPr>
        <w:t>.</w:t>
      </w:r>
      <w:r>
        <w:rPr>
          <w:rStyle w:val="big-number"/>
          <w:rFonts w:cs="FrankRuehl"/>
          <w:sz w:val="26"/>
          <w:szCs w:val="26"/>
          <w:rtl/>
        </w:rPr>
        <w:tab/>
      </w:r>
      <w:r w:rsidR="00D77A7B">
        <w:rPr>
          <w:rStyle w:val="default"/>
          <w:rFonts w:cs="FrankRuehl" w:hint="cs"/>
          <w:rtl/>
        </w:rPr>
        <w:t>(א)</w:t>
      </w:r>
      <w:r w:rsidR="00D77A7B">
        <w:rPr>
          <w:rStyle w:val="default"/>
          <w:rFonts w:cs="FrankRuehl"/>
          <w:rtl/>
        </w:rPr>
        <w:tab/>
      </w:r>
      <w:r w:rsidR="00D77A7B">
        <w:rPr>
          <w:rStyle w:val="default"/>
          <w:rFonts w:cs="FrankRuehl" w:hint="cs"/>
          <w:rtl/>
        </w:rPr>
        <w:t xml:space="preserve">הסמכויות הנתונות לנגיד בנק ישראל ולשר להוציא צווים לשם אכיפתו של חוק איסור הלבנת הון, כאמור בסעיפים 7, 8א או 8ב לאותו חוק, יהיו נתונות להם גם לשם אכיפת הוראות פרק זה, וכן יהיה רשאי כל אחד מהם, בהתייעצות עם השר לביטחון הפנים, ולעניין צו כאמור בסעיפים 7 ו-8א לחוק איסור הלבנת הון </w:t>
      </w:r>
      <w:r w:rsidR="00D77A7B">
        <w:rPr>
          <w:rStyle w:val="default"/>
          <w:rFonts w:cs="FrankRuehl"/>
          <w:rtl/>
        </w:rPr>
        <w:t>–</w:t>
      </w:r>
      <w:r w:rsidR="00D77A7B">
        <w:rPr>
          <w:rStyle w:val="default"/>
          <w:rFonts w:cs="FrankRuehl" w:hint="cs"/>
          <w:rtl/>
        </w:rPr>
        <w:t xml:space="preserve"> גם בהסכמת שר המשפטים, לקבוע בצו, לגבי תאגיד בנקאי או גוף, כאמור בסעיפים 7, 8א או 8ב לחוק האמור, הוראות בדבר בדיקת פרטי הזיהוי של צדדים לפעילות כלכלית אל מול פרטי הזיהוי של גורם מוכרז זר</w:t>
      </w:r>
      <w:r w:rsidR="001F68E1">
        <w:rPr>
          <w:rStyle w:val="default"/>
          <w:rFonts w:cs="FrankRuehl" w:hint="cs"/>
          <w:rtl/>
        </w:rPr>
        <w:t>.</w:t>
      </w:r>
    </w:p>
    <w:p w14:paraId="45377C2D" w14:textId="77777777" w:rsidR="00D77A7B" w:rsidRDefault="00D77A7B" w:rsidP="00642A0E">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דיווחים שיתקבלו לפי סעיף זה ברשות לאיסור הלבנת הון ומימון טרור יישמרו במאגר המידע </w:t>
      </w:r>
      <w:r w:rsidR="00642A0E">
        <w:rPr>
          <w:rStyle w:val="default"/>
          <w:rFonts w:cs="FrankRuehl" w:hint="cs"/>
          <w:rtl/>
        </w:rPr>
        <w:t>שהוקם לפי סעיף 28 לחוק איסור הלבנת הון; העברת מידע שהתקבל לפי סעיף זה או לשם אכיפת הוראות פרק זה, ממאגר המידע, תיעשה לפי הוראות חוק איסור הלבנת הון;</w:t>
      </w:r>
    </w:p>
    <w:p w14:paraId="7CA3AF1F" w14:textId="77777777" w:rsidR="00642A0E" w:rsidRDefault="00642A0E" w:rsidP="00642A0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אדם שהגיע אליו מידע לפי פסקה (1), תוך כדי מילוי תפקידו או במהלך עבודתו, ישמרנו בסוד, לא יגלה אותו לאחר ולא יעשה בו כל שימוש, אלא לפי הוראות חוק איסור הלבנת הון או לפי צו של בית משפט; מי שגילה מידע שהגיע אליו או עשה בו שימוש, בניגוד להוראות פסקה (1), דינו </w:t>
      </w:r>
      <w:r>
        <w:rPr>
          <w:rStyle w:val="default"/>
          <w:rFonts w:cs="FrankRuehl"/>
          <w:rtl/>
        </w:rPr>
        <w:t>–</w:t>
      </w:r>
      <w:r>
        <w:rPr>
          <w:rStyle w:val="default"/>
          <w:rFonts w:cs="FrankRuehl" w:hint="cs"/>
          <w:rtl/>
        </w:rPr>
        <w:t xml:space="preserve"> מאסר שלוש שנים או קנס כאמור בסעיף 61(א)(3) לחוק העונשין; הגורם ברשלנות לגילוי מידע לאחר, בניגוד להוראות פסקה (1), תוך הפרת הוראה מהוראות שנקבעו לאבטחת מידע לפי חוק איסור הלבנת הון, או תוך הפרת כלל או נוהל שקבע ראש הרשות לאיסור הלבנת הון ומימון טרור לפי הוראות כאמור, דינו </w:t>
      </w:r>
      <w:r>
        <w:rPr>
          <w:rStyle w:val="default"/>
          <w:rFonts w:cs="FrankRuehl"/>
          <w:rtl/>
        </w:rPr>
        <w:t>–</w:t>
      </w:r>
      <w:r>
        <w:rPr>
          <w:rStyle w:val="default"/>
          <w:rFonts w:cs="FrankRuehl" w:hint="cs"/>
          <w:rtl/>
        </w:rPr>
        <w:t xml:space="preserve"> מאסר שנה או קנס כאמור בסעיף 61(א)(2) לחוק העונשין.</w:t>
      </w:r>
    </w:p>
    <w:p w14:paraId="2E82443B" w14:textId="77777777" w:rsidR="00642A0E" w:rsidRDefault="00642A0E"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אחראי למילוי חובות בתאגיד בנקאי ובכל גוף המנוי בתוספת השלישית לחוק איסור הלבנת הון, שמונה לפי סעיף 8 לחוק האמור, או אחראי למילוי חובות בתאגיד שהוא סוחר באבנים יקרות, שמונה לפי סעיף 8א(ו) לאותו חוק, יפעל גם לקיום החוובת שיוטלו בצווים לפי סעיף קטן (א) על התאגיד או הגוף האמור, ולהדרכת העובדים לקיום החובות כאמור ולפיקוח על מילוין.</w:t>
      </w:r>
    </w:p>
    <w:p w14:paraId="56804A99" w14:textId="77777777" w:rsidR="00642A0E" w:rsidRDefault="00642A0E"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המפקחים שמונו לפי סעיף 11יד לחוק איסור הלבנת הון, יפקחו גם על ביצוע הוראות צווים לפי סעיף קטן (א) שעניינן חובות תאגיד בנקאי, גוף המנוי בתוספת השלישית לחוק האמור, סוחר באבנים יקרות ונותן שירות עסקי, ולשם כך יהיו נתונות להם הסמכויות לפי אותו חוק ויחולו הוראות פרק ד'2 לחוק האמור.</w:t>
      </w:r>
    </w:p>
    <w:p w14:paraId="12BAAE25" w14:textId="77777777" w:rsidR="00642A0E" w:rsidRDefault="00642A0E"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סעיף 14 לחוק איסור הלבנת הון הקובעות עיצום כספי על הפרת הוראות לפי אותו חוק, יחולו גם לעניין הפרת הוראות צווים לפי סעיף קטן (א); הסמכויות הנתונות לוועדה להטלת עיצום כספי שהוקמה לפי סעיף 13 לחוק איסור הלבנת הון, יהיו נתונות לה גם לגבי מי שהפר את הוראות הצווים האמורים, ולעניין עיצום כספי יחולו ההוראות לפי פרק ה' לחוק האמור.</w:t>
      </w:r>
    </w:p>
    <w:p w14:paraId="1EB77DC3" w14:textId="77777777" w:rsidR="00642A0E" w:rsidRDefault="00642A0E"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הוטל עיצום כספי לפי סעיף זה ושולם העיצום, לא יוגש כתב אישום בשל עבירה לפי סעיף 15 בשל אותו מעשה שבשלו הוטל העיצום הכספי.</w:t>
      </w:r>
    </w:p>
    <w:p w14:paraId="00605DC9" w14:textId="77777777" w:rsidR="00642A0E" w:rsidRDefault="00642A0E"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5F6806">
        <w:rPr>
          <w:rStyle w:val="default"/>
          <w:rFonts w:cs="FrankRuehl" w:hint="cs"/>
          <w:rtl/>
        </w:rPr>
        <w:t>על מעשה אחד המהווה הפרה של הוראות צו לפי סעיף קטן (א), לא יוטל יותר מעיצום כספי אחד, אף אם המעשה מהווה גם הפרה של צו לפי חוק איסור הלבנת הון.</w:t>
      </w:r>
    </w:p>
    <w:p w14:paraId="0BFAA77D" w14:textId="77777777" w:rsidR="005F6806" w:rsidRPr="005F6806" w:rsidRDefault="005F6806" w:rsidP="005F6806">
      <w:pPr>
        <w:pStyle w:val="medium2-header"/>
        <w:keepLines w:val="0"/>
        <w:spacing w:before="72"/>
        <w:ind w:left="0" w:right="1134"/>
        <w:rPr>
          <w:rFonts w:cs="FrankRuehl"/>
          <w:noProof/>
          <w:rtl/>
        </w:rPr>
      </w:pPr>
      <w:bookmarkStart w:id="12" w:name="med4"/>
      <w:bookmarkEnd w:id="12"/>
      <w:r w:rsidRPr="005F6806">
        <w:rPr>
          <w:rFonts w:cs="FrankRuehl" w:hint="cs"/>
          <w:noProof/>
          <w:rtl/>
        </w:rPr>
        <w:t>פרק ה': הוראות כלליות לעניין הכרזות לפי סעיפים 3 ו-4</w:t>
      </w:r>
    </w:p>
    <w:p w14:paraId="29F8141F" w14:textId="77777777" w:rsidR="000D4D83" w:rsidRDefault="000D4D83" w:rsidP="00DE728B">
      <w:pPr>
        <w:pStyle w:val="P00"/>
        <w:spacing w:before="72"/>
        <w:ind w:left="0" w:right="1134"/>
        <w:rPr>
          <w:rStyle w:val="default"/>
          <w:rFonts w:cs="FrankRuehl"/>
          <w:rtl/>
        </w:rPr>
      </w:pPr>
      <w:bookmarkStart w:id="13" w:name="Seif9"/>
      <w:bookmarkEnd w:id="13"/>
      <w:r>
        <w:rPr>
          <w:rFonts w:cs="Miriam"/>
          <w:lang w:val="he-IL"/>
        </w:rPr>
        <w:pict w14:anchorId="0658C922">
          <v:rect id="_x0000_s1524" style="position:absolute;left:0;text-align:left;margin-left:464.35pt;margin-top:7.1pt;width:75.05pt;height:18.05pt;z-index:251652096" o:allowincell="f" filled="f" stroked="f" strokecolor="lime" strokeweight=".25pt">
            <v:textbox style="mso-next-textbox:#_x0000_s1524" inset="0,0,0,0">
              <w:txbxContent>
                <w:p w14:paraId="264D46D6" w14:textId="77777777" w:rsidR="004A1FAB" w:rsidRDefault="005F6806" w:rsidP="000D4D83">
                  <w:pPr>
                    <w:spacing w:line="160" w:lineRule="exact"/>
                    <w:rPr>
                      <w:rFonts w:cs="Miriam" w:hint="cs"/>
                      <w:noProof/>
                      <w:sz w:val="18"/>
                      <w:szCs w:val="18"/>
                      <w:rtl/>
                    </w:rPr>
                  </w:pPr>
                  <w:r>
                    <w:rPr>
                      <w:rFonts w:cs="Miriam" w:hint="cs"/>
                      <w:sz w:val="18"/>
                      <w:szCs w:val="18"/>
                      <w:rtl/>
                    </w:rPr>
                    <w:t>הודעה על כוונה להכריז</w:t>
                  </w:r>
                </w:p>
              </w:txbxContent>
            </v:textbox>
            <w10:anchorlock/>
          </v:rect>
        </w:pict>
      </w:r>
      <w:r w:rsidR="008E2421">
        <w:rPr>
          <w:rStyle w:val="big-number"/>
          <w:rFonts w:cs="Miriam" w:hint="cs"/>
          <w:rtl/>
        </w:rPr>
        <w:t>9</w:t>
      </w:r>
      <w:r>
        <w:rPr>
          <w:rStyle w:val="big-number"/>
          <w:rFonts w:cs="FrankRuehl"/>
          <w:sz w:val="26"/>
          <w:szCs w:val="26"/>
          <w:rtl/>
        </w:rPr>
        <w:t>.</w:t>
      </w:r>
      <w:r>
        <w:rPr>
          <w:rStyle w:val="big-number"/>
          <w:rFonts w:cs="FrankRuehl"/>
          <w:sz w:val="26"/>
          <w:szCs w:val="26"/>
          <w:rtl/>
        </w:rPr>
        <w:tab/>
      </w:r>
      <w:r w:rsidR="008E2421">
        <w:rPr>
          <w:rStyle w:val="default"/>
          <w:rFonts w:cs="FrankRuehl" w:hint="cs"/>
          <w:rtl/>
        </w:rPr>
        <w:t>(א)</w:t>
      </w:r>
      <w:r w:rsidR="008E2421">
        <w:rPr>
          <w:rStyle w:val="default"/>
          <w:rFonts w:cs="FrankRuehl" w:hint="cs"/>
          <w:rtl/>
        </w:rPr>
        <w:tab/>
      </w:r>
      <w:r w:rsidR="005F6806">
        <w:rPr>
          <w:rStyle w:val="default"/>
          <w:rFonts w:cs="FrankRuehl" w:hint="cs"/>
          <w:rtl/>
        </w:rPr>
        <w:t xml:space="preserve">מצא השר כי מתקיימים התנאים להכרזה על גורם זר כגורם המסייע בהפצה ובמימון של נשק להשמדה המונית לפי סעיפים 3(ב) או 4(א), לאחר שהובאה לפניו עמדת מטה הסנקציות, ולעניין הכרזה לפי סעיף 4(א) </w:t>
      </w:r>
      <w:r w:rsidR="005F6806">
        <w:rPr>
          <w:rStyle w:val="default"/>
          <w:rFonts w:cs="FrankRuehl"/>
          <w:rtl/>
        </w:rPr>
        <w:t>–</w:t>
      </w:r>
      <w:r w:rsidR="005F6806">
        <w:rPr>
          <w:rStyle w:val="default"/>
          <w:rFonts w:cs="FrankRuehl" w:hint="cs"/>
          <w:rtl/>
        </w:rPr>
        <w:t xml:space="preserve"> גם לאחר התייעצות עם שר החוץ ושר הביטחון, והיה בכוונתו של השר להכריז כאמור, תפורסם הודעה על כך באתר האינטרנט של מטה הסנקציות (להלן </w:t>
      </w:r>
      <w:r w:rsidR="005F6806">
        <w:rPr>
          <w:rStyle w:val="default"/>
          <w:rFonts w:cs="FrankRuehl"/>
          <w:rtl/>
        </w:rPr>
        <w:t>–</w:t>
      </w:r>
      <w:r w:rsidR="005F6806">
        <w:rPr>
          <w:rStyle w:val="default"/>
          <w:rFonts w:cs="FrankRuehl" w:hint="cs"/>
          <w:rtl/>
        </w:rPr>
        <w:t xml:space="preserve"> הודעה על כוונה להכריז, במועד ובדרך שיקבע השר, ורשאי הוא לקבוע דרכים נוספות להבאת דבר הכוונה להכריז כאמור לידיעת הציבור)</w:t>
      </w:r>
      <w:r w:rsidR="00577A69">
        <w:rPr>
          <w:rStyle w:val="default"/>
          <w:rFonts w:cs="FrankRuehl" w:hint="cs"/>
          <w:rtl/>
        </w:rPr>
        <w:t>.</w:t>
      </w:r>
    </w:p>
    <w:p w14:paraId="2D28A379" w14:textId="77777777" w:rsidR="005F6806" w:rsidRDefault="005F6806"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הכריז השר על גורם זר לפי הוראות סעיף 3(ב), לפני תום תקופת תוקפו של האימוץ הזמני כאמור בסעיף 3(א)(3), יראו את פרסום הכרזת מועצת הביטחון וההודעה על אימוץ זמני של ההכרזה באתר מטה הסנקציות, לפי הוראות סעיף 3(א)(2), כפרסום הודעה על כוונה להכריז.</w:t>
      </w:r>
    </w:p>
    <w:p w14:paraId="0B1428B9" w14:textId="77777777" w:rsidR="000D4D83" w:rsidRDefault="000D4D83" w:rsidP="00DE728B">
      <w:pPr>
        <w:pStyle w:val="P00"/>
        <w:spacing w:before="72"/>
        <w:ind w:left="0" w:right="1134"/>
        <w:rPr>
          <w:rStyle w:val="default"/>
          <w:rFonts w:cs="FrankRuehl"/>
          <w:rtl/>
        </w:rPr>
      </w:pPr>
      <w:bookmarkStart w:id="14" w:name="Seif10"/>
      <w:bookmarkEnd w:id="14"/>
      <w:r>
        <w:rPr>
          <w:rFonts w:cs="Miriam"/>
          <w:lang w:val="he-IL"/>
        </w:rPr>
        <w:pict w14:anchorId="1728CC69">
          <v:rect id="_x0000_s1525" style="position:absolute;left:0;text-align:left;margin-left:464.35pt;margin-top:7.1pt;width:75.05pt;height:13.05pt;z-index:251653120" o:allowincell="f" filled="f" stroked="f" strokecolor="lime" strokeweight=".25pt">
            <v:textbox style="mso-next-textbox:#_x0000_s1525" inset="0,0,0,0">
              <w:txbxContent>
                <w:p w14:paraId="79B15459" w14:textId="77777777" w:rsidR="004A1FAB" w:rsidRDefault="005F6806" w:rsidP="000D4D83">
                  <w:pPr>
                    <w:spacing w:line="160" w:lineRule="exact"/>
                    <w:rPr>
                      <w:rFonts w:cs="Miriam" w:hint="cs"/>
                      <w:noProof/>
                      <w:sz w:val="18"/>
                      <w:szCs w:val="18"/>
                      <w:rtl/>
                    </w:rPr>
                  </w:pPr>
                  <w:r>
                    <w:rPr>
                      <w:rFonts w:cs="Miriam" w:hint="cs"/>
                      <w:sz w:val="18"/>
                      <w:szCs w:val="18"/>
                      <w:rtl/>
                    </w:rPr>
                    <w:t>בקשה שלא להכריז</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F6806">
        <w:rPr>
          <w:rStyle w:val="default"/>
          <w:rFonts w:cs="FrankRuehl" w:hint="cs"/>
          <w:rtl/>
        </w:rPr>
        <w:t>(א)</w:t>
      </w:r>
      <w:r w:rsidR="005F6806">
        <w:rPr>
          <w:rStyle w:val="default"/>
          <w:rFonts w:cs="FrankRuehl"/>
          <w:rtl/>
        </w:rPr>
        <w:tab/>
      </w:r>
      <w:r w:rsidR="005F6806">
        <w:rPr>
          <w:rStyle w:val="default"/>
          <w:rFonts w:cs="FrankRuehl" w:hint="cs"/>
          <w:rtl/>
        </w:rPr>
        <w:t xml:space="preserve">הרואה את עצמו נפגע מכוונה להכריז כאמור בסעיף 9(א) או (ב), רשאי להגיש לשר, באמצעות מטה הסנקציות, בכתב, בקשה שלא להכריז כאמור (בחוק זה </w:t>
      </w:r>
      <w:r w:rsidR="005F6806">
        <w:rPr>
          <w:rStyle w:val="default"/>
          <w:rFonts w:cs="FrankRuehl"/>
          <w:rtl/>
        </w:rPr>
        <w:t>–</w:t>
      </w:r>
      <w:r w:rsidR="005F6806">
        <w:rPr>
          <w:rStyle w:val="default"/>
          <w:rFonts w:cs="FrankRuehl" w:hint="cs"/>
          <w:rtl/>
        </w:rPr>
        <w:t xml:space="preserve"> בקשה שלא להכריז), בתוך 45 ימים מיום פרסום ההודעה על כוונה להכריז; </w:t>
      </w:r>
      <w:r w:rsidR="005A0D01">
        <w:rPr>
          <w:rStyle w:val="default"/>
          <w:rFonts w:cs="FrankRuehl" w:hint="cs"/>
          <w:rtl/>
        </w:rPr>
        <w:t>בבקשה שלא להכריז יפרט המבקש את כל העובדות שעליהן הוא מבסס את בקשתו ויצרף את המסמכים שבידיו הנוגעים לעניין</w:t>
      </w:r>
      <w:r w:rsidR="00577A69">
        <w:rPr>
          <w:rStyle w:val="default"/>
          <w:rFonts w:cs="FrankRuehl" w:hint="cs"/>
          <w:rtl/>
        </w:rPr>
        <w:t>.</w:t>
      </w:r>
    </w:p>
    <w:p w14:paraId="1F6AEF2E" w14:textId="77777777" w:rsidR="005A0D01" w:rsidRDefault="005A0D01"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רשאי השר להאריך את התקופה להגשת בקשה שלא להכריז, ובלבד שהוגשה לו בקשה מנומקת לכך ומתקיים אחד מאלה:</w:t>
      </w:r>
    </w:p>
    <w:p w14:paraId="646668C0" w14:textId="77777777" w:rsidR="005A0D01" w:rsidRDefault="005A0D01" w:rsidP="005A0D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העיכוב בהגשת הבקשה נבע מכך שהמבקש לא ידע על האימוץ הזמני של ההכרזה כאמור בסעיף 3(א)(1) או על הכוונה להכריז לפי סעיף 3(ב), מטעמים שאינם תלויים בו, והבקשה הוגשה בתוך 30 ימים מיום שהדבר נודע לו;</w:t>
      </w:r>
    </w:p>
    <w:p w14:paraId="47CD7650" w14:textId="77777777" w:rsidR="005A0D01" w:rsidRDefault="005A0D01" w:rsidP="005A0D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ההארכה מוצדקת מטעמים אחרים שיירשמו.</w:t>
      </w:r>
    </w:p>
    <w:p w14:paraId="3040B414" w14:textId="77777777" w:rsidR="005A0D01" w:rsidRDefault="005A0D01" w:rsidP="006019D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6019D8">
        <w:rPr>
          <w:rStyle w:val="default"/>
          <w:rFonts w:cs="FrankRuehl" w:hint="cs"/>
          <w:rtl/>
        </w:rPr>
        <w:t>השר ייתן את החלטתו בבקשה שלא להכריז בתוך 45 ימים מיום הגשתה, ורשאי הוא, מטעמים מיוחדים שיירשמו, להאריך את התקופה למתן ההחלטה בשתי תקופות נוספות שלא יעלו על 30 ימים כל אחת, ובלבד שאם הוגשה הבקשה בארבעת החודשים כאמור בסעיף 3(א)(3), תינתן ההחלטה לא יאוחר מתום אותה תקופה;</w:t>
      </w:r>
    </w:p>
    <w:p w14:paraId="3D493503" w14:textId="77777777" w:rsidR="006019D8" w:rsidRDefault="006019D8" w:rsidP="006019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החלטת השר לפי סעיף זה תינתן בכתב ותהיה מנומקת; העתק מהחלטת השר יומצא למבקש, ואולם לא יומצאו למבקש חלקים מהחלטת השר הכוללים מידע חסוי כאמור בסעיף 12(א).</w:t>
      </w:r>
    </w:p>
    <w:p w14:paraId="3C839473" w14:textId="77777777" w:rsidR="000D4D83" w:rsidRDefault="000D4D83" w:rsidP="00DE728B">
      <w:pPr>
        <w:pStyle w:val="P00"/>
        <w:spacing w:before="72"/>
        <w:ind w:left="0" w:right="1134"/>
        <w:rPr>
          <w:rStyle w:val="default"/>
          <w:rFonts w:cs="FrankRuehl"/>
          <w:rtl/>
        </w:rPr>
      </w:pPr>
      <w:bookmarkStart w:id="15" w:name="Seif11"/>
      <w:bookmarkEnd w:id="15"/>
      <w:r>
        <w:rPr>
          <w:rFonts w:cs="Miriam"/>
          <w:lang w:val="he-IL"/>
        </w:rPr>
        <w:pict w14:anchorId="13368E52">
          <v:rect id="_x0000_s1526" style="position:absolute;left:0;text-align:left;margin-left:464.35pt;margin-top:7.1pt;width:75.05pt;height:12.55pt;z-index:251654144" o:allowincell="f" filled="f" stroked="f" strokecolor="lime" strokeweight=".25pt">
            <v:textbox style="mso-next-textbox:#_x0000_s1526" inset="0,0,0,0">
              <w:txbxContent>
                <w:p w14:paraId="7E84D939" w14:textId="77777777" w:rsidR="004A1FAB" w:rsidRDefault="00A468C4" w:rsidP="000D4D83">
                  <w:pPr>
                    <w:spacing w:line="160" w:lineRule="exact"/>
                    <w:rPr>
                      <w:rFonts w:cs="Miriam" w:hint="cs"/>
                      <w:noProof/>
                      <w:sz w:val="18"/>
                      <w:szCs w:val="18"/>
                      <w:rtl/>
                    </w:rPr>
                  </w:pPr>
                  <w:r>
                    <w:rPr>
                      <w:rFonts w:cs="Miriam" w:hint="cs"/>
                      <w:sz w:val="18"/>
                      <w:szCs w:val="18"/>
                      <w:rtl/>
                    </w:rPr>
                    <w:t>בקשה לביטול הכרזה</w:t>
                  </w:r>
                </w:p>
              </w:txbxContent>
            </v:textbox>
            <w10:anchorlock/>
          </v:rect>
        </w:pict>
      </w:r>
      <w:r>
        <w:rPr>
          <w:rStyle w:val="big-number"/>
          <w:rFonts w:cs="Miriam" w:hint="cs"/>
          <w:rtl/>
        </w:rPr>
        <w:t>1</w:t>
      </w:r>
      <w:r w:rsidR="008E2421">
        <w:rPr>
          <w:rStyle w:val="big-number"/>
          <w:rFonts w:cs="Miriam" w:hint="cs"/>
          <w:rtl/>
        </w:rPr>
        <w:t>1</w:t>
      </w:r>
      <w:r>
        <w:rPr>
          <w:rStyle w:val="big-number"/>
          <w:rFonts w:cs="FrankRuehl"/>
          <w:sz w:val="26"/>
          <w:szCs w:val="26"/>
          <w:rtl/>
        </w:rPr>
        <w:t>.</w:t>
      </w:r>
      <w:r>
        <w:rPr>
          <w:rStyle w:val="big-number"/>
          <w:rFonts w:cs="FrankRuehl"/>
          <w:sz w:val="26"/>
          <w:szCs w:val="26"/>
          <w:rtl/>
        </w:rPr>
        <w:tab/>
      </w:r>
      <w:r w:rsidR="00A468C4">
        <w:rPr>
          <w:rStyle w:val="default"/>
          <w:rFonts w:cs="FrankRuehl" w:hint="cs"/>
          <w:rtl/>
        </w:rPr>
        <w:t xml:space="preserve">הרואה את עצמו נפגע מהכרזה לפי סעיפים 3(ב) או 4(א) רשאי להגיש לשר, בכתב, בקשה לביטול ההכרזה (להלן </w:t>
      </w:r>
      <w:r w:rsidR="00A468C4">
        <w:rPr>
          <w:rStyle w:val="default"/>
          <w:rFonts w:cs="FrankRuehl"/>
          <w:rtl/>
        </w:rPr>
        <w:t>–</w:t>
      </w:r>
      <w:r w:rsidR="00A468C4">
        <w:rPr>
          <w:rStyle w:val="default"/>
          <w:rFonts w:cs="FrankRuehl" w:hint="cs"/>
          <w:rtl/>
        </w:rPr>
        <w:t xml:space="preserve"> בקשה לביטול הכרזה); בבקשה לביטול הכרזה יפרט המבקש את כל העובדות שעליהן הוא מבסס את בקשתו ויצרף את המסמכים שבידיו הנוגעים לעניין; השר ייתן החלטה בבקשה לביטול הכרזה בתוך 60 ימים ממועד הגשת הבקשה, ואם נדרש לשר מידע נוסף, מהמבקש או ממקורות אחרים, לשם קבלת ההחלטה </w:t>
      </w:r>
      <w:r w:rsidR="00A468C4">
        <w:rPr>
          <w:rStyle w:val="default"/>
          <w:rFonts w:cs="FrankRuehl"/>
          <w:rtl/>
        </w:rPr>
        <w:t>–</w:t>
      </w:r>
      <w:r w:rsidR="00A468C4">
        <w:rPr>
          <w:rStyle w:val="default"/>
          <w:rFonts w:cs="FrankRuehl" w:hint="cs"/>
          <w:rtl/>
        </w:rPr>
        <w:t xml:space="preserve"> בתוך 60 ימים ממועד קבלת מלוא המידע</w:t>
      </w:r>
      <w:r w:rsidR="00577A69">
        <w:rPr>
          <w:rStyle w:val="default"/>
          <w:rFonts w:cs="FrankRuehl" w:hint="cs"/>
          <w:rtl/>
        </w:rPr>
        <w:t>.</w:t>
      </w:r>
    </w:p>
    <w:p w14:paraId="1EE2C9E2" w14:textId="77777777" w:rsidR="000D4D83" w:rsidRDefault="000D4D83" w:rsidP="00DE728B">
      <w:pPr>
        <w:pStyle w:val="P00"/>
        <w:spacing w:before="72"/>
        <w:ind w:left="0" w:right="1134"/>
        <w:rPr>
          <w:rStyle w:val="default"/>
          <w:rFonts w:cs="FrankRuehl"/>
          <w:rtl/>
        </w:rPr>
      </w:pPr>
      <w:bookmarkStart w:id="16" w:name="Seif12"/>
      <w:bookmarkEnd w:id="16"/>
      <w:r>
        <w:rPr>
          <w:rFonts w:cs="Miriam"/>
          <w:lang w:val="he-IL"/>
        </w:rPr>
        <w:pict w14:anchorId="2EFE9FC7">
          <v:rect id="_x0000_s1527" style="position:absolute;left:0;text-align:left;margin-left:464.35pt;margin-top:7.1pt;width:75.05pt;height:35pt;z-index:251655168" o:allowincell="f" filled="f" stroked="f" strokecolor="lime" strokeweight=".25pt">
            <v:textbox style="mso-next-textbox:#_x0000_s1527" inset="0,0,0,0">
              <w:txbxContent>
                <w:p w14:paraId="7375BCAC" w14:textId="77777777" w:rsidR="004A1FAB" w:rsidRDefault="009F2B3C" w:rsidP="000D4D83">
                  <w:pPr>
                    <w:spacing w:line="160" w:lineRule="exact"/>
                    <w:rPr>
                      <w:rFonts w:cs="Miriam" w:hint="cs"/>
                      <w:noProof/>
                      <w:sz w:val="18"/>
                      <w:szCs w:val="18"/>
                      <w:rtl/>
                    </w:rPr>
                  </w:pPr>
                  <w:r>
                    <w:rPr>
                      <w:rFonts w:cs="Miriam" w:hint="cs"/>
                      <w:sz w:val="18"/>
                      <w:szCs w:val="18"/>
                      <w:rtl/>
                    </w:rPr>
                    <w:t>זכות עיון לשם הגשת בקשה שלא להכריז או בקשה לביטול הכרזה</w:t>
                  </w:r>
                </w:p>
              </w:txbxContent>
            </v:textbox>
            <w10:anchorlock/>
          </v:rect>
        </w:pict>
      </w:r>
      <w:r>
        <w:rPr>
          <w:rStyle w:val="big-number"/>
          <w:rFonts w:cs="Miriam" w:hint="cs"/>
          <w:rtl/>
        </w:rPr>
        <w:t>1</w:t>
      </w:r>
      <w:r w:rsidR="0093515A">
        <w:rPr>
          <w:rStyle w:val="big-number"/>
          <w:rFonts w:cs="Miriam" w:hint="cs"/>
          <w:rtl/>
        </w:rPr>
        <w:t>2</w:t>
      </w:r>
      <w:r>
        <w:rPr>
          <w:rStyle w:val="big-number"/>
          <w:rFonts w:cs="FrankRuehl"/>
          <w:sz w:val="26"/>
          <w:szCs w:val="26"/>
          <w:rtl/>
        </w:rPr>
        <w:t>.</w:t>
      </w:r>
      <w:r>
        <w:rPr>
          <w:rStyle w:val="big-number"/>
          <w:rFonts w:cs="FrankRuehl"/>
          <w:sz w:val="26"/>
          <w:szCs w:val="26"/>
          <w:rtl/>
        </w:rPr>
        <w:tab/>
      </w:r>
      <w:r w:rsidR="009F2B3C">
        <w:rPr>
          <w:rStyle w:val="default"/>
          <w:rFonts w:cs="FrankRuehl" w:hint="cs"/>
          <w:rtl/>
        </w:rPr>
        <w:t>(א)</w:t>
      </w:r>
      <w:r w:rsidR="009F2B3C">
        <w:rPr>
          <w:rStyle w:val="default"/>
          <w:rFonts w:cs="FrankRuehl"/>
          <w:rtl/>
        </w:rPr>
        <w:tab/>
      </w:r>
      <w:r w:rsidR="00B01A12">
        <w:rPr>
          <w:rStyle w:val="default"/>
          <w:rFonts w:cs="FrankRuehl" w:hint="cs"/>
          <w:rtl/>
        </w:rPr>
        <w:t xml:space="preserve">מי שזכאי להגיש </w:t>
      </w:r>
      <w:r w:rsidR="00B76FDE">
        <w:rPr>
          <w:rStyle w:val="default"/>
          <w:rFonts w:cs="FrankRuehl" w:hint="cs"/>
          <w:rtl/>
        </w:rPr>
        <w:t xml:space="preserve">בקשה שלא להכריז או בקשה לביטול הכרזה (בסעיף זה </w:t>
      </w:r>
      <w:r w:rsidR="00B76FDE">
        <w:rPr>
          <w:rStyle w:val="default"/>
          <w:rFonts w:cs="FrankRuehl"/>
          <w:rtl/>
        </w:rPr>
        <w:t>–</w:t>
      </w:r>
      <w:r w:rsidR="00B76FDE">
        <w:rPr>
          <w:rStyle w:val="default"/>
          <w:rFonts w:cs="FrankRuehl" w:hint="cs"/>
          <w:rtl/>
        </w:rPr>
        <w:t xml:space="preserve"> בקשה) רשאי, לשם הגשת הבקשה, לעיין במידע הנוגע להכרזה שמטה הסנקציות העביר לשר, למעט מידע שנקבע לגביו שהוא מידע חסוי; החלטה בבקשה שיש לגביה מידע חסוי תינתן 30 ימים לפחות לאחר שנמסר למבקש שיש מידע חסוי בנוגע לבקשתו</w:t>
      </w:r>
      <w:r w:rsidR="00577A69">
        <w:rPr>
          <w:rStyle w:val="default"/>
          <w:rFonts w:cs="FrankRuehl" w:hint="cs"/>
          <w:rtl/>
        </w:rPr>
        <w:t>.</w:t>
      </w:r>
    </w:p>
    <w:p w14:paraId="7D67AF3A" w14:textId="77777777" w:rsidR="00B76FDE" w:rsidRDefault="00B76FDE"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מטה הסנקציות רשאי, מיוזמתו או לפי בקשת הגורם שהוא מקור המידע (בסעיף זה </w:t>
      </w:r>
      <w:r>
        <w:rPr>
          <w:rStyle w:val="default"/>
          <w:rFonts w:cs="FrankRuehl"/>
          <w:rtl/>
        </w:rPr>
        <w:t>–</w:t>
      </w:r>
      <w:r>
        <w:rPr>
          <w:rStyle w:val="default"/>
          <w:rFonts w:cs="FrankRuehl" w:hint="cs"/>
          <w:rtl/>
        </w:rPr>
        <w:t xml:space="preserve"> מקור המידע), </w:t>
      </w:r>
      <w:r w:rsidR="009E5815">
        <w:rPr>
          <w:rStyle w:val="default"/>
          <w:rFonts w:cs="FrankRuehl" w:hint="cs"/>
          <w:rtl/>
        </w:rPr>
        <w:t xml:space="preserve">לקבוע כי מידע הנוגע להכרזה הוא מידע חסוי, אם גילויו עלול לפגוע בביטחון המדינה, ביחסי החוץ שלה או בשלום הציבור או בביטחונו, או לפגוע בעניין ציבורי חשוב אחר, וכי העניין שיש באי-גילויו עדיף מהצורך לגלותו לשם בירור האמת ועשיית צדק (בפרק זה </w:t>
      </w:r>
      <w:r w:rsidR="009E5815">
        <w:rPr>
          <w:rStyle w:val="default"/>
          <w:rFonts w:cs="FrankRuehl"/>
          <w:rtl/>
        </w:rPr>
        <w:t>–</w:t>
      </w:r>
      <w:r w:rsidR="009E5815">
        <w:rPr>
          <w:rStyle w:val="default"/>
          <w:rFonts w:cs="FrankRuehl" w:hint="cs"/>
          <w:rtl/>
        </w:rPr>
        <w:t xml:space="preserve"> מידע חסוי); החלטת מטה הסנקציות לעניין זה תינתן לאחר התייעצות עם שר החוץ ועם שר הביטחון, וכן עם השר הממונה על מקור המידע, או מי מטעמם, ותימסר למבקש בכתב.</w:t>
      </w:r>
    </w:p>
    <w:p w14:paraId="0DBA32E5" w14:textId="77777777" w:rsidR="009E5815" w:rsidRDefault="009E5815" w:rsidP="00DE72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E7820">
        <w:rPr>
          <w:rStyle w:val="default"/>
          <w:rFonts w:cs="FrankRuehl" w:hint="cs"/>
          <w:rtl/>
        </w:rPr>
        <w:t xml:space="preserve">החליט מטה הסנקציות לקבוע, בניגוד לבקשת מקור המידע, כי מידע אינו מידע חסוי, רשאי מקור המידע </w:t>
      </w:r>
      <w:r w:rsidR="00927282">
        <w:rPr>
          <w:rStyle w:val="default"/>
          <w:rFonts w:cs="FrankRuehl" w:hint="cs"/>
          <w:rtl/>
        </w:rPr>
        <w:t>לבקש מהשר כי לא יביא בחשבון את המידע האמור בקבלת החלטתו בבקשה; ביקש מקור המידע כאמור, לא יתחשב השר במידע, והמידע לא יועבר למבקש.</w:t>
      </w:r>
    </w:p>
    <w:p w14:paraId="3B3F212E" w14:textId="77777777" w:rsidR="00927282" w:rsidRPr="00927282" w:rsidRDefault="00927282" w:rsidP="00927282">
      <w:pPr>
        <w:pStyle w:val="medium2-header"/>
        <w:keepLines w:val="0"/>
        <w:spacing w:before="72"/>
        <w:ind w:left="0" w:right="1134"/>
        <w:rPr>
          <w:rFonts w:cs="FrankRuehl"/>
          <w:noProof/>
          <w:rtl/>
        </w:rPr>
      </w:pPr>
      <w:bookmarkStart w:id="17" w:name="med5"/>
      <w:bookmarkEnd w:id="17"/>
      <w:r w:rsidRPr="00927282">
        <w:rPr>
          <w:rFonts w:cs="FrankRuehl" w:hint="cs"/>
          <w:noProof/>
          <w:rtl/>
        </w:rPr>
        <w:t>פרק ו': עונשין וסמכויות אכיפה</w:t>
      </w:r>
    </w:p>
    <w:p w14:paraId="7FE8BF11" w14:textId="77777777" w:rsidR="00577A69" w:rsidRDefault="000D4D83" w:rsidP="00DE728B">
      <w:pPr>
        <w:pStyle w:val="P00"/>
        <w:spacing w:before="72"/>
        <w:ind w:left="0" w:right="1134"/>
        <w:rPr>
          <w:rStyle w:val="default"/>
          <w:rFonts w:cs="FrankRuehl"/>
          <w:rtl/>
        </w:rPr>
      </w:pPr>
      <w:bookmarkStart w:id="18" w:name="Seif13"/>
      <w:bookmarkEnd w:id="18"/>
      <w:r>
        <w:rPr>
          <w:rFonts w:cs="Miriam"/>
          <w:lang w:val="he-IL"/>
        </w:rPr>
        <w:pict w14:anchorId="794473C6">
          <v:rect id="_x0000_s1528" style="position:absolute;left:0;text-align:left;margin-left:464.35pt;margin-top:7.1pt;width:75.05pt;height:45.4pt;z-index:251656192" o:allowincell="f" filled="f" stroked="f" strokecolor="lime" strokeweight=".25pt">
            <v:textbox style="mso-next-textbox:#_x0000_s1528" inset="0,0,0,0">
              <w:txbxContent>
                <w:p w14:paraId="0D430547" w14:textId="77777777" w:rsidR="004A1FAB" w:rsidRDefault="00927282" w:rsidP="000D4D83">
                  <w:pPr>
                    <w:spacing w:line="160" w:lineRule="exact"/>
                    <w:rPr>
                      <w:rFonts w:cs="Miriam" w:hint="cs"/>
                      <w:noProof/>
                      <w:sz w:val="18"/>
                      <w:szCs w:val="18"/>
                      <w:rtl/>
                    </w:rPr>
                  </w:pPr>
                  <w:r>
                    <w:rPr>
                      <w:rFonts w:cs="Miriam" w:hint="cs"/>
                      <w:sz w:val="18"/>
                      <w:szCs w:val="18"/>
                      <w:rtl/>
                    </w:rPr>
                    <w:t>סיוע בפיתוח, בייצור, בהפצה או במימון של נשק להשמדה המונית או קידום פעילות כאמור</w:t>
                  </w:r>
                </w:p>
              </w:txbxContent>
            </v:textbox>
            <w10:anchorlock/>
          </v:rect>
        </w:pict>
      </w:r>
      <w:r>
        <w:rPr>
          <w:rStyle w:val="big-number"/>
          <w:rFonts w:cs="Miriam" w:hint="cs"/>
          <w:rtl/>
        </w:rPr>
        <w:t>1</w:t>
      </w:r>
      <w:r w:rsidR="00260315">
        <w:rPr>
          <w:rStyle w:val="big-number"/>
          <w:rFonts w:cs="Miriam" w:hint="cs"/>
          <w:rtl/>
        </w:rPr>
        <w:t>3</w:t>
      </w:r>
      <w:r>
        <w:rPr>
          <w:rStyle w:val="big-number"/>
          <w:rFonts w:cs="FrankRuehl"/>
          <w:sz w:val="26"/>
          <w:szCs w:val="26"/>
          <w:rtl/>
        </w:rPr>
        <w:t>.</w:t>
      </w:r>
      <w:r>
        <w:rPr>
          <w:rStyle w:val="big-number"/>
          <w:rFonts w:cs="FrankRuehl"/>
          <w:sz w:val="26"/>
          <w:szCs w:val="26"/>
          <w:rtl/>
        </w:rPr>
        <w:tab/>
      </w:r>
      <w:r w:rsidR="00927282">
        <w:rPr>
          <w:rStyle w:val="default"/>
          <w:rFonts w:cs="FrankRuehl" w:hint="cs"/>
          <w:rtl/>
        </w:rPr>
        <w:t>(א)</w:t>
      </w:r>
      <w:r w:rsidR="00927282">
        <w:rPr>
          <w:rStyle w:val="default"/>
          <w:rFonts w:cs="FrankRuehl"/>
          <w:rtl/>
        </w:rPr>
        <w:tab/>
      </w:r>
      <w:r w:rsidR="00927282">
        <w:rPr>
          <w:rStyle w:val="default"/>
          <w:rFonts w:cs="FrankRuehl" w:hint="cs"/>
          <w:rtl/>
        </w:rPr>
        <w:t xml:space="preserve">לא יבצע אדם פעולה שיש בה כדי לסייע למדינת חוץ או לארגון לא מדינתי הפועל בשטחה של מדינת חוץ, בפיתוח, בייצור, בהפצה או במימון של נשק להשמדה המונית, ובכלל זה בדרך של מכירה או העברה של טובין, של טכנולוגיה או של מידע, או מתן שירותים, לרבות שירותים פיננסיים או שירותים לוגיסטיים, או שיש בה כדי לקדם פיתוח, ייצור, הפצה או מימון כאמור; המבצע פעולה כאמור, דינו </w:t>
      </w:r>
      <w:r w:rsidR="00927282">
        <w:rPr>
          <w:rStyle w:val="default"/>
          <w:rFonts w:cs="FrankRuehl"/>
          <w:rtl/>
        </w:rPr>
        <w:t>–</w:t>
      </w:r>
      <w:r w:rsidR="00927282">
        <w:rPr>
          <w:rStyle w:val="default"/>
          <w:rFonts w:cs="FrankRuehl" w:hint="cs"/>
          <w:rtl/>
        </w:rPr>
        <w:t xml:space="preserve"> מאסר תשע שנים או קנס פי ארבעה מהקנס כאמור בסעיף 61(א)(4) לחוק העונשין, ואם נעברה העבירה בידי תאגיד </w:t>
      </w:r>
      <w:r w:rsidR="00927282">
        <w:rPr>
          <w:rStyle w:val="default"/>
          <w:rFonts w:cs="FrankRuehl"/>
          <w:rtl/>
        </w:rPr>
        <w:t>–</w:t>
      </w:r>
      <w:r w:rsidR="00927282">
        <w:rPr>
          <w:rStyle w:val="default"/>
          <w:rFonts w:cs="FrankRuehl" w:hint="cs"/>
          <w:rtl/>
        </w:rPr>
        <w:t xml:space="preserve"> כפל הקנס האמור</w:t>
      </w:r>
      <w:r w:rsidR="00577A69">
        <w:rPr>
          <w:rStyle w:val="default"/>
          <w:rFonts w:cs="FrankRuehl" w:hint="cs"/>
          <w:rtl/>
        </w:rPr>
        <w:t>.</w:t>
      </w:r>
    </w:p>
    <w:p w14:paraId="1EF6FBD2" w14:textId="77777777" w:rsidR="00577A69" w:rsidRDefault="000D4D83" w:rsidP="00DE728B">
      <w:pPr>
        <w:pStyle w:val="P00"/>
        <w:spacing w:before="72"/>
        <w:ind w:left="0" w:right="1134"/>
        <w:rPr>
          <w:rStyle w:val="default"/>
          <w:rFonts w:cs="FrankRuehl"/>
          <w:rtl/>
        </w:rPr>
      </w:pPr>
      <w:bookmarkStart w:id="19" w:name="Seif14"/>
      <w:bookmarkEnd w:id="19"/>
      <w:r>
        <w:rPr>
          <w:rFonts w:cs="Miriam"/>
          <w:lang w:val="he-IL"/>
        </w:rPr>
        <w:pict w14:anchorId="521A7501">
          <v:rect id="_x0000_s1529" style="position:absolute;left:0;text-align:left;margin-left:464.35pt;margin-top:7.1pt;width:75.05pt;height:26.15pt;z-index:251657216" o:allowincell="f" filled="f" stroked="f" strokecolor="lime" strokeweight=".25pt">
            <v:textbox style="mso-next-textbox:#_x0000_s1529" inset="0,0,0,0">
              <w:txbxContent>
                <w:p w14:paraId="07D75BBC" w14:textId="77777777" w:rsidR="004A1FAB" w:rsidRDefault="00927282" w:rsidP="000D4D83">
                  <w:pPr>
                    <w:spacing w:line="160" w:lineRule="exact"/>
                    <w:rPr>
                      <w:rFonts w:cs="Miriam" w:hint="cs"/>
                      <w:noProof/>
                      <w:sz w:val="18"/>
                      <w:szCs w:val="18"/>
                      <w:rtl/>
                    </w:rPr>
                  </w:pPr>
                  <w:r>
                    <w:rPr>
                      <w:rFonts w:cs="Miriam" w:hint="cs"/>
                      <w:sz w:val="18"/>
                      <w:szCs w:val="18"/>
                      <w:rtl/>
                    </w:rPr>
                    <w:t>קיום פעילות כלכלית עם גורם מוכרז או גורם קשור</w:t>
                  </w:r>
                </w:p>
              </w:txbxContent>
            </v:textbox>
            <w10:anchorlock/>
          </v:rect>
        </w:pict>
      </w:r>
      <w:r>
        <w:rPr>
          <w:rStyle w:val="big-number"/>
          <w:rFonts w:cs="Miriam" w:hint="cs"/>
          <w:rtl/>
        </w:rPr>
        <w:t>1</w:t>
      </w:r>
      <w:r w:rsidR="002D35D3">
        <w:rPr>
          <w:rStyle w:val="big-number"/>
          <w:rFonts w:cs="Miriam" w:hint="cs"/>
          <w:rtl/>
        </w:rPr>
        <w:t>4</w:t>
      </w:r>
      <w:r>
        <w:rPr>
          <w:rStyle w:val="big-number"/>
          <w:rFonts w:cs="FrankRuehl"/>
          <w:sz w:val="26"/>
          <w:szCs w:val="26"/>
          <w:rtl/>
        </w:rPr>
        <w:t>.</w:t>
      </w:r>
      <w:r>
        <w:rPr>
          <w:rStyle w:val="big-number"/>
          <w:rFonts w:cs="FrankRuehl"/>
          <w:sz w:val="26"/>
          <w:szCs w:val="26"/>
          <w:rtl/>
        </w:rPr>
        <w:tab/>
      </w:r>
      <w:r w:rsidR="00927282">
        <w:rPr>
          <w:rStyle w:val="default"/>
          <w:rFonts w:cs="FrankRuehl" w:hint="cs"/>
          <w:rtl/>
        </w:rPr>
        <w:t xml:space="preserve">המקיים פעילות כלכלית שלא ניתן היתר לגביה או שלא בהתאם לתנאי ההיתר עם גורם מוכרז או גורם קשור, בניגוד להוראות סעיף 5, דינו </w:t>
      </w:r>
      <w:r w:rsidR="00927282">
        <w:rPr>
          <w:rStyle w:val="default"/>
          <w:rFonts w:cs="FrankRuehl"/>
          <w:rtl/>
        </w:rPr>
        <w:t>–</w:t>
      </w:r>
      <w:r w:rsidR="00927282">
        <w:rPr>
          <w:rStyle w:val="default"/>
          <w:rFonts w:cs="FrankRuehl" w:hint="cs"/>
          <w:rtl/>
        </w:rPr>
        <w:t xml:space="preserve"> מאסר שלוש שנים או קנס פי ארבעה מהקנס בסעיף 61(א)(4) לחוק העונשין, ואם נעברה העבירה בידי תאגיד </w:t>
      </w:r>
      <w:r w:rsidR="00927282">
        <w:rPr>
          <w:rStyle w:val="default"/>
          <w:rFonts w:cs="FrankRuehl"/>
          <w:rtl/>
        </w:rPr>
        <w:t>–</w:t>
      </w:r>
      <w:r w:rsidR="00927282">
        <w:rPr>
          <w:rStyle w:val="default"/>
          <w:rFonts w:cs="FrankRuehl" w:hint="cs"/>
          <w:rtl/>
        </w:rPr>
        <w:t xml:space="preserve"> כפל הקנס האמור.</w:t>
      </w:r>
    </w:p>
    <w:p w14:paraId="04275885" w14:textId="77777777" w:rsidR="002343A7" w:rsidRDefault="002343A7" w:rsidP="002343A7">
      <w:pPr>
        <w:pStyle w:val="P00"/>
        <w:spacing w:before="72"/>
        <w:ind w:left="0" w:right="1134"/>
        <w:rPr>
          <w:rStyle w:val="default"/>
          <w:rFonts w:cs="FrankRuehl"/>
          <w:rtl/>
        </w:rPr>
      </w:pPr>
      <w:bookmarkStart w:id="20" w:name="Seif15"/>
      <w:bookmarkEnd w:id="20"/>
      <w:r>
        <w:rPr>
          <w:rFonts w:cs="Miriam"/>
          <w:lang w:val="he-IL"/>
        </w:rPr>
        <w:pict w14:anchorId="5C078DCA">
          <v:rect id="_x0000_s1561" style="position:absolute;left:0;text-align:left;margin-left:464.35pt;margin-top:7.1pt;width:75.05pt;height:12pt;z-index:251658240" o:allowincell="f" filled="f" stroked="f" strokecolor="lime" strokeweight=".25pt">
            <v:textbox style="mso-next-textbox:#_x0000_s1561" inset="0,0,0,0">
              <w:txbxContent>
                <w:p w14:paraId="16124BB7" w14:textId="77777777" w:rsidR="002343A7" w:rsidRDefault="00927282" w:rsidP="002343A7">
                  <w:pPr>
                    <w:spacing w:line="160" w:lineRule="exact"/>
                    <w:rPr>
                      <w:rFonts w:cs="Miriam" w:hint="cs"/>
                      <w:noProof/>
                      <w:sz w:val="18"/>
                      <w:szCs w:val="18"/>
                      <w:rtl/>
                    </w:rPr>
                  </w:pPr>
                  <w:r>
                    <w:rPr>
                      <w:rFonts w:cs="Miriam" w:hint="cs"/>
                      <w:sz w:val="18"/>
                      <w:szCs w:val="18"/>
                      <w:rtl/>
                    </w:rPr>
                    <w:t>הפרת חובת דיווח</w:t>
                  </w:r>
                </w:p>
              </w:txbxContent>
            </v:textbox>
            <w10:anchorlock/>
          </v:rect>
        </w:pict>
      </w:r>
      <w:r>
        <w:rPr>
          <w:rStyle w:val="big-number"/>
          <w:rFonts w:cs="Miriam" w:hint="cs"/>
          <w:rtl/>
        </w:rPr>
        <w:t>1</w:t>
      </w:r>
      <w:r w:rsidR="00927282">
        <w:rPr>
          <w:rStyle w:val="big-number"/>
          <w:rFonts w:cs="Miriam" w:hint="cs"/>
          <w:rtl/>
        </w:rPr>
        <w:t>5</w:t>
      </w:r>
      <w:r>
        <w:rPr>
          <w:rStyle w:val="big-number"/>
          <w:rFonts w:cs="FrankRuehl"/>
          <w:sz w:val="26"/>
          <w:szCs w:val="26"/>
          <w:rtl/>
        </w:rPr>
        <w:t>.</w:t>
      </w:r>
      <w:r>
        <w:rPr>
          <w:rStyle w:val="big-number"/>
          <w:rFonts w:cs="FrankRuehl"/>
          <w:sz w:val="26"/>
          <w:szCs w:val="26"/>
          <w:rtl/>
        </w:rPr>
        <w:tab/>
      </w:r>
      <w:r w:rsidR="00927282">
        <w:rPr>
          <w:rStyle w:val="default"/>
          <w:rFonts w:cs="FrankRuehl" w:hint="cs"/>
          <w:rtl/>
        </w:rPr>
        <w:t xml:space="preserve">מי שלא מסר דיווח לפי הוראות סעיף 6, דינו </w:t>
      </w:r>
      <w:r w:rsidR="00927282">
        <w:rPr>
          <w:rStyle w:val="default"/>
          <w:rFonts w:cs="FrankRuehl"/>
          <w:rtl/>
        </w:rPr>
        <w:t>–</w:t>
      </w:r>
      <w:r w:rsidR="00927282">
        <w:rPr>
          <w:rStyle w:val="default"/>
          <w:rFonts w:cs="FrankRuehl" w:hint="cs"/>
          <w:rtl/>
        </w:rPr>
        <w:t xml:space="preserve"> מאסר שנה או קנס כאמור בסעיף 61(א)(3) לחוק העונשין.</w:t>
      </w:r>
    </w:p>
    <w:p w14:paraId="747BA6C0" w14:textId="77777777" w:rsidR="002343A7" w:rsidRDefault="002343A7" w:rsidP="002343A7">
      <w:pPr>
        <w:pStyle w:val="P00"/>
        <w:spacing w:before="72"/>
        <w:ind w:left="0" w:right="1134"/>
        <w:rPr>
          <w:rStyle w:val="default"/>
          <w:rFonts w:cs="FrankRuehl"/>
          <w:rtl/>
        </w:rPr>
      </w:pPr>
      <w:bookmarkStart w:id="21" w:name="Seif16"/>
      <w:bookmarkEnd w:id="21"/>
      <w:r>
        <w:rPr>
          <w:rFonts w:cs="Miriam"/>
          <w:lang w:val="he-IL"/>
        </w:rPr>
        <w:pict w14:anchorId="28D763D6">
          <v:rect id="_x0000_s1562" style="position:absolute;left:0;text-align:left;margin-left:464.35pt;margin-top:7.1pt;width:75.05pt;height:21.2pt;z-index:251659264" o:allowincell="f" filled="f" stroked="f" strokecolor="lime" strokeweight=".25pt">
            <v:textbox style="mso-next-textbox:#_x0000_s1562" inset="0,0,0,0">
              <w:txbxContent>
                <w:p w14:paraId="3A9E91B5" w14:textId="77777777" w:rsidR="002343A7" w:rsidRDefault="00927282" w:rsidP="002343A7">
                  <w:pPr>
                    <w:spacing w:line="160" w:lineRule="exact"/>
                    <w:rPr>
                      <w:rFonts w:cs="Miriam" w:hint="cs"/>
                      <w:noProof/>
                      <w:sz w:val="18"/>
                      <w:szCs w:val="18"/>
                      <w:rtl/>
                    </w:rPr>
                  </w:pPr>
                  <w:r>
                    <w:rPr>
                      <w:rFonts w:cs="Miriam" w:hint="cs"/>
                      <w:sz w:val="18"/>
                      <w:szCs w:val="18"/>
                      <w:rtl/>
                    </w:rPr>
                    <w:t>אחריות נושא משרה בתאגיד</w:t>
                  </w:r>
                </w:p>
              </w:txbxContent>
            </v:textbox>
            <w10:anchorlock/>
          </v:rect>
        </w:pict>
      </w:r>
      <w:r>
        <w:rPr>
          <w:rStyle w:val="big-number"/>
          <w:rFonts w:cs="Miriam" w:hint="cs"/>
          <w:rtl/>
        </w:rPr>
        <w:t>1</w:t>
      </w:r>
      <w:r w:rsidR="00927282">
        <w:rPr>
          <w:rStyle w:val="big-number"/>
          <w:rFonts w:cs="Miriam" w:hint="cs"/>
          <w:rtl/>
        </w:rPr>
        <w:t>6</w:t>
      </w:r>
      <w:r>
        <w:rPr>
          <w:rStyle w:val="big-number"/>
          <w:rFonts w:cs="FrankRuehl"/>
          <w:sz w:val="26"/>
          <w:szCs w:val="26"/>
          <w:rtl/>
        </w:rPr>
        <w:t>.</w:t>
      </w:r>
      <w:r>
        <w:rPr>
          <w:rStyle w:val="big-number"/>
          <w:rFonts w:cs="FrankRuehl"/>
          <w:sz w:val="26"/>
          <w:szCs w:val="26"/>
          <w:rtl/>
        </w:rPr>
        <w:tab/>
      </w:r>
      <w:r w:rsidR="00927282">
        <w:rPr>
          <w:rStyle w:val="default"/>
          <w:rFonts w:cs="FrankRuehl" w:hint="cs"/>
          <w:rtl/>
        </w:rPr>
        <w:t>(א)</w:t>
      </w:r>
      <w:r w:rsidR="00927282">
        <w:rPr>
          <w:rStyle w:val="default"/>
          <w:rFonts w:cs="FrankRuehl"/>
          <w:rtl/>
        </w:rPr>
        <w:tab/>
      </w:r>
      <w:r w:rsidR="00927282">
        <w:rPr>
          <w:rStyle w:val="default"/>
          <w:rFonts w:cs="FrankRuehl" w:hint="cs"/>
          <w:rtl/>
        </w:rPr>
        <w:t xml:space="preserve">נושא משרה בתאגיד יפקח ויעשה כל שניתן למניעת עבירת לפי סעיפים 13 עד 15 בידי התאגיד או בידי עובד מעובדיו; המפר הוראה זו, דינו </w:t>
      </w:r>
      <w:r w:rsidR="00927282">
        <w:rPr>
          <w:rStyle w:val="default"/>
          <w:rFonts w:cs="FrankRuehl"/>
          <w:rtl/>
        </w:rPr>
        <w:t>–</w:t>
      </w:r>
      <w:r w:rsidR="00927282">
        <w:rPr>
          <w:rStyle w:val="default"/>
          <w:rFonts w:cs="FrankRuehl" w:hint="cs"/>
          <w:rtl/>
        </w:rPr>
        <w:t xml:space="preserve"> קנס כאמור בסעיף 61(א)(3) לחוק העונשין; לעניין זה, "נושא משרה" </w:t>
      </w:r>
      <w:r w:rsidR="00927282">
        <w:rPr>
          <w:rStyle w:val="default"/>
          <w:rFonts w:cs="FrankRuehl"/>
          <w:rtl/>
        </w:rPr>
        <w:t>–</w:t>
      </w:r>
      <w:r w:rsidR="00927282">
        <w:rPr>
          <w:rStyle w:val="default"/>
          <w:rFonts w:cs="FrankRuehl" w:hint="cs"/>
          <w:rtl/>
        </w:rPr>
        <w:t xml:space="preserve"> מנהל פעיל בתאגיד, שותף למעט שותף מוגבל, או פקיד האחראי מטעם התאגיד על התחום שבו בוצעה העבירה.</w:t>
      </w:r>
    </w:p>
    <w:p w14:paraId="46B91C0B" w14:textId="77777777" w:rsidR="00927282" w:rsidRDefault="00927282" w:rsidP="002343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נעברה עבירה לפי סעיפים 13 עד 15 בידי תאגיד או בידי עובד מעובדיו, חזקה היא כי נושא משרה בתאגיד הפר את חובתו לפי סעיף קטן (א), אלא אם כן הוכיח כי עשה כל שניתן כדי למלא את חובתו.</w:t>
      </w:r>
    </w:p>
    <w:p w14:paraId="4675BB6C" w14:textId="77777777" w:rsidR="00927282" w:rsidRPr="00927282" w:rsidRDefault="00927282" w:rsidP="00927282">
      <w:pPr>
        <w:pStyle w:val="medium2-header"/>
        <w:keepLines w:val="0"/>
        <w:spacing w:before="72"/>
        <w:ind w:left="0" w:right="1134"/>
        <w:rPr>
          <w:rFonts w:cs="FrankRuehl"/>
          <w:noProof/>
          <w:rtl/>
        </w:rPr>
      </w:pPr>
      <w:bookmarkStart w:id="22" w:name="med6"/>
      <w:bookmarkEnd w:id="22"/>
      <w:r w:rsidRPr="00927282">
        <w:rPr>
          <w:rFonts w:cs="FrankRuehl" w:hint="cs"/>
          <w:noProof/>
          <w:rtl/>
        </w:rPr>
        <w:t>פרק ז': תפיסה וחילוט</w:t>
      </w:r>
    </w:p>
    <w:p w14:paraId="2DA3E784" w14:textId="77777777" w:rsidR="002343A7" w:rsidRDefault="002343A7" w:rsidP="002343A7">
      <w:pPr>
        <w:pStyle w:val="P00"/>
        <w:spacing w:before="72"/>
        <w:ind w:left="0" w:right="1134"/>
        <w:rPr>
          <w:rStyle w:val="default"/>
          <w:rFonts w:cs="FrankRuehl"/>
          <w:rtl/>
        </w:rPr>
      </w:pPr>
      <w:bookmarkStart w:id="23" w:name="Seif17"/>
      <w:bookmarkEnd w:id="23"/>
      <w:r>
        <w:rPr>
          <w:rFonts w:cs="Miriam"/>
          <w:lang w:val="he-IL"/>
        </w:rPr>
        <w:pict w14:anchorId="6A1DE055">
          <v:rect id="_x0000_s1563" style="position:absolute;left:0;text-align:left;margin-left:464.35pt;margin-top:7.1pt;width:75.05pt;height:12pt;z-index:251660288" o:allowincell="f" filled="f" stroked="f" strokecolor="lime" strokeweight=".25pt">
            <v:textbox style="mso-next-textbox:#_x0000_s1563" inset="0,0,0,0">
              <w:txbxContent>
                <w:p w14:paraId="2DBEABCE" w14:textId="77777777" w:rsidR="002343A7" w:rsidRDefault="00927282" w:rsidP="002343A7">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ז'</w:t>
                  </w:r>
                </w:p>
              </w:txbxContent>
            </v:textbox>
            <w10:anchorlock/>
          </v:rect>
        </w:pict>
      </w:r>
      <w:r>
        <w:rPr>
          <w:rStyle w:val="big-number"/>
          <w:rFonts w:cs="Miriam" w:hint="cs"/>
          <w:rtl/>
        </w:rPr>
        <w:t>1</w:t>
      </w:r>
      <w:r w:rsidR="00927282">
        <w:rPr>
          <w:rStyle w:val="big-number"/>
          <w:rFonts w:cs="Miriam" w:hint="cs"/>
          <w:rtl/>
        </w:rPr>
        <w:t>7</w:t>
      </w:r>
      <w:r>
        <w:rPr>
          <w:rStyle w:val="big-number"/>
          <w:rFonts w:cs="FrankRuehl"/>
          <w:sz w:val="26"/>
          <w:szCs w:val="26"/>
          <w:rtl/>
        </w:rPr>
        <w:t>.</w:t>
      </w:r>
      <w:r>
        <w:rPr>
          <w:rStyle w:val="big-number"/>
          <w:rFonts w:cs="FrankRuehl"/>
          <w:sz w:val="26"/>
          <w:szCs w:val="26"/>
          <w:rtl/>
        </w:rPr>
        <w:tab/>
      </w:r>
      <w:r w:rsidR="00820D28">
        <w:rPr>
          <w:rStyle w:val="default"/>
          <w:rFonts w:cs="FrankRuehl" w:hint="cs"/>
          <w:rtl/>
        </w:rPr>
        <w:t xml:space="preserve">בפרק זה </w:t>
      </w:r>
      <w:r w:rsidR="00820D28">
        <w:rPr>
          <w:rStyle w:val="default"/>
          <w:rFonts w:cs="FrankRuehl"/>
          <w:rtl/>
        </w:rPr>
        <w:t>–</w:t>
      </w:r>
    </w:p>
    <w:p w14:paraId="03F57F29" w14:textId="77777777" w:rsidR="00820D28" w:rsidRDefault="00820D28" w:rsidP="002343A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"עבירה" </w:t>
      </w:r>
      <w:r>
        <w:rPr>
          <w:rStyle w:val="default"/>
          <w:rFonts w:cs="FrankRuehl"/>
          <w:rtl/>
        </w:rPr>
        <w:t>–</w:t>
      </w:r>
      <w:r>
        <w:rPr>
          <w:rStyle w:val="default"/>
          <w:rFonts w:cs="FrankRuehl" w:hint="cs"/>
          <w:rtl/>
        </w:rPr>
        <w:t xml:space="preserve"> עבירה לפי סעיפים 13 עד 15;</w:t>
      </w:r>
    </w:p>
    <w:p w14:paraId="7C1BF0F4" w14:textId="77777777" w:rsidR="00820D28" w:rsidRDefault="00820D28" w:rsidP="002343A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"רכוש הקשור לעבירה" </w:t>
      </w:r>
      <w:r>
        <w:rPr>
          <w:rStyle w:val="default"/>
          <w:rFonts w:cs="FrankRuehl"/>
          <w:rtl/>
        </w:rPr>
        <w:t>–</w:t>
      </w:r>
      <w:r>
        <w:rPr>
          <w:rStyle w:val="default"/>
          <w:rFonts w:cs="FrankRuehl" w:hint="cs"/>
          <w:rtl/>
        </w:rPr>
        <w:t xml:space="preserve"> רכוש שמתקיים בו אחד מאלה:</w:t>
      </w:r>
    </w:p>
    <w:p w14:paraId="56F7AF29" w14:textId="77777777" w:rsidR="00820D28" w:rsidRDefault="00820D28" w:rsidP="00820D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נעברה בו עבירה או שהוא שימש לביצוע עבירה, קידם ביצוע עבירה או סייע או יועד לביצוע עבירה;</w:t>
      </w:r>
    </w:p>
    <w:p w14:paraId="77078EBC" w14:textId="77777777" w:rsidR="00820D28" w:rsidRDefault="00820D28" w:rsidP="00820D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הושג כשכר או כתגמול בעד ביצוע עבירה, יועד להיות שכר או תגמול בעד ביצועה או הושג כתוצאה מביצועה, והכול במישרין או בעקיפין.</w:t>
      </w:r>
    </w:p>
    <w:p w14:paraId="77FBB024" w14:textId="77777777" w:rsidR="002343A7" w:rsidRDefault="002343A7" w:rsidP="002343A7">
      <w:pPr>
        <w:pStyle w:val="P00"/>
        <w:spacing w:before="72"/>
        <w:ind w:left="0" w:right="1134"/>
        <w:rPr>
          <w:rStyle w:val="default"/>
          <w:rFonts w:cs="FrankRuehl"/>
          <w:rtl/>
        </w:rPr>
      </w:pPr>
      <w:bookmarkStart w:id="24" w:name="Seif18"/>
      <w:bookmarkEnd w:id="24"/>
      <w:r>
        <w:rPr>
          <w:rFonts w:cs="Miriam"/>
          <w:lang w:val="he-IL"/>
        </w:rPr>
        <w:pict w14:anchorId="173403AF">
          <v:rect id="_x0000_s1564" style="position:absolute;left:0;text-align:left;margin-left:464.35pt;margin-top:7.1pt;width:75.05pt;height:22.2pt;z-index:251661312" o:allowincell="f" filled="f" stroked="f" strokecolor="lime" strokeweight=".25pt">
            <v:textbox style="mso-next-textbox:#_x0000_s1564" inset="0,0,0,0">
              <w:txbxContent>
                <w:p w14:paraId="3BB354DD" w14:textId="77777777" w:rsidR="002343A7" w:rsidRDefault="00820D28" w:rsidP="002343A7">
                  <w:pPr>
                    <w:spacing w:line="160" w:lineRule="exact"/>
                    <w:rPr>
                      <w:rFonts w:cs="Miriam" w:hint="cs"/>
                      <w:noProof/>
                      <w:sz w:val="18"/>
                      <w:szCs w:val="18"/>
                      <w:rtl/>
                    </w:rPr>
                  </w:pPr>
                  <w:r>
                    <w:rPr>
                      <w:rFonts w:cs="Miriam" w:hint="cs"/>
                      <w:sz w:val="18"/>
                      <w:szCs w:val="18"/>
                      <w:rtl/>
                    </w:rPr>
                    <w:t>חילוט רכוש לאחר הרשעה</w:t>
                  </w:r>
                </w:p>
              </w:txbxContent>
            </v:textbox>
            <w10:anchorlock/>
          </v:rect>
        </w:pict>
      </w:r>
      <w:r>
        <w:rPr>
          <w:rStyle w:val="big-number"/>
          <w:rFonts w:cs="Miriam" w:hint="cs"/>
          <w:rtl/>
        </w:rPr>
        <w:t>1</w:t>
      </w:r>
      <w:r w:rsidR="00820D28">
        <w:rPr>
          <w:rStyle w:val="big-number"/>
          <w:rFonts w:cs="Miriam" w:hint="cs"/>
          <w:rtl/>
        </w:rPr>
        <w:t>8</w:t>
      </w:r>
      <w:r>
        <w:rPr>
          <w:rStyle w:val="big-number"/>
          <w:rFonts w:cs="FrankRuehl"/>
          <w:sz w:val="26"/>
          <w:szCs w:val="26"/>
          <w:rtl/>
        </w:rPr>
        <w:t>.</w:t>
      </w:r>
      <w:r>
        <w:rPr>
          <w:rStyle w:val="big-number"/>
          <w:rFonts w:cs="FrankRuehl"/>
          <w:sz w:val="26"/>
          <w:szCs w:val="26"/>
          <w:rtl/>
        </w:rPr>
        <w:tab/>
      </w:r>
      <w:r w:rsidR="00820D28">
        <w:rPr>
          <w:rStyle w:val="default"/>
          <w:rFonts w:cs="FrankRuehl" w:hint="cs"/>
          <w:rtl/>
        </w:rPr>
        <w:t>לעניין חילוט רכוש של אדם שהורשע בעבירה, יחולו הוראות סעיפים 21, 23 ו-26(א) לחוק איסור הלבנת הון, בשינויים המחויבים ובשינויים אלה:</w:t>
      </w:r>
    </w:p>
    <w:p w14:paraId="0DA13A03" w14:textId="77777777" w:rsidR="00820D28" w:rsidRDefault="00820D28" w:rsidP="00820D2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הוראות סעיף 36ח לפקודת הסמים המסוכנים [נוסח חדש], התשל"ג-1973 (בסעיף זה </w:t>
      </w:r>
      <w:r>
        <w:rPr>
          <w:rStyle w:val="default"/>
          <w:rFonts w:cs="FrankRuehl"/>
          <w:rtl/>
        </w:rPr>
        <w:t>–</w:t>
      </w:r>
      <w:r>
        <w:rPr>
          <w:rStyle w:val="default"/>
          <w:rFonts w:cs="FrankRuehl" w:hint="cs"/>
          <w:rtl/>
        </w:rPr>
        <w:t xml:space="preserve"> פקודת הסמים), לא יחולו לגבי ניהול הרכוש המחולט ושימוש בו;</w:t>
      </w:r>
    </w:p>
    <w:p w14:paraId="7D3B2BF9" w14:textId="77777777" w:rsidR="00820D28" w:rsidRDefault="00820D28" w:rsidP="00820D2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סעיף 36ג(א) לפקודת הסמים יחולו רק על טוען לזכות ברכוש שאינו גורם מוכרז;</w:t>
      </w:r>
    </w:p>
    <w:p w14:paraId="6212FA13" w14:textId="77777777" w:rsidR="00820D28" w:rsidRDefault="00820D28" w:rsidP="00820D2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האמור בסעיף 36ג(ג) לפקודת הסמים, בית המשפט רשאי לצוות על חילוטם של מיטלטלין שאינם ניתנים לעיקול לפי סעיף 22(א)(4) לחוק ההוצאה לפועל, התשכ"ז-1967.</w:t>
      </w:r>
    </w:p>
    <w:p w14:paraId="0D10863E" w14:textId="77777777" w:rsidR="002343A7" w:rsidRDefault="002343A7" w:rsidP="002343A7">
      <w:pPr>
        <w:pStyle w:val="P00"/>
        <w:spacing w:before="72"/>
        <w:ind w:left="0" w:right="1134"/>
        <w:rPr>
          <w:rStyle w:val="default"/>
          <w:rFonts w:cs="FrankRuehl"/>
          <w:rtl/>
        </w:rPr>
      </w:pPr>
      <w:bookmarkStart w:id="25" w:name="Seif19"/>
      <w:bookmarkEnd w:id="25"/>
      <w:r>
        <w:rPr>
          <w:rFonts w:cs="Miriam"/>
          <w:lang w:val="he-IL"/>
        </w:rPr>
        <w:pict w14:anchorId="417E0C24">
          <v:rect id="_x0000_s1565" style="position:absolute;left:0;text-align:left;margin-left:464.35pt;margin-top:7.1pt;width:75.05pt;height:19.45pt;z-index:251662336" o:allowincell="f" filled="f" stroked="f" strokecolor="lime" strokeweight=".25pt">
            <v:textbox style="mso-next-textbox:#_x0000_s1565" inset="0,0,0,0">
              <w:txbxContent>
                <w:p w14:paraId="3F17E147" w14:textId="77777777" w:rsidR="002343A7" w:rsidRDefault="00820D28" w:rsidP="002343A7">
                  <w:pPr>
                    <w:spacing w:line="160" w:lineRule="exact"/>
                    <w:rPr>
                      <w:rFonts w:cs="Miriam" w:hint="cs"/>
                      <w:noProof/>
                      <w:sz w:val="18"/>
                      <w:szCs w:val="18"/>
                      <w:rtl/>
                    </w:rPr>
                  </w:pPr>
                  <w:r>
                    <w:rPr>
                      <w:rFonts w:cs="Miriam" w:hint="cs"/>
                      <w:sz w:val="18"/>
                      <w:szCs w:val="18"/>
                      <w:rtl/>
                    </w:rPr>
                    <w:t>חילוט רכוש שלא בעקבות הרשעה</w:t>
                  </w:r>
                </w:p>
              </w:txbxContent>
            </v:textbox>
            <w10:anchorlock/>
          </v:rect>
        </w:pict>
      </w:r>
      <w:r>
        <w:rPr>
          <w:rStyle w:val="big-number"/>
          <w:rFonts w:cs="Miriam" w:hint="cs"/>
          <w:rtl/>
        </w:rPr>
        <w:t>1</w:t>
      </w:r>
      <w:r w:rsidR="00820D28">
        <w:rPr>
          <w:rStyle w:val="big-number"/>
          <w:rFonts w:cs="Miriam" w:hint="cs"/>
          <w:rtl/>
        </w:rPr>
        <w:t>9</w:t>
      </w:r>
      <w:r>
        <w:rPr>
          <w:rStyle w:val="big-number"/>
          <w:rFonts w:cs="FrankRuehl"/>
          <w:sz w:val="26"/>
          <w:szCs w:val="26"/>
          <w:rtl/>
        </w:rPr>
        <w:t>.</w:t>
      </w:r>
      <w:r>
        <w:rPr>
          <w:rStyle w:val="big-number"/>
          <w:rFonts w:cs="FrankRuehl"/>
          <w:sz w:val="26"/>
          <w:szCs w:val="26"/>
          <w:rtl/>
        </w:rPr>
        <w:tab/>
      </w:r>
      <w:r w:rsidR="00820D28">
        <w:rPr>
          <w:rStyle w:val="default"/>
          <w:rFonts w:cs="FrankRuehl" w:hint="cs"/>
          <w:rtl/>
        </w:rPr>
        <w:t>בית משפט מחוזי רשאי, על פי בקשה של פרקליט מחוז, לצוות על חילוט רכוש הקשור לעבירה, בהליך אזרחי, בין אם הורשע או הואשם בעבירה ובין אם לאו; על חילוט לפי סעיף זה יחולו הוראות סעיפים 22, 23 ו-26(א) לחוק איסור הלבנת הון, בשינויים המחויבים ובשינויים האמורים בסעיף 18.</w:t>
      </w:r>
    </w:p>
    <w:p w14:paraId="4DFABC1C" w14:textId="77777777" w:rsidR="002343A7" w:rsidRDefault="002343A7" w:rsidP="002343A7">
      <w:pPr>
        <w:pStyle w:val="P00"/>
        <w:spacing w:before="72"/>
        <w:ind w:left="0" w:right="1134"/>
        <w:rPr>
          <w:rStyle w:val="default"/>
          <w:rFonts w:cs="FrankRuehl"/>
          <w:rtl/>
        </w:rPr>
      </w:pPr>
      <w:bookmarkStart w:id="26" w:name="Seif20"/>
      <w:bookmarkEnd w:id="26"/>
      <w:r>
        <w:rPr>
          <w:rFonts w:cs="Miriam"/>
          <w:lang w:val="he-IL"/>
        </w:rPr>
        <w:pict w14:anchorId="1BA4AA6E">
          <v:rect id="_x0000_s1566" style="position:absolute;left:0;text-align:left;margin-left:464.35pt;margin-top:7.1pt;width:75.05pt;height:12pt;z-index:251663360" o:allowincell="f" filled="f" stroked="f" strokecolor="lime" strokeweight=".25pt">
            <v:textbox style="mso-next-textbox:#_x0000_s1566" inset="0,0,0,0">
              <w:txbxContent>
                <w:p w14:paraId="7AFB14CB" w14:textId="77777777" w:rsidR="002343A7" w:rsidRDefault="00820D28" w:rsidP="002343A7">
                  <w:pPr>
                    <w:spacing w:line="160" w:lineRule="exact"/>
                    <w:rPr>
                      <w:rFonts w:cs="Miriam" w:hint="cs"/>
                      <w:noProof/>
                      <w:sz w:val="18"/>
                      <w:szCs w:val="18"/>
                      <w:rtl/>
                    </w:rPr>
                  </w:pPr>
                  <w:r>
                    <w:rPr>
                      <w:rFonts w:cs="Miriam" w:hint="cs"/>
                      <w:sz w:val="18"/>
                      <w:szCs w:val="18"/>
                      <w:rtl/>
                    </w:rPr>
                    <w:t>ניהול רכוש ומימושו</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820D28">
        <w:rPr>
          <w:rStyle w:val="default"/>
          <w:rFonts w:cs="FrankRuehl" w:hint="cs"/>
          <w:rtl/>
        </w:rPr>
        <w:t>(א)</w:t>
      </w:r>
      <w:r w:rsidR="00820D28">
        <w:rPr>
          <w:rStyle w:val="default"/>
          <w:rFonts w:cs="FrankRuehl"/>
          <w:rtl/>
        </w:rPr>
        <w:tab/>
      </w:r>
      <w:r w:rsidR="00820D28">
        <w:rPr>
          <w:rStyle w:val="default"/>
          <w:rFonts w:cs="FrankRuehl" w:hint="cs"/>
          <w:rtl/>
        </w:rPr>
        <w:t xml:space="preserve">צווים והחלטות שניתנו לפי הוראות פרק זה לעניין תפיסת רכוש או חילוטו, יהיו אסמכתה בידי אגף האפוטרופוס הכללי במשרד המשפטים (בפרק זה </w:t>
      </w:r>
      <w:r w:rsidR="00820D28">
        <w:rPr>
          <w:rStyle w:val="default"/>
          <w:rFonts w:cs="FrankRuehl"/>
          <w:rtl/>
        </w:rPr>
        <w:t>–</w:t>
      </w:r>
      <w:r w:rsidR="00820D28">
        <w:rPr>
          <w:rStyle w:val="default"/>
          <w:rFonts w:cs="FrankRuehl" w:hint="cs"/>
          <w:rtl/>
        </w:rPr>
        <w:t xml:space="preserve"> האפוטרופוס הכללי) לנהל את הרכוש ולממשו, לרבות באמצעות פנייה לבית המשפט המוסמך בבקשה למתן הוראות לעניין ניהול הרכוש או מימושו.</w:t>
      </w:r>
    </w:p>
    <w:p w14:paraId="270F51DE" w14:textId="77777777" w:rsidR="00820D28" w:rsidRDefault="00820D28" w:rsidP="002343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11D1B">
        <w:rPr>
          <w:rStyle w:val="default"/>
          <w:rFonts w:cs="FrankRuehl" w:hint="cs"/>
          <w:rtl/>
        </w:rPr>
        <w:t>בקשה למתן הוראות לאפוטרופוס הכללי בדבר ניהול זמני של הרכוש במסגרת צו לתפיסת רכוש בהליך פלילי או אזרחי, תוגש לבית המשפט המוסמך לאחר התייעצות עם האפוטרופוס הכללי.</w:t>
      </w:r>
    </w:p>
    <w:p w14:paraId="11C4875F" w14:textId="77777777" w:rsidR="00711D1B" w:rsidRDefault="00711D1B" w:rsidP="002343A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הוצאות תפיסת הרכוש וניהולו לפי פרק זה, לרבות תשלום הוצאות הליכי התפיסה, החילוט, ניהול הרכוש ומימושו, ולרבות שכרו של האפוטרופוס הכללי בעד הניהול, ייגבו מכלל הרכוש שהאפוטרופוס הכללי מנהל ושחולט לפי הוראות פרק זה.</w:t>
      </w:r>
    </w:p>
    <w:p w14:paraId="3B89F332" w14:textId="77777777" w:rsidR="002343A7" w:rsidRDefault="002343A7" w:rsidP="002343A7">
      <w:pPr>
        <w:pStyle w:val="P00"/>
        <w:spacing w:before="72"/>
        <w:ind w:left="0" w:right="1134"/>
        <w:rPr>
          <w:rStyle w:val="default"/>
          <w:rFonts w:cs="FrankRuehl"/>
          <w:rtl/>
        </w:rPr>
      </w:pPr>
      <w:bookmarkStart w:id="27" w:name="Seif21"/>
      <w:bookmarkEnd w:id="27"/>
      <w:r>
        <w:rPr>
          <w:rFonts w:cs="Miriam"/>
          <w:lang w:val="he-IL"/>
        </w:rPr>
        <w:pict w14:anchorId="172B0046">
          <v:rect id="_x0000_s1567" style="position:absolute;left:0;text-align:left;margin-left:464.35pt;margin-top:7.1pt;width:75.05pt;height:23pt;z-index:251664384" o:allowincell="f" filled="f" stroked="f" strokecolor="lime" strokeweight=".25pt">
            <v:textbox style="mso-next-textbox:#_x0000_s1567" inset="0,0,0,0">
              <w:txbxContent>
                <w:p w14:paraId="446992E7" w14:textId="77777777" w:rsidR="002343A7" w:rsidRDefault="00711D1B" w:rsidP="002343A7">
                  <w:pPr>
                    <w:spacing w:line="160" w:lineRule="exact"/>
                    <w:rPr>
                      <w:rFonts w:cs="Miriam" w:hint="cs"/>
                      <w:noProof/>
                      <w:sz w:val="18"/>
                      <w:szCs w:val="18"/>
                      <w:rtl/>
                    </w:rPr>
                  </w:pPr>
                  <w:r>
                    <w:rPr>
                      <w:rFonts w:cs="Miriam" w:hint="cs"/>
                      <w:sz w:val="18"/>
                      <w:szCs w:val="18"/>
                      <w:rtl/>
                    </w:rPr>
                    <w:t>תקנות לעניין תפיסה וחילוט</w:t>
                  </w:r>
                </w:p>
              </w:txbxContent>
            </v:textbox>
            <w10:anchorlock/>
          </v:rect>
        </w:pict>
      </w:r>
      <w:r>
        <w:rPr>
          <w:rStyle w:val="big-number"/>
          <w:rFonts w:cs="Miriam" w:hint="cs"/>
          <w:rtl/>
        </w:rPr>
        <w:t>2</w:t>
      </w:r>
      <w:r w:rsidR="00711D1B">
        <w:rPr>
          <w:rStyle w:val="big-number"/>
          <w:rFonts w:cs="Miriam" w:hint="cs"/>
          <w:rtl/>
        </w:rPr>
        <w:t>1</w:t>
      </w:r>
      <w:r>
        <w:rPr>
          <w:rStyle w:val="big-number"/>
          <w:rFonts w:cs="FrankRuehl"/>
          <w:sz w:val="26"/>
          <w:szCs w:val="26"/>
          <w:rtl/>
        </w:rPr>
        <w:t>.</w:t>
      </w:r>
      <w:r>
        <w:rPr>
          <w:rStyle w:val="big-number"/>
          <w:rFonts w:cs="FrankRuehl"/>
          <w:sz w:val="26"/>
          <w:szCs w:val="26"/>
          <w:rtl/>
        </w:rPr>
        <w:tab/>
      </w:r>
      <w:r w:rsidR="00711D1B">
        <w:rPr>
          <w:rStyle w:val="default"/>
          <w:rFonts w:cs="FrankRuehl" w:hint="cs"/>
          <w:rtl/>
        </w:rPr>
        <w:t>שר המשפטים ממונה על ביצוע הוראות פרק זה, והוא רשאי להתקין תקנות לביצועו, ובכלל זה תקנות בעניינים אלה:</w:t>
      </w:r>
    </w:p>
    <w:p w14:paraId="36439B08" w14:textId="77777777" w:rsidR="00711D1B" w:rsidRDefault="00711D1B" w:rsidP="00711D1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סדרי דין בבקשה לחילוט בהליך פלילי או אזרחי, לרבות לעניין מסירת הודעה לטוענים לזכות ברכוש והגשת טענותיהם בעניין החילוט;</w:t>
      </w:r>
    </w:p>
    <w:p w14:paraId="5A9F61E3" w14:textId="77777777" w:rsidR="00711D1B" w:rsidRDefault="00711D1B" w:rsidP="00711D1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הרכוש שנתפס וחולט לפי הוראות פרק זה, ובכלל זה אופן תשלום הוצאות ניהול הרכוש כאמור; תקנות לפי פסקה זו יותקנו בהסכמת שר האוצר.</w:t>
      </w:r>
    </w:p>
    <w:p w14:paraId="2F7B3575" w14:textId="77777777" w:rsidR="00711D1B" w:rsidRPr="00711D1B" w:rsidRDefault="00711D1B" w:rsidP="00711D1B">
      <w:pPr>
        <w:pStyle w:val="medium2-header"/>
        <w:keepLines w:val="0"/>
        <w:spacing w:before="72"/>
        <w:ind w:left="0" w:right="1134"/>
        <w:rPr>
          <w:rFonts w:cs="FrankRuehl"/>
          <w:noProof/>
          <w:rtl/>
        </w:rPr>
      </w:pPr>
      <w:bookmarkStart w:id="28" w:name="med7"/>
      <w:bookmarkEnd w:id="28"/>
      <w:r w:rsidRPr="00711D1B">
        <w:rPr>
          <w:rFonts w:cs="FrankRuehl" w:hint="cs"/>
          <w:noProof/>
          <w:rtl/>
        </w:rPr>
        <w:t>פרק ח': הוראות שונות</w:t>
      </w:r>
    </w:p>
    <w:p w14:paraId="24BE83E0" w14:textId="77777777" w:rsidR="002343A7" w:rsidRDefault="002343A7" w:rsidP="002343A7">
      <w:pPr>
        <w:pStyle w:val="P00"/>
        <w:spacing w:before="72"/>
        <w:ind w:left="0" w:right="1134"/>
        <w:rPr>
          <w:rStyle w:val="default"/>
          <w:rFonts w:cs="FrankRuehl"/>
          <w:rtl/>
        </w:rPr>
      </w:pPr>
      <w:bookmarkStart w:id="29" w:name="Seif22"/>
      <w:bookmarkEnd w:id="29"/>
      <w:r>
        <w:rPr>
          <w:rFonts w:cs="Miriam"/>
          <w:lang w:val="he-IL"/>
        </w:rPr>
        <w:pict w14:anchorId="67B64DC0">
          <v:rect id="_x0000_s1568" style="position:absolute;left:0;text-align:left;margin-left:464.35pt;margin-top:7.1pt;width:75.05pt;height:17.95pt;z-index:251665408" o:allowincell="f" filled="f" stroked="f" strokecolor="lime" strokeweight=".25pt">
            <v:textbox style="mso-next-textbox:#_x0000_s1568" inset="0,0,0,0">
              <w:txbxContent>
                <w:p w14:paraId="1F018728" w14:textId="77777777" w:rsidR="002343A7" w:rsidRDefault="00711D1B" w:rsidP="002343A7">
                  <w:pPr>
                    <w:spacing w:line="160" w:lineRule="exact"/>
                    <w:rPr>
                      <w:rFonts w:cs="Miriam" w:hint="cs"/>
                      <w:noProof/>
                      <w:sz w:val="18"/>
                      <w:szCs w:val="18"/>
                      <w:rtl/>
                    </w:rPr>
                  </w:pPr>
                  <w:r>
                    <w:rPr>
                      <w:rFonts w:cs="Miriam" w:hint="cs"/>
                      <w:sz w:val="18"/>
                      <w:szCs w:val="18"/>
                      <w:rtl/>
                    </w:rPr>
                    <w:t>סמכות לקבלת מידע ושמירתו</w:t>
                  </w:r>
                </w:p>
              </w:txbxContent>
            </v:textbox>
            <w10:anchorlock/>
          </v:rect>
        </w:pict>
      </w:r>
      <w:r>
        <w:rPr>
          <w:rStyle w:val="big-number"/>
          <w:rFonts w:cs="Miriam" w:hint="cs"/>
          <w:rtl/>
        </w:rPr>
        <w:t>2</w:t>
      </w:r>
      <w:r w:rsidR="00711D1B">
        <w:rPr>
          <w:rStyle w:val="big-number"/>
          <w:rFonts w:cs="Miriam" w:hint="cs"/>
          <w:rtl/>
        </w:rPr>
        <w:t>2</w:t>
      </w:r>
      <w:r>
        <w:rPr>
          <w:rStyle w:val="big-number"/>
          <w:rFonts w:cs="FrankRuehl"/>
          <w:sz w:val="26"/>
          <w:szCs w:val="26"/>
          <w:rtl/>
        </w:rPr>
        <w:t>.</w:t>
      </w:r>
      <w:r>
        <w:rPr>
          <w:rStyle w:val="big-number"/>
          <w:rFonts w:cs="FrankRuehl"/>
          <w:sz w:val="26"/>
          <w:szCs w:val="26"/>
          <w:rtl/>
        </w:rPr>
        <w:tab/>
      </w:r>
      <w:r w:rsidR="00711D1B">
        <w:rPr>
          <w:rStyle w:val="default"/>
          <w:rFonts w:cs="FrankRuehl" w:hint="cs"/>
          <w:rtl/>
        </w:rPr>
        <w:t>הסמכות לפי סעיף 28 לחוק המאבק בתכנית הגרעין של איראן, תהיה נתונה לעובד מטה הסנ'ציות שהשר הסמיך לכך גם לשם מילוי תפקידי מטה הסנקציות לפי חוק זה לגבי מידע שיש בו כדי לסייע למטה הסנקציות במילוי תפקידיו כאמור, והוראות אותו סעיף יחולו לעניין מסירה, קבלת ושמירה של המידע.</w:t>
      </w:r>
    </w:p>
    <w:p w14:paraId="3BD5EEF5" w14:textId="77777777" w:rsidR="002343A7" w:rsidRDefault="002343A7" w:rsidP="002343A7">
      <w:pPr>
        <w:pStyle w:val="P00"/>
        <w:spacing w:before="72"/>
        <w:ind w:left="0" w:right="1134"/>
        <w:rPr>
          <w:rStyle w:val="default"/>
          <w:rFonts w:cs="FrankRuehl"/>
          <w:rtl/>
        </w:rPr>
      </w:pPr>
      <w:bookmarkStart w:id="30" w:name="Seif23"/>
      <w:bookmarkEnd w:id="30"/>
      <w:r>
        <w:rPr>
          <w:rFonts w:cs="Miriam"/>
          <w:lang w:val="he-IL"/>
        </w:rPr>
        <w:pict w14:anchorId="57D1B429">
          <v:rect id="_x0000_s1569" style="position:absolute;left:0;text-align:left;margin-left:464.35pt;margin-top:7.1pt;width:75.05pt;height:21.65pt;z-index:251666432" o:allowincell="f" filled="f" stroked="f" strokecolor="lime" strokeweight=".25pt">
            <v:textbox style="mso-next-textbox:#_x0000_s1569" inset="0,0,0,0">
              <w:txbxContent>
                <w:p w14:paraId="6B694D25" w14:textId="77777777" w:rsidR="002343A7" w:rsidRDefault="00711D1B" w:rsidP="002343A7">
                  <w:pPr>
                    <w:spacing w:line="160" w:lineRule="exact"/>
                    <w:rPr>
                      <w:rFonts w:cs="Miriam" w:hint="cs"/>
                      <w:noProof/>
                      <w:sz w:val="18"/>
                      <w:szCs w:val="18"/>
                      <w:rtl/>
                    </w:rPr>
                  </w:pPr>
                  <w:r>
                    <w:rPr>
                      <w:rFonts w:cs="Miriam" w:hint="cs"/>
                      <w:sz w:val="18"/>
                      <w:szCs w:val="18"/>
                      <w:rtl/>
                    </w:rPr>
                    <w:t>החלת הוראות על המדינה</w:t>
                  </w:r>
                </w:p>
              </w:txbxContent>
            </v:textbox>
            <w10:anchorlock/>
          </v:rect>
        </w:pict>
      </w:r>
      <w:r>
        <w:rPr>
          <w:rStyle w:val="big-number"/>
          <w:rFonts w:cs="Miriam" w:hint="cs"/>
          <w:rtl/>
        </w:rPr>
        <w:t>2</w:t>
      </w:r>
      <w:r w:rsidR="00711D1B">
        <w:rPr>
          <w:rStyle w:val="big-number"/>
          <w:rFonts w:cs="Miriam" w:hint="cs"/>
          <w:rtl/>
        </w:rPr>
        <w:t>3</w:t>
      </w:r>
      <w:r>
        <w:rPr>
          <w:rStyle w:val="big-number"/>
          <w:rFonts w:cs="FrankRuehl"/>
          <w:sz w:val="26"/>
          <w:szCs w:val="26"/>
          <w:rtl/>
        </w:rPr>
        <w:t>.</w:t>
      </w:r>
      <w:r>
        <w:rPr>
          <w:rStyle w:val="big-number"/>
          <w:rFonts w:cs="FrankRuehl"/>
          <w:sz w:val="26"/>
          <w:szCs w:val="26"/>
          <w:rtl/>
        </w:rPr>
        <w:tab/>
      </w:r>
      <w:r w:rsidR="00711D1B">
        <w:rPr>
          <w:rStyle w:val="default"/>
          <w:rFonts w:cs="FrankRuehl" w:hint="cs"/>
          <w:rtl/>
        </w:rPr>
        <w:t>הוראות סעיף 5 יחולו גם על המדינה.</w:t>
      </w:r>
    </w:p>
    <w:p w14:paraId="193D0AE4" w14:textId="77777777" w:rsidR="002343A7" w:rsidRDefault="002343A7" w:rsidP="002343A7">
      <w:pPr>
        <w:pStyle w:val="P00"/>
        <w:spacing w:before="72"/>
        <w:ind w:left="0" w:right="1134"/>
        <w:rPr>
          <w:rStyle w:val="default"/>
          <w:rFonts w:cs="FrankRuehl"/>
          <w:rtl/>
        </w:rPr>
      </w:pPr>
      <w:bookmarkStart w:id="31" w:name="Seif24"/>
      <w:bookmarkEnd w:id="31"/>
      <w:r>
        <w:rPr>
          <w:rFonts w:cs="Miriam"/>
          <w:lang w:val="he-IL"/>
        </w:rPr>
        <w:pict w14:anchorId="22F97AF0">
          <v:rect id="_x0000_s1570" style="position:absolute;left:0;text-align:left;margin-left:464.35pt;margin-top:7.1pt;width:75.05pt;height:12pt;z-index:251667456" o:allowincell="f" filled="f" stroked="f" strokecolor="lime" strokeweight=".25pt">
            <v:textbox style="mso-next-textbox:#_x0000_s1570" inset="0,0,0,0">
              <w:txbxContent>
                <w:p w14:paraId="335615CD" w14:textId="77777777" w:rsidR="002343A7" w:rsidRDefault="00711D1B" w:rsidP="002343A7">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711D1B">
        <w:rPr>
          <w:rStyle w:val="big-number"/>
          <w:rFonts w:cs="Miriam" w:hint="cs"/>
          <w:rtl/>
        </w:rPr>
        <w:t>4</w:t>
      </w:r>
      <w:r>
        <w:rPr>
          <w:rStyle w:val="big-number"/>
          <w:rFonts w:cs="FrankRuehl"/>
          <w:sz w:val="26"/>
          <w:szCs w:val="26"/>
          <w:rtl/>
        </w:rPr>
        <w:t>.</w:t>
      </w:r>
      <w:r>
        <w:rPr>
          <w:rStyle w:val="big-number"/>
          <w:rFonts w:cs="FrankRuehl"/>
          <w:sz w:val="26"/>
          <w:szCs w:val="26"/>
          <w:rtl/>
        </w:rPr>
        <w:tab/>
      </w:r>
      <w:r w:rsidR="00711D1B">
        <w:rPr>
          <w:rStyle w:val="default"/>
          <w:rFonts w:cs="FrankRuehl" w:hint="cs"/>
          <w:rtl/>
        </w:rPr>
        <w:t xml:space="preserve">אין בהוראות חוק זה </w:t>
      </w:r>
      <w:r w:rsidR="005A1BB9">
        <w:rPr>
          <w:rStyle w:val="default"/>
          <w:rFonts w:cs="FrankRuehl" w:hint="cs"/>
          <w:rtl/>
        </w:rPr>
        <w:t>לגרוע מהוראות כל דין, ובכלל זה חוק המאבק בתכנית הגרעין של איראן.</w:t>
      </w:r>
    </w:p>
    <w:p w14:paraId="55D79728" w14:textId="77777777" w:rsidR="002343A7" w:rsidRDefault="002343A7" w:rsidP="002343A7">
      <w:pPr>
        <w:pStyle w:val="P00"/>
        <w:spacing w:before="72"/>
        <w:ind w:left="0" w:right="1134"/>
        <w:rPr>
          <w:rStyle w:val="default"/>
          <w:rFonts w:cs="FrankRuehl"/>
          <w:rtl/>
        </w:rPr>
      </w:pPr>
      <w:bookmarkStart w:id="32" w:name="Seif25"/>
      <w:bookmarkEnd w:id="32"/>
      <w:r>
        <w:rPr>
          <w:rFonts w:cs="Miriam"/>
          <w:lang w:val="he-IL"/>
        </w:rPr>
        <w:pict w14:anchorId="57EE0E32">
          <v:rect id="_x0000_s1571" style="position:absolute;left:0;text-align:left;margin-left:464.35pt;margin-top:7.1pt;width:75.05pt;height:20.1pt;z-index:251668480" o:allowincell="f" filled="f" stroked="f" strokecolor="lime" strokeweight=".25pt">
            <v:textbox style="mso-next-textbox:#_x0000_s1571" inset="0,0,0,0">
              <w:txbxContent>
                <w:p w14:paraId="78AD75DC" w14:textId="77777777" w:rsidR="002343A7" w:rsidRDefault="005A1BB9" w:rsidP="002343A7">
                  <w:pPr>
                    <w:spacing w:line="160" w:lineRule="exact"/>
                    <w:rPr>
                      <w:rFonts w:cs="Miriam" w:hint="cs"/>
                      <w:noProof/>
                      <w:sz w:val="18"/>
                      <w:szCs w:val="18"/>
                      <w:rtl/>
                    </w:rPr>
                  </w:pPr>
                  <w:r>
                    <w:rPr>
                      <w:rFonts w:cs="Miriam" w:hint="cs"/>
                      <w:sz w:val="18"/>
                      <w:szCs w:val="18"/>
                      <w:rtl/>
                    </w:rPr>
                    <w:t>ביצוע ותקנות ושינוי התוספת</w:t>
                  </w:r>
                </w:p>
              </w:txbxContent>
            </v:textbox>
            <w10:anchorlock/>
          </v:rect>
        </w:pict>
      </w:r>
      <w:r>
        <w:rPr>
          <w:rStyle w:val="big-number"/>
          <w:rFonts w:cs="Miriam" w:hint="cs"/>
          <w:rtl/>
        </w:rPr>
        <w:t>2</w:t>
      </w:r>
      <w:r w:rsidR="005A1BB9">
        <w:rPr>
          <w:rStyle w:val="big-number"/>
          <w:rFonts w:cs="Miriam" w:hint="cs"/>
          <w:rtl/>
        </w:rPr>
        <w:t>5</w:t>
      </w:r>
      <w:r>
        <w:rPr>
          <w:rStyle w:val="big-number"/>
          <w:rFonts w:cs="FrankRuehl"/>
          <w:sz w:val="26"/>
          <w:szCs w:val="26"/>
          <w:rtl/>
        </w:rPr>
        <w:t>.</w:t>
      </w:r>
      <w:r>
        <w:rPr>
          <w:rStyle w:val="big-number"/>
          <w:rFonts w:cs="FrankRuehl"/>
          <w:sz w:val="26"/>
          <w:szCs w:val="26"/>
          <w:rtl/>
        </w:rPr>
        <w:tab/>
      </w:r>
      <w:r w:rsidR="005A1BB9">
        <w:rPr>
          <w:rStyle w:val="default"/>
          <w:rFonts w:cs="FrankRuehl" w:hint="cs"/>
          <w:rtl/>
        </w:rPr>
        <w:t>(א)</w:t>
      </w:r>
      <w:r w:rsidR="005A1BB9">
        <w:rPr>
          <w:rStyle w:val="default"/>
          <w:rFonts w:cs="FrankRuehl"/>
          <w:rtl/>
        </w:rPr>
        <w:tab/>
      </w:r>
      <w:r w:rsidR="005A1BB9">
        <w:rPr>
          <w:rStyle w:val="default"/>
          <w:rFonts w:cs="FrankRuehl" w:hint="cs"/>
          <w:rtl/>
        </w:rPr>
        <w:t>השר ממונה על ביצועו של חוק זה, והוא רשאי להתקין תקנות בכל עניין הנוגע לביצועו.</w:t>
      </w:r>
    </w:p>
    <w:p w14:paraId="4ACEBA90" w14:textId="77777777" w:rsidR="005A1BB9" w:rsidRDefault="005A1BB9" w:rsidP="002343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השר, בהסכמת שר החוץ ושר הביטחון ובאישור ועדת החוץ והביטחון של הכנסת, רשאי, בצו, לשנות את התוספת.</w:t>
      </w:r>
    </w:p>
    <w:p w14:paraId="77D808C4" w14:textId="77777777" w:rsidR="005A1BB9" w:rsidRPr="005A1BB9" w:rsidRDefault="005A1BB9" w:rsidP="005A1BB9">
      <w:pPr>
        <w:pStyle w:val="medium2-header"/>
        <w:keepLines w:val="0"/>
        <w:spacing w:before="72"/>
        <w:ind w:left="0" w:right="1134"/>
        <w:rPr>
          <w:rFonts w:cs="FrankRuehl"/>
          <w:noProof/>
          <w:rtl/>
        </w:rPr>
      </w:pPr>
      <w:bookmarkStart w:id="33" w:name="med8"/>
      <w:bookmarkEnd w:id="33"/>
      <w:r w:rsidRPr="005A1BB9">
        <w:rPr>
          <w:rFonts w:cs="FrankRuehl" w:hint="cs"/>
          <w:noProof/>
          <w:rtl/>
        </w:rPr>
        <w:t>פרק ט': תיקונים עקיפים</w:t>
      </w:r>
    </w:p>
    <w:p w14:paraId="35D53AF8" w14:textId="77777777" w:rsidR="002343A7" w:rsidRDefault="002343A7" w:rsidP="002343A7">
      <w:pPr>
        <w:pStyle w:val="P00"/>
        <w:spacing w:before="72"/>
        <w:ind w:left="0" w:right="1134"/>
        <w:rPr>
          <w:rStyle w:val="default"/>
          <w:rFonts w:cs="FrankRuehl"/>
          <w:rtl/>
        </w:rPr>
      </w:pPr>
      <w:bookmarkStart w:id="34" w:name="Seif26"/>
      <w:bookmarkEnd w:id="34"/>
      <w:r>
        <w:rPr>
          <w:rFonts w:cs="Miriam"/>
          <w:lang w:val="he-IL"/>
        </w:rPr>
        <w:pict w14:anchorId="62A3792A">
          <v:rect id="_x0000_s1572" style="position:absolute;left:0;text-align:left;margin-left:464.35pt;margin-top:7.1pt;width:75.05pt;height:19.65pt;z-index:251669504" o:allowincell="f" filled="f" stroked="f" strokecolor="lime" strokeweight=".25pt">
            <v:textbox style="mso-next-textbox:#_x0000_s1572" inset="0,0,0,0">
              <w:txbxContent>
                <w:p w14:paraId="68B36BF5" w14:textId="77777777" w:rsidR="002343A7" w:rsidRDefault="005A1BB9" w:rsidP="002343A7">
                  <w:pPr>
                    <w:spacing w:line="160" w:lineRule="exact"/>
                    <w:rPr>
                      <w:rFonts w:cs="Miriam" w:hint="cs"/>
                      <w:noProof/>
                      <w:sz w:val="18"/>
                      <w:szCs w:val="18"/>
                      <w:rtl/>
                    </w:rPr>
                  </w:pPr>
                  <w:r>
                    <w:rPr>
                      <w:rFonts w:cs="Miriam" w:hint="cs"/>
                      <w:sz w:val="18"/>
                      <w:szCs w:val="18"/>
                      <w:rtl/>
                    </w:rPr>
                    <w:t xml:space="preserve">תיקון חוק איסור הלבנת הון </w:t>
                  </w:r>
                  <w:r>
                    <w:rPr>
                      <w:rFonts w:cs="Miriam"/>
                      <w:sz w:val="18"/>
                      <w:szCs w:val="18"/>
                      <w:rtl/>
                    </w:rPr>
                    <w:t>–</w:t>
                  </w:r>
                  <w:r>
                    <w:rPr>
                      <w:rFonts w:cs="Miriam" w:hint="cs"/>
                      <w:sz w:val="18"/>
                      <w:szCs w:val="18"/>
                      <w:rtl/>
                    </w:rPr>
                    <w:t xml:space="preserve"> מס' 27</w:t>
                  </w:r>
                </w:p>
              </w:txbxContent>
            </v:textbox>
            <w10:anchorlock/>
          </v:rect>
        </w:pict>
      </w:r>
      <w:r>
        <w:rPr>
          <w:rStyle w:val="big-number"/>
          <w:rFonts w:cs="Miriam" w:hint="cs"/>
          <w:rtl/>
        </w:rPr>
        <w:t>2</w:t>
      </w:r>
      <w:r w:rsidR="005A1BB9">
        <w:rPr>
          <w:rStyle w:val="big-number"/>
          <w:rFonts w:cs="Miriam" w:hint="cs"/>
          <w:rtl/>
        </w:rPr>
        <w:t>6</w:t>
      </w:r>
      <w:r>
        <w:rPr>
          <w:rStyle w:val="big-number"/>
          <w:rFonts w:cs="FrankRuehl"/>
          <w:sz w:val="26"/>
          <w:szCs w:val="26"/>
          <w:rtl/>
        </w:rPr>
        <w:t>.</w:t>
      </w:r>
      <w:r>
        <w:rPr>
          <w:rStyle w:val="big-number"/>
          <w:rFonts w:cs="FrankRuehl"/>
          <w:sz w:val="26"/>
          <w:szCs w:val="26"/>
          <w:rtl/>
        </w:rPr>
        <w:tab/>
      </w:r>
      <w:r w:rsidR="005A1BB9">
        <w:rPr>
          <w:rStyle w:val="default"/>
          <w:rFonts w:cs="FrankRuehl" w:hint="cs"/>
          <w:rtl/>
        </w:rPr>
        <w:t xml:space="preserve">בחוק איסור הלבנת הון, התש"ס-2000 </w:t>
      </w:r>
      <w:r w:rsidR="005A1BB9">
        <w:rPr>
          <w:rStyle w:val="default"/>
          <w:rFonts w:cs="FrankRuehl"/>
          <w:rtl/>
        </w:rPr>
        <w:t>–</w:t>
      </w:r>
    </w:p>
    <w:p w14:paraId="504407FF" w14:textId="77777777" w:rsidR="005A1BB9" w:rsidRDefault="005A1BB9" w:rsidP="005A1BB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30 </w:t>
      </w:r>
      <w:r>
        <w:rPr>
          <w:rStyle w:val="default"/>
          <w:rFonts w:cs="FrankRuehl"/>
          <w:rtl/>
        </w:rPr>
        <w:t>–</w:t>
      </w:r>
    </w:p>
    <w:p w14:paraId="5CF39B8D" w14:textId="77777777" w:rsidR="005A1BB9" w:rsidRDefault="005A1BB9" w:rsidP="005A1BB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קטן (ב)(1), במקום "פקודת המסחר עם האויב" יבוא "פקודת המסחר עם האויב, חוק למניעת הפצה ומימון של נשק להשמדה המונית";</w:t>
      </w:r>
    </w:p>
    <w:p w14:paraId="08A348DE" w14:textId="77777777" w:rsidR="005A1BB9" w:rsidRDefault="005A1BB9" w:rsidP="005A1BB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(ב2)(1), במקום "לפי פקודת המסחר עם האויב" יבוא "לפי פקודת המסחר עם האויב, לפי חוק למניעת הפצה ומימון של נשק להשמדה המונית";</w:t>
      </w:r>
    </w:p>
    <w:p w14:paraId="7B2F1B8D" w14:textId="77777777" w:rsidR="005A1BB9" w:rsidRDefault="005A1BB9" w:rsidP="005A1BB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בסעיפים קטנים (ג) ו-(ג1)(1), בכל מקום, אחרי "מניעת סחר עם האויב," יבוא "מניעת פעילות כלכלית עם גורם מוכרז או עם גורם קשור,";</w:t>
      </w:r>
    </w:p>
    <w:p w14:paraId="5940E52F" w14:textId="77777777" w:rsidR="005A1BB9" w:rsidRDefault="005A1BB9" w:rsidP="005A1BB9">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בסעיפים קטנים (ו), (ז) ו-(ח), בכל מקום, במקום "פקודת המסחר עם האויב" יבוא "פקודת המסחר עם האויב, חוק למניעת הפצה ומימון של נשק להשמדה המונית";</w:t>
      </w:r>
    </w:p>
    <w:p w14:paraId="29A52ABF" w14:textId="77777777" w:rsidR="005A1BB9" w:rsidRDefault="005A1BB9" w:rsidP="005A1BB9">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בסעיף קטן (י), אחרי ההגדרה "חוק המאבק בתכנית הגרעין של איראן" יבוא:</w:t>
      </w:r>
    </w:p>
    <w:p w14:paraId="40659FBA" w14:textId="77777777" w:rsidR="005A1BB9" w:rsidRDefault="005A1BB9" w:rsidP="005A1BB9">
      <w:pPr>
        <w:pStyle w:val="P00"/>
        <w:spacing w:before="72"/>
        <w:ind w:left="1474" w:right="1134"/>
        <w:rPr>
          <w:rStyle w:val="default"/>
          <w:rFonts w:cs="FrankRuehl"/>
          <w:rtl/>
        </w:rPr>
      </w:pPr>
      <w:r>
        <w:rPr>
          <w:rStyle w:val="default"/>
          <w:rFonts w:cs="FrankRuehl" w:hint="cs"/>
          <w:rtl/>
        </w:rPr>
        <w:t xml:space="preserve">""גורם מוכרז" ו"גורם קשור" </w:t>
      </w:r>
      <w:r>
        <w:rPr>
          <w:rStyle w:val="default"/>
          <w:rFonts w:cs="FrankRuehl"/>
          <w:rtl/>
        </w:rPr>
        <w:t>–</w:t>
      </w:r>
      <w:r>
        <w:rPr>
          <w:rStyle w:val="default"/>
          <w:rFonts w:cs="FrankRuehl" w:hint="cs"/>
          <w:rtl/>
        </w:rPr>
        <w:t xml:space="preserve"> כהגדרתם בחוק למניעת הפצה ומימון של נשק להשמדה המונית;</w:t>
      </w:r>
    </w:p>
    <w:p w14:paraId="15AD8135" w14:textId="77777777" w:rsidR="005A1BB9" w:rsidRDefault="005A1BB9" w:rsidP="005A1BB9">
      <w:pPr>
        <w:pStyle w:val="P00"/>
        <w:spacing w:before="72"/>
        <w:ind w:left="1474" w:right="1134"/>
        <w:rPr>
          <w:rStyle w:val="default"/>
          <w:rFonts w:cs="FrankRuehl"/>
          <w:rtl/>
        </w:rPr>
      </w:pPr>
      <w:r>
        <w:rPr>
          <w:rStyle w:val="default"/>
          <w:rFonts w:cs="FrankRuehl" w:hint="cs"/>
          <w:rtl/>
        </w:rPr>
        <w:t xml:space="preserve">"חוק למניעת הפצה ומימון של נשק להשמדה המונית" </w:t>
      </w:r>
      <w:r>
        <w:rPr>
          <w:rStyle w:val="default"/>
          <w:rFonts w:cs="FrankRuehl"/>
          <w:rtl/>
        </w:rPr>
        <w:t>–</w:t>
      </w:r>
      <w:r>
        <w:rPr>
          <w:rStyle w:val="default"/>
          <w:rFonts w:cs="FrankRuehl" w:hint="cs"/>
          <w:rtl/>
        </w:rPr>
        <w:t xml:space="preserve"> חוק למניעת הפצה ומימון של נשק להשמדה המונית, התשע"ח-2018;";</w:t>
      </w:r>
    </w:p>
    <w:p w14:paraId="3C42918A" w14:textId="77777777" w:rsidR="005A1BB9" w:rsidRDefault="005A1BB9" w:rsidP="005A1BB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בתוספת הראשונה, אחרי פרט (18ז) יבוא:</w:t>
      </w:r>
    </w:p>
    <w:p w14:paraId="60D63951" w14:textId="77777777" w:rsidR="005A1BB9" w:rsidRDefault="005A1BB9" w:rsidP="005A1BB9">
      <w:pPr>
        <w:pStyle w:val="P00"/>
        <w:spacing w:before="72"/>
        <w:ind w:left="1021" w:right="1134"/>
        <w:rPr>
          <w:rStyle w:val="default"/>
          <w:rFonts w:cs="FrankRuehl"/>
          <w:rtl/>
        </w:rPr>
      </w:pPr>
      <w:r>
        <w:rPr>
          <w:rStyle w:val="default"/>
          <w:rFonts w:cs="FrankRuehl" w:hint="cs"/>
          <w:rtl/>
        </w:rPr>
        <w:t>"(18ח) עבירות לפי סעיפים 13 ו-14 לחוק למניעת הפצה ומימון של נשק להשמדה המונית, התשע"ח-2018;".</w:t>
      </w:r>
    </w:p>
    <w:p w14:paraId="1561BEA2" w14:textId="77777777" w:rsidR="002343A7" w:rsidRDefault="002343A7" w:rsidP="002343A7">
      <w:pPr>
        <w:pStyle w:val="P00"/>
        <w:spacing w:before="72"/>
        <w:ind w:left="0" w:right="1134"/>
        <w:rPr>
          <w:rStyle w:val="default"/>
          <w:rFonts w:cs="FrankRuehl"/>
          <w:rtl/>
        </w:rPr>
      </w:pPr>
      <w:bookmarkStart w:id="35" w:name="Seif27"/>
      <w:bookmarkEnd w:id="35"/>
      <w:r>
        <w:rPr>
          <w:rFonts w:cs="Miriam"/>
          <w:lang w:val="he-IL"/>
        </w:rPr>
        <w:pict w14:anchorId="346C3AC4">
          <v:rect id="_x0000_s1573" style="position:absolute;left:0;text-align:left;margin-left:464.35pt;margin-top:7.1pt;width:75.05pt;height:25.8pt;z-index:251670528" o:allowincell="f" filled="f" stroked="f" strokecolor="lime" strokeweight=".25pt">
            <v:textbox style="mso-next-textbox:#_x0000_s1573" inset="0,0,0,0">
              <w:txbxContent>
                <w:p w14:paraId="5B96F329" w14:textId="77777777" w:rsidR="002343A7" w:rsidRDefault="00E561CC" w:rsidP="002343A7">
                  <w:pPr>
                    <w:spacing w:line="160" w:lineRule="exact"/>
                    <w:rPr>
                      <w:rFonts w:cs="Miriam" w:hint="cs"/>
                      <w:noProof/>
                      <w:sz w:val="18"/>
                      <w:szCs w:val="18"/>
                      <w:rtl/>
                    </w:rPr>
                  </w:pPr>
                  <w:r>
                    <w:rPr>
                      <w:rFonts w:cs="Miriam" w:hint="cs"/>
                      <w:sz w:val="18"/>
                      <w:szCs w:val="18"/>
                      <w:rtl/>
                    </w:rPr>
                    <w:t>תיקון חוק המאבק בתכנית הגרעין של איראן</w:t>
                  </w:r>
                </w:p>
              </w:txbxContent>
            </v:textbox>
            <w10:anchorlock/>
          </v:rect>
        </w:pict>
      </w:r>
      <w:r>
        <w:rPr>
          <w:rStyle w:val="big-number"/>
          <w:rFonts w:cs="Miriam" w:hint="cs"/>
          <w:rtl/>
        </w:rPr>
        <w:t>2</w:t>
      </w:r>
      <w:r w:rsidR="005A1BB9">
        <w:rPr>
          <w:rStyle w:val="big-number"/>
          <w:rFonts w:cs="Miriam" w:hint="cs"/>
          <w:rtl/>
        </w:rPr>
        <w:t>7</w:t>
      </w:r>
      <w:r>
        <w:rPr>
          <w:rStyle w:val="big-number"/>
          <w:rFonts w:cs="FrankRuehl"/>
          <w:sz w:val="26"/>
          <w:szCs w:val="26"/>
          <w:rtl/>
        </w:rPr>
        <w:t>.</w:t>
      </w:r>
      <w:r>
        <w:rPr>
          <w:rStyle w:val="big-number"/>
          <w:rFonts w:cs="FrankRuehl"/>
          <w:sz w:val="26"/>
          <w:szCs w:val="26"/>
          <w:rtl/>
        </w:rPr>
        <w:tab/>
      </w:r>
      <w:r w:rsidR="00E561CC">
        <w:rPr>
          <w:rStyle w:val="default"/>
          <w:rFonts w:cs="FrankRuehl" w:hint="cs"/>
          <w:rtl/>
        </w:rPr>
        <w:t xml:space="preserve">בחוק המאבק בתכנית הגרעין של איראן, התשע"ב-2012 </w:t>
      </w:r>
      <w:r w:rsidR="00E561CC">
        <w:rPr>
          <w:rStyle w:val="default"/>
          <w:rFonts w:cs="FrankRuehl"/>
          <w:rtl/>
        </w:rPr>
        <w:t>–</w:t>
      </w:r>
    </w:p>
    <w:p w14:paraId="61DAF709" w14:textId="77777777" w:rsidR="00E561CC" w:rsidRDefault="00E561CC" w:rsidP="004F2B40">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4F2B40">
        <w:rPr>
          <w:rStyle w:val="default"/>
          <w:rFonts w:cs="FrankRuehl" w:hint="cs"/>
          <w:rtl/>
        </w:rPr>
        <w:t xml:space="preserve">בסעיף 2 </w:t>
      </w:r>
      <w:r w:rsidR="004F2B40">
        <w:rPr>
          <w:rStyle w:val="default"/>
          <w:rFonts w:cs="FrankRuehl"/>
          <w:rtl/>
        </w:rPr>
        <w:t>–</w:t>
      </w:r>
    </w:p>
    <w:p w14:paraId="2843F83A" w14:textId="77777777" w:rsidR="004F2B40" w:rsidRDefault="004F2B40" w:rsidP="004F2B4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ההגדרה "חוק איסור מימון טרור" </w:t>
      </w:r>
      <w:r>
        <w:rPr>
          <w:rStyle w:val="default"/>
          <w:rFonts w:cs="FrankRuehl"/>
          <w:rtl/>
        </w:rPr>
        <w:t>–</w:t>
      </w:r>
      <w:r>
        <w:rPr>
          <w:rStyle w:val="default"/>
          <w:rFonts w:cs="FrankRuehl" w:hint="cs"/>
          <w:rtl/>
        </w:rPr>
        <w:t xml:space="preserve"> תימחק;</w:t>
      </w:r>
    </w:p>
    <w:p w14:paraId="52968862" w14:textId="77777777" w:rsidR="004F2B40" w:rsidRDefault="004F2B40" w:rsidP="004F2B4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בהגדרה "פעילות כלכלית", במקום "או הקניה" יבוא "הקניה" ובסופה יבוא "או מתן זכות כלכלית לפי דין";</w:t>
      </w:r>
    </w:p>
    <w:p w14:paraId="73FB0418" w14:textId="77777777" w:rsidR="004F2B40" w:rsidRDefault="004F2B40" w:rsidP="004F2B4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בסעיף 3 </w:t>
      </w:r>
      <w:r>
        <w:rPr>
          <w:rStyle w:val="default"/>
          <w:rFonts w:cs="FrankRuehl"/>
          <w:rtl/>
        </w:rPr>
        <w:t>–</w:t>
      </w:r>
    </w:p>
    <w:p w14:paraId="7FD90D84" w14:textId="77777777" w:rsidR="004F2B40" w:rsidRDefault="004F2B40" w:rsidP="004F2B4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w:t>
      </w:r>
      <w:r>
        <w:rPr>
          <w:rStyle w:val="default"/>
          <w:rFonts w:cs="FrankRuehl"/>
          <w:rtl/>
        </w:rPr>
        <w:t>–</w:t>
      </w:r>
    </w:p>
    <w:p w14:paraId="44E88A72" w14:textId="77777777" w:rsidR="004F2B40" w:rsidRDefault="004F2B40" w:rsidP="004F2B40">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"בהתקיים כל אחד מאלה" יבוא "אם נוכחה, לאחר שהובאה לפניה עמדת מטה הסנקציות, כי הגורם הזר נותן סיוע כאמור";</w:t>
      </w:r>
    </w:p>
    <w:p w14:paraId="28141D3E" w14:textId="77777777" w:rsidR="004F2B40" w:rsidRDefault="004F2B40" w:rsidP="004F2B40">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פסקאות (1) עד (3) </w:t>
      </w:r>
      <w:r>
        <w:rPr>
          <w:rStyle w:val="default"/>
          <w:rFonts w:cs="FrankRuehl"/>
          <w:rtl/>
        </w:rPr>
        <w:t>–</w:t>
      </w:r>
      <w:r>
        <w:rPr>
          <w:rStyle w:val="default"/>
          <w:rFonts w:cs="FrankRuehl" w:hint="cs"/>
          <w:rtl/>
        </w:rPr>
        <w:t xml:space="preserve"> יימחקו;</w:t>
      </w:r>
    </w:p>
    <w:p w14:paraId="26B2A798" w14:textId="77777777" w:rsidR="004F2B40" w:rsidRDefault="004F2B40" w:rsidP="004F2B4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בסעיף קטן (ב), במקום הסיפה החל במילים "תנאי מהתנאים" יבוא "האמור בסעיף קטן (א)";</w:t>
      </w:r>
    </w:p>
    <w:p w14:paraId="2ED4446B" w14:textId="77777777" w:rsidR="004F2B40" w:rsidRDefault="004F2B40" w:rsidP="004F2B4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(ג), במקום "תנאי מהתנאים המנויים בפסקאות (1) עד (3) של אותו סעיף קטן" יבוא "האמור באותו סעיף קטן";</w:t>
      </w:r>
    </w:p>
    <w:p w14:paraId="20517A51" w14:textId="77777777" w:rsidR="004F2B40" w:rsidRDefault="004F2B40" w:rsidP="004F2B4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9 </w:t>
      </w:r>
      <w:r>
        <w:rPr>
          <w:rStyle w:val="default"/>
          <w:rFonts w:cs="FrankRuehl"/>
          <w:rtl/>
        </w:rPr>
        <w:t>–</w:t>
      </w:r>
    </w:p>
    <w:p w14:paraId="70CE26CD" w14:textId="77777777" w:rsidR="004F2B40" w:rsidRDefault="004F2B40" w:rsidP="004F2B4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w:t>
      </w:r>
      <w:r>
        <w:rPr>
          <w:rStyle w:val="default"/>
          <w:rFonts w:cs="FrankRuehl"/>
          <w:rtl/>
        </w:rPr>
        <w:t>–</w:t>
      </w:r>
    </w:p>
    <w:p w14:paraId="2FB37B36" w14:textId="77777777" w:rsidR="004F2B40" w:rsidRDefault="004F2B40" w:rsidP="004F2B40">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"בהתקיים כל אחד מאלה" יבוא "אם נוכחה, לאחר שהובאה לפניה עמדת מטה הסנקציות, כי הגורם הזר מקיים קשר עסקי מהותי עם איראן";</w:t>
      </w:r>
    </w:p>
    <w:p w14:paraId="138AA076" w14:textId="77777777" w:rsidR="004F2B40" w:rsidRDefault="004F2B40" w:rsidP="004F2B40">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פסקאות (1) עד (3) </w:t>
      </w:r>
      <w:r>
        <w:rPr>
          <w:rStyle w:val="default"/>
          <w:rFonts w:cs="FrankRuehl"/>
          <w:rtl/>
        </w:rPr>
        <w:t>–</w:t>
      </w:r>
      <w:r>
        <w:rPr>
          <w:rStyle w:val="default"/>
          <w:rFonts w:cs="FrankRuehl" w:hint="cs"/>
          <w:rtl/>
        </w:rPr>
        <w:t xml:space="preserve"> יימחקו;</w:t>
      </w:r>
    </w:p>
    <w:p w14:paraId="483A7A2D" w14:textId="77777777" w:rsidR="004F2B40" w:rsidRDefault="004F2B40" w:rsidP="004F2B4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סעיף קטן (ב) </w:t>
      </w:r>
      <w:r>
        <w:rPr>
          <w:rStyle w:val="default"/>
          <w:rFonts w:cs="FrankRuehl"/>
          <w:rtl/>
        </w:rPr>
        <w:t>–</w:t>
      </w:r>
      <w:r>
        <w:rPr>
          <w:rStyle w:val="default"/>
          <w:rFonts w:cs="FrankRuehl" w:hint="cs"/>
          <w:rtl/>
        </w:rPr>
        <w:t xml:space="preserve"> בטל;</w:t>
      </w:r>
    </w:p>
    <w:p w14:paraId="066DE9BE" w14:textId="77777777" w:rsidR="004F2B40" w:rsidRDefault="004F2B40" w:rsidP="004F2B4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(ג), במקום הסיפה החל במילים "תנאי מהתנאים" יבוא "האמור בסעיף קטן (א)";</w:t>
      </w:r>
    </w:p>
    <w:p w14:paraId="41ACC5E3" w14:textId="77777777" w:rsidR="004F2B40" w:rsidRDefault="004F2B40" w:rsidP="004F2B40">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בסעיף קטן (ד), במקום "תנאי מהתנאים המנויים בפסקאות (1) עד (3) של סעיף קטן (א)" יבוא "האמור באותו סעיף קטן";</w:t>
      </w:r>
    </w:p>
    <w:p w14:paraId="1C306138" w14:textId="77777777" w:rsidR="004F2B40" w:rsidRDefault="004F2B40" w:rsidP="004F2B40">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6111EC">
        <w:rPr>
          <w:rStyle w:val="default"/>
          <w:rFonts w:cs="FrankRuehl" w:hint="cs"/>
          <w:rtl/>
        </w:rPr>
        <w:t xml:space="preserve">בסעיף 18(א), הקטע החל במילים "ובכלל זה" עד המילים "הכריזה ועדת השרים" </w:t>
      </w:r>
      <w:r w:rsidR="006111EC">
        <w:rPr>
          <w:rStyle w:val="default"/>
          <w:rFonts w:cs="FrankRuehl"/>
          <w:rtl/>
        </w:rPr>
        <w:t>–</w:t>
      </w:r>
      <w:r w:rsidR="006111EC">
        <w:rPr>
          <w:rStyle w:val="default"/>
          <w:rFonts w:cs="FrankRuehl" w:hint="cs"/>
          <w:rtl/>
        </w:rPr>
        <w:t xml:space="preserve"> יימחק;</w:t>
      </w:r>
    </w:p>
    <w:p w14:paraId="070E6D53" w14:textId="77777777" w:rsidR="006111EC" w:rsidRDefault="006111EC" w:rsidP="004F2B4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סעיף 36 </w:t>
      </w:r>
      <w:r>
        <w:rPr>
          <w:rStyle w:val="default"/>
          <w:rFonts w:cs="FrankRuehl"/>
          <w:rtl/>
        </w:rPr>
        <w:t>–</w:t>
      </w:r>
      <w:r>
        <w:rPr>
          <w:rStyle w:val="default"/>
          <w:rFonts w:cs="FrankRuehl" w:hint="cs"/>
          <w:rtl/>
        </w:rPr>
        <w:t xml:space="preserve"> בטל;</w:t>
      </w:r>
    </w:p>
    <w:p w14:paraId="4F84C3AC" w14:textId="77777777" w:rsidR="006111EC" w:rsidRDefault="006111EC" w:rsidP="004F2B40">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התוספת </w:t>
      </w:r>
      <w:r>
        <w:rPr>
          <w:rStyle w:val="default"/>
          <w:rFonts w:cs="FrankRuehl"/>
          <w:rtl/>
        </w:rPr>
        <w:t>–</w:t>
      </w:r>
      <w:r>
        <w:rPr>
          <w:rStyle w:val="default"/>
          <w:rFonts w:cs="FrankRuehl" w:hint="cs"/>
          <w:rtl/>
        </w:rPr>
        <w:t xml:space="preserve"> תימחק.</w:t>
      </w:r>
    </w:p>
    <w:p w14:paraId="33537201" w14:textId="77777777" w:rsidR="006111EC" w:rsidRPr="006111EC" w:rsidRDefault="006111EC" w:rsidP="006111EC">
      <w:pPr>
        <w:pStyle w:val="medium2-header"/>
        <w:keepLines w:val="0"/>
        <w:spacing w:before="72"/>
        <w:ind w:left="0" w:right="1134"/>
        <w:rPr>
          <w:rFonts w:cs="FrankRuehl"/>
          <w:noProof/>
          <w:rtl/>
        </w:rPr>
      </w:pPr>
      <w:bookmarkStart w:id="36" w:name="med9"/>
      <w:bookmarkEnd w:id="36"/>
      <w:r w:rsidRPr="006111EC">
        <w:rPr>
          <w:rFonts w:cs="FrankRuehl" w:hint="cs"/>
          <w:noProof/>
          <w:rtl/>
        </w:rPr>
        <w:t>פרק י': הוראת מעבר</w:t>
      </w:r>
    </w:p>
    <w:p w14:paraId="23496602" w14:textId="77777777" w:rsidR="002343A7" w:rsidRDefault="002343A7" w:rsidP="002343A7">
      <w:pPr>
        <w:pStyle w:val="P00"/>
        <w:spacing w:before="72"/>
        <w:ind w:left="0" w:right="1134"/>
        <w:rPr>
          <w:rStyle w:val="default"/>
          <w:rFonts w:cs="FrankRuehl"/>
          <w:rtl/>
        </w:rPr>
      </w:pPr>
      <w:bookmarkStart w:id="37" w:name="Seif28"/>
      <w:bookmarkEnd w:id="37"/>
      <w:r>
        <w:rPr>
          <w:rFonts w:cs="Miriam"/>
          <w:lang w:val="he-IL"/>
        </w:rPr>
        <w:pict w14:anchorId="37174A5E">
          <v:rect id="_x0000_s1574" style="position:absolute;left:0;text-align:left;margin-left:464.35pt;margin-top:7.1pt;width:75.05pt;height:12pt;z-index:251671552" o:allowincell="f" filled="f" stroked="f" strokecolor="lime" strokeweight=".25pt">
            <v:textbox style="mso-next-textbox:#_x0000_s1574" inset="0,0,0,0">
              <w:txbxContent>
                <w:p w14:paraId="6B75660B" w14:textId="77777777" w:rsidR="002343A7" w:rsidRDefault="002343A7" w:rsidP="002343A7">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2</w:t>
      </w:r>
      <w:r w:rsidR="006111EC">
        <w:rPr>
          <w:rStyle w:val="big-number"/>
          <w:rFonts w:cs="Miriam" w:hint="cs"/>
          <w:rtl/>
        </w:rPr>
        <w:t>8</w:t>
      </w:r>
      <w:r>
        <w:rPr>
          <w:rStyle w:val="big-number"/>
          <w:rFonts w:cs="FrankRuehl"/>
          <w:sz w:val="26"/>
          <w:szCs w:val="26"/>
          <w:rtl/>
        </w:rPr>
        <w:t>.</w:t>
      </w:r>
      <w:r>
        <w:rPr>
          <w:rStyle w:val="big-number"/>
          <w:rFonts w:cs="FrankRuehl"/>
          <w:sz w:val="26"/>
          <w:szCs w:val="26"/>
          <w:rtl/>
        </w:rPr>
        <w:tab/>
      </w:r>
      <w:r w:rsidR="006111EC">
        <w:rPr>
          <w:rStyle w:val="default"/>
          <w:rFonts w:cs="FrankRuehl" w:hint="cs"/>
          <w:rtl/>
        </w:rPr>
        <w:t xml:space="preserve">הכריזה מועצת הביטחון או מי שהיא הסמיכה לכך, לפני יום תחילתו של חוק זה (בסעיף זה </w:t>
      </w:r>
      <w:r w:rsidR="006111EC">
        <w:rPr>
          <w:rStyle w:val="default"/>
          <w:rFonts w:cs="FrankRuehl"/>
          <w:rtl/>
        </w:rPr>
        <w:t>–</w:t>
      </w:r>
      <w:r w:rsidR="006111EC">
        <w:rPr>
          <w:rStyle w:val="default"/>
          <w:rFonts w:cs="FrankRuehl" w:hint="cs"/>
          <w:rtl/>
        </w:rPr>
        <w:t xml:space="preserve"> יום התחילה), כי גורם זר הוא גורם המסייע למדינת חוץ או לארגון הפועל במדינת חוץ בהפצה ובמימון של נשק להשמדה המונית, יראו את אותו גורם, מטעמים הנוגעים ליחסי החוץ של מדינת ישראל, כאילו הוכרז עליו, ביום התחילה, כאמור בסעיף 3(א)(1), והמועדים האמורים בסעיף 3 יימנו החל מיום התחילה.</w:t>
      </w:r>
    </w:p>
    <w:p w14:paraId="51DB25CE" w14:textId="77777777" w:rsidR="007636B5" w:rsidRDefault="007636B5">
      <w:pPr>
        <w:pStyle w:val="P00"/>
        <w:spacing w:before="72"/>
        <w:ind w:left="0" w:right="1134"/>
        <w:rPr>
          <w:rStyle w:val="default"/>
          <w:rFonts w:cs="FrankRuehl"/>
          <w:rtl/>
        </w:rPr>
      </w:pPr>
    </w:p>
    <w:p w14:paraId="5F4629D3" w14:textId="77777777" w:rsidR="002343A7" w:rsidRPr="006111EC" w:rsidRDefault="006111EC" w:rsidP="006111EC">
      <w:pPr>
        <w:pStyle w:val="medium2-header"/>
        <w:keepLines w:val="0"/>
        <w:spacing w:before="72"/>
        <w:ind w:left="0" w:right="1134"/>
        <w:rPr>
          <w:rFonts w:cs="FrankRuehl"/>
          <w:noProof/>
          <w:rtl/>
        </w:rPr>
      </w:pPr>
      <w:bookmarkStart w:id="38" w:name="med10"/>
      <w:bookmarkEnd w:id="38"/>
      <w:r w:rsidRPr="006111EC">
        <w:rPr>
          <w:rFonts w:cs="FrankRuehl" w:hint="cs"/>
          <w:noProof/>
          <w:rtl/>
        </w:rPr>
        <w:t>תוספת</w:t>
      </w:r>
    </w:p>
    <w:p w14:paraId="21BF6343" w14:textId="77777777" w:rsidR="002343A7" w:rsidRPr="006111EC" w:rsidRDefault="006111EC" w:rsidP="006111EC">
      <w:pPr>
        <w:pStyle w:val="P00"/>
        <w:spacing w:before="72"/>
        <w:ind w:left="0" w:right="1134"/>
        <w:jc w:val="center"/>
        <w:rPr>
          <w:rStyle w:val="default"/>
          <w:rFonts w:cs="FrankRuehl"/>
          <w:sz w:val="24"/>
          <w:szCs w:val="24"/>
          <w:rtl/>
        </w:rPr>
      </w:pPr>
      <w:r w:rsidRPr="006111EC">
        <w:rPr>
          <w:rStyle w:val="default"/>
          <w:rFonts w:cs="FrankRuehl" w:hint="cs"/>
          <w:sz w:val="24"/>
          <w:szCs w:val="24"/>
          <w:rtl/>
        </w:rPr>
        <w:t>(ההגדרה "מדינת חוץ")</w:t>
      </w:r>
    </w:p>
    <w:p w14:paraId="464FD27D" w14:textId="77777777" w:rsidR="002343A7" w:rsidRDefault="006111EC">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הרפובליקה האיסלאמית של איראן;</w:t>
      </w:r>
    </w:p>
    <w:p w14:paraId="7F4AD462" w14:textId="77777777" w:rsidR="006111EC" w:rsidRDefault="006111EC">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הרפובליקה הדמוקרטית העממית של קוריאה.</w:t>
      </w:r>
    </w:p>
    <w:p w14:paraId="74C29EAC" w14:textId="77777777" w:rsidR="00577A69" w:rsidRDefault="00577A69">
      <w:pPr>
        <w:pStyle w:val="P00"/>
        <w:spacing w:before="72"/>
        <w:ind w:left="0" w:right="1134"/>
        <w:rPr>
          <w:rStyle w:val="default"/>
          <w:rFonts w:cs="FrankRuehl"/>
          <w:rtl/>
        </w:rPr>
      </w:pPr>
    </w:p>
    <w:p w14:paraId="694E1C0D" w14:textId="77777777" w:rsidR="006111EC" w:rsidRDefault="006111EC">
      <w:pPr>
        <w:pStyle w:val="P00"/>
        <w:spacing w:before="72"/>
        <w:ind w:left="0" w:right="1134"/>
        <w:rPr>
          <w:rStyle w:val="default"/>
          <w:rFonts w:cs="FrankRuehl" w:hint="cs"/>
          <w:rtl/>
        </w:rPr>
      </w:pPr>
    </w:p>
    <w:p w14:paraId="74970A64" w14:textId="77777777" w:rsidR="00577A69" w:rsidRDefault="00577A69" w:rsidP="006111E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r>
      <w:r w:rsidR="006111EC">
        <w:rPr>
          <w:rFonts w:cs="FrankRuehl" w:hint="cs"/>
          <w:sz w:val="26"/>
          <w:rtl/>
        </w:rPr>
        <w:t>בנימין נתניהו</w:t>
      </w:r>
      <w:r w:rsidR="006111EC">
        <w:rPr>
          <w:rFonts w:cs="FrankRuehl"/>
          <w:sz w:val="26"/>
          <w:rtl/>
        </w:rPr>
        <w:tab/>
      </w:r>
      <w:r w:rsidR="006111EC">
        <w:rPr>
          <w:rFonts w:cs="FrankRuehl"/>
          <w:sz w:val="26"/>
          <w:rtl/>
        </w:rPr>
        <w:tab/>
      </w:r>
      <w:r w:rsidR="006111EC">
        <w:rPr>
          <w:rFonts w:cs="FrankRuehl" w:hint="cs"/>
          <w:sz w:val="26"/>
          <w:rtl/>
        </w:rPr>
        <w:t>משה כחלון</w:t>
      </w:r>
    </w:p>
    <w:p w14:paraId="61769F34" w14:textId="77777777" w:rsidR="00577A69" w:rsidRDefault="00577A69" w:rsidP="006111EC">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sidR="006111EC">
        <w:rPr>
          <w:rFonts w:cs="FrankRuehl"/>
          <w:sz w:val="22"/>
          <w:szCs w:val="22"/>
          <w:rtl/>
        </w:rPr>
        <w:tab/>
      </w:r>
      <w:r w:rsidR="006111EC">
        <w:rPr>
          <w:rFonts w:cs="FrankRuehl"/>
          <w:sz w:val="22"/>
          <w:szCs w:val="22"/>
          <w:rtl/>
        </w:rPr>
        <w:tab/>
      </w:r>
      <w:r w:rsidR="006111EC">
        <w:rPr>
          <w:rFonts w:cs="FrankRuehl" w:hint="cs"/>
          <w:sz w:val="22"/>
          <w:szCs w:val="22"/>
          <w:rtl/>
        </w:rPr>
        <w:t>שר האוצר</w:t>
      </w:r>
    </w:p>
    <w:p w14:paraId="1EC677EB" w14:textId="77777777" w:rsidR="00D228E0" w:rsidRDefault="00577A69" w:rsidP="006111E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6111EC">
        <w:rPr>
          <w:rFonts w:cs="FrankRuehl" w:hint="cs"/>
          <w:sz w:val="26"/>
          <w:rtl/>
        </w:rPr>
        <w:t>ראובן ריבלין</w:t>
      </w:r>
      <w:r>
        <w:rPr>
          <w:rFonts w:cs="FrankRuehl" w:hint="cs"/>
          <w:sz w:val="26"/>
          <w:rtl/>
        </w:rPr>
        <w:tab/>
      </w:r>
      <w:r>
        <w:rPr>
          <w:rFonts w:cs="FrankRuehl" w:hint="cs"/>
          <w:sz w:val="26"/>
          <w:rtl/>
        </w:rPr>
        <w:tab/>
      </w:r>
      <w:r w:rsidR="006111EC">
        <w:rPr>
          <w:rFonts w:cs="FrankRuehl" w:hint="cs"/>
          <w:sz w:val="26"/>
          <w:rtl/>
        </w:rPr>
        <w:t>יולי יואל אדלשטיין</w:t>
      </w:r>
    </w:p>
    <w:p w14:paraId="3EF326AC" w14:textId="77777777" w:rsidR="00D228E0" w:rsidRDefault="00D228E0" w:rsidP="006111EC">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577A69">
        <w:rPr>
          <w:rFonts w:cs="FrankRuehl" w:hint="cs"/>
          <w:sz w:val="22"/>
          <w:szCs w:val="22"/>
          <w:rtl/>
        </w:rPr>
        <w:t>נשיא המדינה</w:t>
      </w:r>
      <w:r w:rsidR="00577A69">
        <w:rPr>
          <w:rFonts w:cs="FrankRuehl" w:hint="cs"/>
          <w:sz w:val="22"/>
          <w:szCs w:val="22"/>
          <w:rtl/>
        </w:rPr>
        <w:tab/>
      </w:r>
      <w:r w:rsidR="00577A69">
        <w:rPr>
          <w:rFonts w:cs="FrankRuehl" w:hint="cs"/>
          <w:sz w:val="22"/>
          <w:szCs w:val="22"/>
          <w:rtl/>
        </w:rPr>
        <w:tab/>
        <w:t>יושב ראש הכנסת</w:t>
      </w:r>
    </w:p>
    <w:p w14:paraId="111F6616" w14:textId="77777777" w:rsidR="002343A7" w:rsidRDefault="002343A7">
      <w:pPr>
        <w:pStyle w:val="P00"/>
        <w:spacing w:before="72"/>
        <w:ind w:left="0" w:right="1134"/>
        <w:rPr>
          <w:rStyle w:val="default"/>
          <w:rFonts w:cs="FrankRuehl" w:hint="cs"/>
          <w:rtl/>
        </w:rPr>
      </w:pPr>
    </w:p>
    <w:p w14:paraId="7C9C060C" w14:textId="77777777" w:rsidR="00B808FF" w:rsidRDefault="00B808FF">
      <w:pPr>
        <w:pStyle w:val="P00"/>
        <w:spacing w:before="72"/>
        <w:ind w:left="0" w:right="1134"/>
        <w:rPr>
          <w:rStyle w:val="default"/>
          <w:rFonts w:cs="FrankRuehl" w:hint="cs"/>
          <w:rtl/>
        </w:rPr>
      </w:pPr>
    </w:p>
    <w:p w14:paraId="08A0F313" w14:textId="77777777" w:rsidR="00EB35E7" w:rsidRDefault="00EB35E7">
      <w:pPr>
        <w:pStyle w:val="P00"/>
        <w:spacing w:before="72"/>
        <w:ind w:left="0" w:right="1134"/>
        <w:rPr>
          <w:rStyle w:val="default"/>
          <w:rFonts w:cs="FrankRuehl"/>
          <w:rtl/>
        </w:rPr>
      </w:pPr>
    </w:p>
    <w:p w14:paraId="2199C4FE" w14:textId="77777777" w:rsidR="00EB35E7" w:rsidRDefault="00EB35E7">
      <w:pPr>
        <w:pStyle w:val="P00"/>
        <w:spacing w:before="72"/>
        <w:ind w:left="0" w:right="1134"/>
        <w:rPr>
          <w:rStyle w:val="default"/>
          <w:rFonts w:cs="FrankRuehl"/>
          <w:rtl/>
        </w:rPr>
      </w:pPr>
    </w:p>
    <w:p w14:paraId="23271ABE" w14:textId="77777777" w:rsidR="00EB35E7" w:rsidRDefault="00EB35E7" w:rsidP="00EB35E7">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2E39B607" w14:textId="77777777" w:rsidR="00FC4233" w:rsidRPr="00EB35E7" w:rsidRDefault="00FC4233" w:rsidP="00EB35E7">
      <w:pPr>
        <w:pStyle w:val="P00"/>
        <w:spacing w:before="72"/>
        <w:ind w:left="0" w:right="1134"/>
        <w:jc w:val="center"/>
        <w:rPr>
          <w:rStyle w:val="default"/>
          <w:rFonts w:cs="David" w:hint="cs"/>
          <w:color w:val="0000FF"/>
          <w:szCs w:val="24"/>
          <w:u w:val="single"/>
          <w:rtl/>
        </w:rPr>
      </w:pPr>
    </w:p>
    <w:sectPr w:rsidR="00FC4233" w:rsidRPr="00EB35E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2808" w14:textId="77777777" w:rsidR="005F5889" w:rsidRDefault="005F5889">
      <w:r>
        <w:separator/>
      </w:r>
    </w:p>
  </w:endnote>
  <w:endnote w:type="continuationSeparator" w:id="0">
    <w:p w14:paraId="33F4A600" w14:textId="77777777" w:rsidR="005F5889" w:rsidRDefault="005F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1345" w14:textId="77777777" w:rsidR="004A1FAB" w:rsidRDefault="004A1F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A23E81A" w14:textId="77777777" w:rsidR="004A1FAB" w:rsidRDefault="004A1F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8C0377" w14:textId="77777777" w:rsidR="004A1FAB" w:rsidRDefault="004A1F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2A32">
      <w:rPr>
        <w:rFonts w:cs="TopType Jerushalmi"/>
        <w:noProof/>
        <w:color w:val="000000"/>
        <w:sz w:val="14"/>
        <w:szCs w:val="14"/>
      </w:rPr>
      <w:t>Z:\000000000000-law\yael\08-08-12a\tav\999_987.doc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11C4" w14:textId="77777777" w:rsidR="004A1FAB" w:rsidRDefault="004A1FA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35E7">
      <w:rPr>
        <w:rFonts w:hAnsi="FrankRuehl" w:cs="FrankRuehl"/>
        <w:noProof/>
        <w:sz w:val="24"/>
        <w:szCs w:val="24"/>
        <w:rtl/>
      </w:rPr>
      <w:t>10</w:t>
    </w:r>
    <w:r>
      <w:rPr>
        <w:rFonts w:hAnsi="FrankRuehl" w:cs="FrankRuehl"/>
        <w:sz w:val="24"/>
        <w:szCs w:val="24"/>
        <w:rtl/>
      </w:rPr>
      <w:fldChar w:fldCharType="end"/>
    </w:r>
  </w:p>
  <w:p w14:paraId="39916DB0" w14:textId="77777777" w:rsidR="004A1FAB" w:rsidRDefault="004A1FA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29B87B" w14:textId="77777777" w:rsidR="004A1FAB" w:rsidRDefault="004A1FA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2A32">
      <w:rPr>
        <w:rFonts w:cs="TopType Jerushalmi"/>
        <w:noProof/>
        <w:color w:val="000000"/>
        <w:sz w:val="14"/>
        <w:szCs w:val="14"/>
      </w:rPr>
      <w:t>Z:\000000000000-law\yael\08-08-12a\tav\999_987.doc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D7D6" w14:textId="77777777" w:rsidR="005F5889" w:rsidRDefault="005F5889">
      <w:pPr>
        <w:spacing w:before="60"/>
        <w:ind w:right="1134"/>
      </w:pPr>
      <w:r>
        <w:separator/>
      </w:r>
    </w:p>
  </w:footnote>
  <w:footnote w:type="continuationSeparator" w:id="0">
    <w:p w14:paraId="5CA478FD" w14:textId="77777777" w:rsidR="005F5889" w:rsidRDefault="005F5889">
      <w:r>
        <w:continuationSeparator/>
      </w:r>
    </w:p>
  </w:footnote>
  <w:footnote w:id="1">
    <w:p w14:paraId="130CDA52" w14:textId="77777777" w:rsidR="00D216F7" w:rsidRPr="00DE728B" w:rsidRDefault="004A1FAB" w:rsidP="00D216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D216F7">
          <w:rPr>
            <w:rStyle w:val="Hyperlink"/>
            <w:rFonts w:cs="FrankRuehl" w:hint="cs"/>
            <w:rtl/>
          </w:rPr>
          <w:t>ס"ח תש</w:t>
        </w:r>
        <w:r w:rsidR="002343A7" w:rsidRPr="00D216F7">
          <w:rPr>
            <w:rStyle w:val="Hyperlink"/>
            <w:rFonts w:cs="FrankRuehl" w:hint="cs"/>
            <w:rtl/>
          </w:rPr>
          <w:t>ע</w:t>
        </w:r>
        <w:r w:rsidRPr="00D216F7">
          <w:rPr>
            <w:rStyle w:val="Hyperlink"/>
            <w:rFonts w:cs="FrankRuehl" w:hint="cs"/>
            <w:rtl/>
          </w:rPr>
          <w:t xml:space="preserve">"ח מס' </w:t>
        </w:r>
        <w:r w:rsidR="002343A7" w:rsidRPr="00D216F7">
          <w:rPr>
            <w:rStyle w:val="Hyperlink"/>
            <w:rFonts w:cs="FrankRuehl" w:hint="cs"/>
            <w:rtl/>
          </w:rPr>
          <w:t>2699</w:t>
        </w:r>
      </w:hyperlink>
      <w:r>
        <w:rPr>
          <w:rFonts w:cs="FrankRuehl" w:hint="cs"/>
          <w:rtl/>
        </w:rPr>
        <w:t xml:space="preserve"> מיום </w:t>
      </w:r>
      <w:r w:rsidR="002343A7">
        <w:rPr>
          <w:rFonts w:cs="FrankRuehl" w:hint="cs"/>
          <w:rtl/>
        </w:rPr>
        <w:t>11.3.2018</w:t>
      </w:r>
      <w:r>
        <w:rPr>
          <w:rFonts w:cs="FrankRuehl" w:hint="cs"/>
          <w:rtl/>
        </w:rPr>
        <w:t xml:space="preserve"> עמ' </w:t>
      </w:r>
      <w:r w:rsidR="002343A7">
        <w:rPr>
          <w:rFonts w:cs="FrankRuehl" w:hint="cs"/>
          <w:rtl/>
        </w:rPr>
        <w:t>232</w:t>
      </w:r>
      <w:r>
        <w:rPr>
          <w:rFonts w:cs="FrankRuehl" w:hint="cs"/>
          <w:rtl/>
        </w:rPr>
        <w:t xml:space="preserve"> (</w:t>
      </w:r>
      <w:hyperlink r:id="rId2" w:history="1">
        <w:r w:rsidRPr="002343A7">
          <w:rPr>
            <w:rStyle w:val="Hyperlink"/>
            <w:rFonts w:cs="FrankRuehl" w:hint="cs"/>
            <w:rtl/>
          </w:rPr>
          <w:t>ה"ח הממשלה תש</w:t>
        </w:r>
        <w:r w:rsidR="002343A7" w:rsidRPr="002343A7">
          <w:rPr>
            <w:rStyle w:val="Hyperlink"/>
            <w:rFonts w:cs="FrankRuehl" w:hint="cs"/>
            <w:rtl/>
          </w:rPr>
          <w:t>ע</w:t>
        </w:r>
        <w:r w:rsidRPr="002343A7">
          <w:rPr>
            <w:rStyle w:val="Hyperlink"/>
            <w:rFonts w:cs="FrankRuehl" w:hint="cs"/>
            <w:rtl/>
          </w:rPr>
          <w:t xml:space="preserve">"ח מס' </w:t>
        </w:r>
        <w:r w:rsidR="002343A7" w:rsidRPr="002343A7">
          <w:rPr>
            <w:rStyle w:val="Hyperlink"/>
            <w:rFonts w:cs="FrankRuehl" w:hint="cs"/>
            <w:rtl/>
          </w:rPr>
          <w:t>1186</w:t>
        </w:r>
      </w:hyperlink>
      <w:r>
        <w:rPr>
          <w:rFonts w:cs="FrankRuehl" w:hint="cs"/>
          <w:rtl/>
        </w:rPr>
        <w:t xml:space="preserve"> עמ' </w:t>
      </w:r>
      <w:r w:rsidR="002343A7">
        <w:rPr>
          <w:rFonts w:cs="FrankRuehl" w:hint="cs"/>
          <w:rtl/>
        </w:rPr>
        <w:t>214</w:t>
      </w:r>
      <w:r>
        <w:rPr>
          <w:rFonts w:cs="FrankRuehl" w:hint="cs"/>
          <w:rtl/>
        </w:rPr>
        <w:t>).</w:t>
      </w:r>
    </w:p>
  </w:footnote>
  <w:footnote w:id="2">
    <w:p w14:paraId="6F2029B8" w14:textId="77777777" w:rsidR="007F06AE" w:rsidRDefault="007F06AE" w:rsidP="007F06AE">
      <w:pPr>
        <w:pStyle w:val="a5"/>
        <w:spacing w:before="72"/>
        <w:ind w:right="1134"/>
        <w:jc w:val="both"/>
        <w:rPr>
          <w:rFonts w:hint="cs"/>
        </w:rPr>
      </w:pPr>
      <w:r>
        <w:rPr>
          <w:rStyle w:val="a6"/>
        </w:rPr>
        <w:footnoteRef/>
      </w:r>
      <w:r w:rsidRPr="007F06AE">
        <w:rPr>
          <w:rFonts w:ascii="FrankRuehl" w:hAnsi="FrankRuehl" w:cs="FrankRuehl"/>
          <w:sz w:val="22"/>
          <w:szCs w:val="22"/>
          <w:rtl/>
        </w:rPr>
        <w:t xml:space="preserve"> ר' </w:t>
      </w:r>
      <w:hyperlink r:id="rId3" w:history="1">
        <w:r w:rsidRPr="007F06AE">
          <w:rPr>
            <w:rStyle w:val="Hyperlink"/>
            <w:rFonts w:ascii="FrankRuehl" w:hAnsi="FrankRuehl" w:cs="FrankRuehl" w:hint="cs"/>
            <w:sz w:val="22"/>
            <w:szCs w:val="22"/>
            <w:rtl/>
          </w:rPr>
          <w:t>י"פ תשע"ח מס' 7741</w:t>
        </w:r>
      </w:hyperlink>
      <w:r w:rsidRPr="007F06AE">
        <w:rPr>
          <w:rFonts w:ascii="FrankRuehl" w:hAnsi="FrankRuehl" w:cs="FrankRuehl"/>
          <w:sz w:val="22"/>
          <w:szCs w:val="22"/>
          <w:rtl/>
        </w:rPr>
        <w:t xml:space="preserve"> מיום 26.3.2018 עמ' 6453.</w:t>
      </w:r>
      <w:r w:rsidR="00D52267">
        <w:rPr>
          <w:rFonts w:ascii="FrankRuehl" w:hAnsi="FrankRuehl" w:cs="FrankRuehl" w:hint="cs"/>
          <w:sz w:val="22"/>
          <w:szCs w:val="22"/>
          <w:rtl/>
        </w:rPr>
        <w:t xml:space="preserve"> </w:t>
      </w:r>
      <w:hyperlink r:id="rId4" w:history="1">
        <w:r w:rsidR="00D52267" w:rsidRPr="00D52267">
          <w:rPr>
            <w:rStyle w:val="Hyperlink"/>
            <w:rFonts w:ascii="FrankRuehl" w:hAnsi="FrankRuehl" w:cs="FrankRuehl" w:hint="cs"/>
            <w:sz w:val="22"/>
            <w:szCs w:val="22"/>
            <w:rtl/>
          </w:rPr>
          <w:t>י"פ תשע"ח מס' 7766</w:t>
        </w:r>
      </w:hyperlink>
      <w:r w:rsidR="00D52267">
        <w:rPr>
          <w:rFonts w:ascii="FrankRuehl" w:hAnsi="FrankRuehl" w:cs="FrankRuehl" w:hint="cs"/>
          <w:sz w:val="22"/>
          <w:szCs w:val="22"/>
          <w:rtl/>
        </w:rPr>
        <w:t xml:space="preserve"> מיום 17.4.2018 עמ' 7017.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50C5" w14:textId="77777777" w:rsidR="004A1FAB" w:rsidRDefault="004A1FA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C26624C"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95B117"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D525" w14:textId="77777777" w:rsidR="004A1FAB" w:rsidRDefault="004A1FAB" w:rsidP="005C438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2343A7">
      <w:rPr>
        <w:rFonts w:hAnsi="FrankRuehl" w:cs="FrankRuehl" w:hint="cs"/>
        <w:color w:val="000000"/>
        <w:sz w:val="28"/>
        <w:szCs w:val="28"/>
        <w:rtl/>
      </w:rPr>
      <w:t>למניעת הפצה ומימון של נשק להשמדה המונית, תשע"ח-2018</w:t>
    </w:r>
  </w:p>
  <w:p w14:paraId="6B94E107"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89BBA9" w14:textId="77777777" w:rsidR="004A1FAB" w:rsidRDefault="004A1FA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015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7F83"/>
    <w:rsid w:val="00010E90"/>
    <w:rsid w:val="00024FDC"/>
    <w:rsid w:val="00030545"/>
    <w:rsid w:val="00031B81"/>
    <w:rsid w:val="00032136"/>
    <w:rsid w:val="0003781E"/>
    <w:rsid w:val="00057985"/>
    <w:rsid w:val="00057ED8"/>
    <w:rsid w:val="00063E7C"/>
    <w:rsid w:val="00065DCA"/>
    <w:rsid w:val="00066EA6"/>
    <w:rsid w:val="00071FF5"/>
    <w:rsid w:val="00073902"/>
    <w:rsid w:val="00082632"/>
    <w:rsid w:val="00092533"/>
    <w:rsid w:val="0009382D"/>
    <w:rsid w:val="00097C86"/>
    <w:rsid w:val="000A53DB"/>
    <w:rsid w:val="000B6E25"/>
    <w:rsid w:val="000B700B"/>
    <w:rsid w:val="000C220C"/>
    <w:rsid w:val="000C389E"/>
    <w:rsid w:val="000C6CA6"/>
    <w:rsid w:val="000D4D83"/>
    <w:rsid w:val="000E32ED"/>
    <w:rsid w:val="000E6BA5"/>
    <w:rsid w:val="00102D7B"/>
    <w:rsid w:val="00117775"/>
    <w:rsid w:val="00124B0E"/>
    <w:rsid w:val="00125926"/>
    <w:rsid w:val="00167D7D"/>
    <w:rsid w:val="00171228"/>
    <w:rsid w:val="00175BD4"/>
    <w:rsid w:val="00175E8A"/>
    <w:rsid w:val="00181E88"/>
    <w:rsid w:val="001832FD"/>
    <w:rsid w:val="00194CB6"/>
    <w:rsid w:val="001A4BA5"/>
    <w:rsid w:val="001B3E15"/>
    <w:rsid w:val="001C0AA3"/>
    <w:rsid w:val="001C1203"/>
    <w:rsid w:val="001C1DC4"/>
    <w:rsid w:val="001D0C46"/>
    <w:rsid w:val="001D49FF"/>
    <w:rsid w:val="001E12AA"/>
    <w:rsid w:val="001E3C39"/>
    <w:rsid w:val="001F68E1"/>
    <w:rsid w:val="00231BC3"/>
    <w:rsid w:val="002343A7"/>
    <w:rsid w:val="002473B3"/>
    <w:rsid w:val="00260315"/>
    <w:rsid w:val="00274CD2"/>
    <w:rsid w:val="00275516"/>
    <w:rsid w:val="00283BD9"/>
    <w:rsid w:val="002845C0"/>
    <w:rsid w:val="00291FC3"/>
    <w:rsid w:val="00293112"/>
    <w:rsid w:val="002A24E2"/>
    <w:rsid w:val="002C7D10"/>
    <w:rsid w:val="002D35D3"/>
    <w:rsid w:val="002E1294"/>
    <w:rsid w:val="002E5A89"/>
    <w:rsid w:val="002F2014"/>
    <w:rsid w:val="002F3E3B"/>
    <w:rsid w:val="00301E9A"/>
    <w:rsid w:val="003041B8"/>
    <w:rsid w:val="00306813"/>
    <w:rsid w:val="00311C2C"/>
    <w:rsid w:val="0031551C"/>
    <w:rsid w:val="00326208"/>
    <w:rsid w:val="00326C6D"/>
    <w:rsid w:val="00330CDD"/>
    <w:rsid w:val="003349C1"/>
    <w:rsid w:val="00337F23"/>
    <w:rsid w:val="003418C6"/>
    <w:rsid w:val="00347E25"/>
    <w:rsid w:val="0035395F"/>
    <w:rsid w:val="0035408C"/>
    <w:rsid w:val="00362F72"/>
    <w:rsid w:val="00375A9C"/>
    <w:rsid w:val="0037728C"/>
    <w:rsid w:val="003831FA"/>
    <w:rsid w:val="00385BFA"/>
    <w:rsid w:val="00390DB4"/>
    <w:rsid w:val="0039269B"/>
    <w:rsid w:val="00393C15"/>
    <w:rsid w:val="003A2EEE"/>
    <w:rsid w:val="003B008D"/>
    <w:rsid w:val="003B775D"/>
    <w:rsid w:val="003D2D48"/>
    <w:rsid w:val="003D6ED9"/>
    <w:rsid w:val="003E6F5E"/>
    <w:rsid w:val="003F05BB"/>
    <w:rsid w:val="003F5BF4"/>
    <w:rsid w:val="0047257D"/>
    <w:rsid w:val="00475AAF"/>
    <w:rsid w:val="004803D1"/>
    <w:rsid w:val="00495303"/>
    <w:rsid w:val="004A0287"/>
    <w:rsid w:val="004A1E7C"/>
    <w:rsid w:val="004A1FAB"/>
    <w:rsid w:val="004A36C5"/>
    <w:rsid w:val="004A79BF"/>
    <w:rsid w:val="004D30EF"/>
    <w:rsid w:val="004D679A"/>
    <w:rsid w:val="004E25D7"/>
    <w:rsid w:val="004F2B40"/>
    <w:rsid w:val="004F2FD5"/>
    <w:rsid w:val="004F444E"/>
    <w:rsid w:val="004F5E9D"/>
    <w:rsid w:val="00501C0C"/>
    <w:rsid w:val="00502DC8"/>
    <w:rsid w:val="005033F7"/>
    <w:rsid w:val="00515A33"/>
    <w:rsid w:val="00516BC8"/>
    <w:rsid w:val="005204AE"/>
    <w:rsid w:val="0052105C"/>
    <w:rsid w:val="00521F54"/>
    <w:rsid w:val="005403F4"/>
    <w:rsid w:val="00541B66"/>
    <w:rsid w:val="00545316"/>
    <w:rsid w:val="005459F6"/>
    <w:rsid w:val="00547015"/>
    <w:rsid w:val="00551063"/>
    <w:rsid w:val="0055108C"/>
    <w:rsid w:val="00554D12"/>
    <w:rsid w:val="005563B9"/>
    <w:rsid w:val="00561784"/>
    <w:rsid w:val="00565136"/>
    <w:rsid w:val="00571C5E"/>
    <w:rsid w:val="00573BEA"/>
    <w:rsid w:val="005741D0"/>
    <w:rsid w:val="00577A69"/>
    <w:rsid w:val="005861C3"/>
    <w:rsid w:val="00597B00"/>
    <w:rsid w:val="005A0053"/>
    <w:rsid w:val="005A0D01"/>
    <w:rsid w:val="005A1BB9"/>
    <w:rsid w:val="005A2B96"/>
    <w:rsid w:val="005A3556"/>
    <w:rsid w:val="005B0420"/>
    <w:rsid w:val="005B11AD"/>
    <w:rsid w:val="005B3C33"/>
    <w:rsid w:val="005B635C"/>
    <w:rsid w:val="005C4382"/>
    <w:rsid w:val="005C6F9B"/>
    <w:rsid w:val="005C769A"/>
    <w:rsid w:val="005D5F22"/>
    <w:rsid w:val="005D757E"/>
    <w:rsid w:val="005F5889"/>
    <w:rsid w:val="005F5D28"/>
    <w:rsid w:val="005F6806"/>
    <w:rsid w:val="006019D8"/>
    <w:rsid w:val="0060416C"/>
    <w:rsid w:val="0060704F"/>
    <w:rsid w:val="006111EC"/>
    <w:rsid w:val="006119FA"/>
    <w:rsid w:val="00625D6C"/>
    <w:rsid w:val="00631C45"/>
    <w:rsid w:val="00635F52"/>
    <w:rsid w:val="00642A0E"/>
    <w:rsid w:val="00644CC7"/>
    <w:rsid w:val="0064715C"/>
    <w:rsid w:val="00654783"/>
    <w:rsid w:val="00666250"/>
    <w:rsid w:val="006727FD"/>
    <w:rsid w:val="006755DE"/>
    <w:rsid w:val="00683744"/>
    <w:rsid w:val="00686267"/>
    <w:rsid w:val="0069018C"/>
    <w:rsid w:val="00690AD3"/>
    <w:rsid w:val="00696014"/>
    <w:rsid w:val="006A0B7F"/>
    <w:rsid w:val="006B63AC"/>
    <w:rsid w:val="006C1008"/>
    <w:rsid w:val="006C23ED"/>
    <w:rsid w:val="006D71A5"/>
    <w:rsid w:val="006F2A32"/>
    <w:rsid w:val="006F3807"/>
    <w:rsid w:val="0070464D"/>
    <w:rsid w:val="00704C70"/>
    <w:rsid w:val="00711D1B"/>
    <w:rsid w:val="00732D64"/>
    <w:rsid w:val="0073388B"/>
    <w:rsid w:val="00745882"/>
    <w:rsid w:val="007607F7"/>
    <w:rsid w:val="0076157F"/>
    <w:rsid w:val="0076285C"/>
    <w:rsid w:val="007636B5"/>
    <w:rsid w:val="00763C55"/>
    <w:rsid w:val="00764085"/>
    <w:rsid w:val="00765FEE"/>
    <w:rsid w:val="007741C4"/>
    <w:rsid w:val="007757F5"/>
    <w:rsid w:val="007828A6"/>
    <w:rsid w:val="007840C8"/>
    <w:rsid w:val="00787C76"/>
    <w:rsid w:val="00796D78"/>
    <w:rsid w:val="007A74AC"/>
    <w:rsid w:val="007B56E6"/>
    <w:rsid w:val="007C4A42"/>
    <w:rsid w:val="007C706E"/>
    <w:rsid w:val="007E10B4"/>
    <w:rsid w:val="007E3338"/>
    <w:rsid w:val="007F0547"/>
    <w:rsid w:val="007F06AE"/>
    <w:rsid w:val="00807E3F"/>
    <w:rsid w:val="008108B9"/>
    <w:rsid w:val="00820D28"/>
    <w:rsid w:val="00824074"/>
    <w:rsid w:val="0083137E"/>
    <w:rsid w:val="00833EE7"/>
    <w:rsid w:val="00846224"/>
    <w:rsid w:val="00846430"/>
    <w:rsid w:val="00847E6F"/>
    <w:rsid w:val="00852A6A"/>
    <w:rsid w:val="008562EC"/>
    <w:rsid w:val="00860B91"/>
    <w:rsid w:val="00861960"/>
    <w:rsid w:val="00865054"/>
    <w:rsid w:val="0087434F"/>
    <w:rsid w:val="0088411C"/>
    <w:rsid w:val="008925C2"/>
    <w:rsid w:val="008932BA"/>
    <w:rsid w:val="0089395C"/>
    <w:rsid w:val="00897123"/>
    <w:rsid w:val="008972BA"/>
    <w:rsid w:val="008A3D64"/>
    <w:rsid w:val="008A49FD"/>
    <w:rsid w:val="008A5EAA"/>
    <w:rsid w:val="008B55F6"/>
    <w:rsid w:val="008C0AEB"/>
    <w:rsid w:val="008C2847"/>
    <w:rsid w:val="008C573E"/>
    <w:rsid w:val="008C70D8"/>
    <w:rsid w:val="008D2231"/>
    <w:rsid w:val="008E06F2"/>
    <w:rsid w:val="008E2421"/>
    <w:rsid w:val="008E2528"/>
    <w:rsid w:val="008E29E3"/>
    <w:rsid w:val="008E7820"/>
    <w:rsid w:val="008E7BC6"/>
    <w:rsid w:val="008F235D"/>
    <w:rsid w:val="008F2E1F"/>
    <w:rsid w:val="008F6265"/>
    <w:rsid w:val="00901415"/>
    <w:rsid w:val="00902348"/>
    <w:rsid w:val="00905DD6"/>
    <w:rsid w:val="009101B9"/>
    <w:rsid w:val="00913D60"/>
    <w:rsid w:val="009176DD"/>
    <w:rsid w:val="00927282"/>
    <w:rsid w:val="00931EBF"/>
    <w:rsid w:val="0093515A"/>
    <w:rsid w:val="009370B0"/>
    <w:rsid w:val="00950144"/>
    <w:rsid w:val="00966902"/>
    <w:rsid w:val="00974CD5"/>
    <w:rsid w:val="00977F9D"/>
    <w:rsid w:val="00991882"/>
    <w:rsid w:val="009939F8"/>
    <w:rsid w:val="00994D1E"/>
    <w:rsid w:val="009A2010"/>
    <w:rsid w:val="009A4F05"/>
    <w:rsid w:val="009A6897"/>
    <w:rsid w:val="009A7A9D"/>
    <w:rsid w:val="009B4DC0"/>
    <w:rsid w:val="009C62EB"/>
    <w:rsid w:val="009D0D20"/>
    <w:rsid w:val="009D4881"/>
    <w:rsid w:val="009E2827"/>
    <w:rsid w:val="009E2C07"/>
    <w:rsid w:val="009E5815"/>
    <w:rsid w:val="009E6A40"/>
    <w:rsid w:val="009F1739"/>
    <w:rsid w:val="009F2B3C"/>
    <w:rsid w:val="009F3008"/>
    <w:rsid w:val="009F5974"/>
    <w:rsid w:val="009F7991"/>
    <w:rsid w:val="00A022B1"/>
    <w:rsid w:val="00A037BB"/>
    <w:rsid w:val="00A0385D"/>
    <w:rsid w:val="00A03A4B"/>
    <w:rsid w:val="00A04150"/>
    <w:rsid w:val="00A04B99"/>
    <w:rsid w:val="00A12354"/>
    <w:rsid w:val="00A127EF"/>
    <w:rsid w:val="00A148C2"/>
    <w:rsid w:val="00A16499"/>
    <w:rsid w:val="00A25779"/>
    <w:rsid w:val="00A278B4"/>
    <w:rsid w:val="00A31B26"/>
    <w:rsid w:val="00A33F3A"/>
    <w:rsid w:val="00A37867"/>
    <w:rsid w:val="00A40CC8"/>
    <w:rsid w:val="00A44743"/>
    <w:rsid w:val="00A468C4"/>
    <w:rsid w:val="00A50EFF"/>
    <w:rsid w:val="00A539E2"/>
    <w:rsid w:val="00A5463E"/>
    <w:rsid w:val="00A562FC"/>
    <w:rsid w:val="00A60C88"/>
    <w:rsid w:val="00A652F6"/>
    <w:rsid w:val="00A67279"/>
    <w:rsid w:val="00A678C8"/>
    <w:rsid w:val="00A741EC"/>
    <w:rsid w:val="00A77CD2"/>
    <w:rsid w:val="00A805B8"/>
    <w:rsid w:val="00AA1CFE"/>
    <w:rsid w:val="00AA6D70"/>
    <w:rsid w:val="00AB43F6"/>
    <w:rsid w:val="00AC1095"/>
    <w:rsid w:val="00AC4A27"/>
    <w:rsid w:val="00AC714B"/>
    <w:rsid w:val="00AC736A"/>
    <w:rsid w:val="00AC7F9F"/>
    <w:rsid w:val="00AD255A"/>
    <w:rsid w:val="00AD7BEB"/>
    <w:rsid w:val="00AE144F"/>
    <w:rsid w:val="00AF02B2"/>
    <w:rsid w:val="00AF1EED"/>
    <w:rsid w:val="00AF4914"/>
    <w:rsid w:val="00B00193"/>
    <w:rsid w:val="00B01A12"/>
    <w:rsid w:val="00B02C11"/>
    <w:rsid w:val="00B232C0"/>
    <w:rsid w:val="00B3108D"/>
    <w:rsid w:val="00B3456D"/>
    <w:rsid w:val="00B40FB9"/>
    <w:rsid w:val="00B4243F"/>
    <w:rsid w:val="00B447BE"/>
    <w:rsid w:val="00B44AD0"/>
    <w:rsid w:val="00B45044"/>
    <w:rsid w:val="00B4671C"/>
    <w:rsid w:val="00B529BA"/>
    <w:rsid w:val="00B57005"/>
    <w:rsid w:val="00B625DE"/>
    <w:rsid w:val="00B65EE2"/>
    <w:rsid w:val="00B67AD1"/>
    <w:rsid w:val="00B7628C"/>
    <w:rsid w:val="00B76FDE"/>
    <w:rsid w:val="00B808FF"/>
    <w:rsid w:val="00B850C0"/>
    <w:rsid w:val="00B875EF"/>
    <w:rsid w:val="00B92330"/>
    <w:rsid w:val="00B93850"/>
    <w:rsid w:val="00B93F71"/>
    <w:rsid w:val="00B96D4B"/>
    <w:rsid w:val="00BC46B4"/>
    <w:rsid w:val="00BC6F97"/>
    <w:rsid w:val="00BD0EFE"/>
    <w:rsid w:val="00BD6587"/>
    <w:rsid w:val="00BE6DA2"/>
    <w:rsid w:val="00BF6AEE"/>
    <w:rsid w:val="00C02396"/>
    <w:rsid w:val="00C14019"/>
    <w:rsid w:val="00C17862"/>
    <w:rsid w:val="00C3529E"/>
    <w:rsid w:val="00C352E0"/>
    <w:rsid w:val="00C50035"/>
    <w:rsid w:val="00C57C42"/>
    <w:rsid w:val="00C67589"/>
    <w:rsid w:val="00C71924"/>
    <w:rsid w:val="00C74517"/>
    <w:rsid w:val="00C74905"/>
    <w:rsid w:val="00C81D3E"/>
    <w:rsid w:val="00C82990"/>
    <w:rsid w:val="00C84E09"/>
    <w:rsid w:val="00C86F61"/>
    <w:rsid w:val="00C93F03"/>
    <w:rsid w:val="00C9481D"/>
    <w:rsid w:val="00C95212"/>
    <w:rsid w:val="00CA0B1C"/>
    <w:rsid w:val="00CA0EA1"/>
    <w:rsid w:val="00CA3E83"/>
    <w:rsid w:val="00CA6DA2"/>
    <w:rsid w:val="00CB5DAE"/>
    <w:rsid w:val="00CC29E6"/>
    <w:rsid w:val="00CC403D"/>
    <w:rsid w:val="00CD157D"/>
    <w:rsid w:val="00CD41ED"/>
    <w:rsid w:val="00CD43D9"/>
    <w:rsid w:val="00CE4B6B"/>
    <w:rsid w:val="00CF2508"/>
    <w:rsid w:val="00D216F7"/>
    <w:rsid w:val="00D228E0"/>
    <w:rsid w:val="00D308E1"/>
    <w:rsid w:val="00D33934"/>
    <w:rsid w:val="00D52267"/>
    <w:rsid w:val="00D54186"/>
    <w:rsid w:val="00D5647F"/>
    <w:rsid w:val="00D6235D"/>
    <w:rsid w:val="00D64D9F"/>
    <w:rsid w:val="00D729D1"/>
    <w:rsid w:val="00D77A7B"/>
    <w:rsid w:val="00D8237B"/>
    <w:rsid w:val="00D8315B"/>
    <w:rsid w:val="00D832E7"/>
    <w:rsid w:val="00D865BD"/>
    <w:rsid w:val="00D91C80"/>
    <w:rsid w:val="00D94065"/>
    <w:rsid w:val="00D96DD0"/>
    <w:rsid w:val="00DA50D6"/>
    <w:rsid w:val="00DA6586"/>
    <w:rsid w:val="00DB4E3C"/>
    <w:rsid w:val="00DD4498"/>
    <w:rsid w:val="00DD6095"/>
    <w:rsid w:val="00DE3FB2"/>
    <w:rsid w:val="00DE728B"/>
    <w:rsid w:val="00DF43B8"/>
    <w:rsid w:val="00DF65ED"/>
    <w:rsid w:val="00DF72FC"/>
    <w:rsid w:val="00E07279"/>
    <w:rsid w:val="00E21924"/>
    <w:rsid w:val="00E23886"/>
    <w:rsid w:val="00E25FF6"/>
    <w:rsid w:val="00E37032"/>
    <w:rsid w:val="00E45C6A"/>
    <w:rsid w:val="00E503F8"/>
    <w:rsid w:val="00E53900"/>
    <w:rsid w:val="00E53D9F"/>
    <w:rsid w:val="00E561CC"/>
    <w:rsid w:val="00E66F44"/>
    <w:rsid w:val="00E71BB0"/>
    <w:rsid w:val="00E731C8"/>
    <w:rsid w:val="00E74BAB"/>
    <w:rsid w:val="00E80CA1"/>
    <w:rsid w:val="00E847D7"/>
    <w:rsid w:val="00E91F3F"/>
    <w:rsid w:val="00E93982"/>
    <w:rsid w:val="00E96A6C"/>
    <w:rsid w:val="00EA73BA"/>
    <w:rsid w:val="00EB35E7"/>
    <w:rsid w:val="00EB5437"/>
    <w:rsid w:val="00EC357F"/>
    <w:rsid w:val="00ED5765"/>
    <w:rsid w:val="00ED7468"/>
    <w:rsid w:val="00EE011A"/>
    <w:rsid w:val="00EE3A0C"/>
    <w:rsid w:val="00EF2A1B"/>
    <w:rsid w:val="00EF5AAC"/>
    <w:rsid w:val="00F01B28"/>
    <w:rsid w:val="00F13835"/>
    <w:rsid w:val="00F23090"/>
    <w:rsid w:val="00F23B0A"/>
    <w:rsid w:val="00F305FF"/>
    <w:rsid w:val="00F3647C"/>
    <w:rsid w:val="00F46CC5"/>
    <w:rsid w:val="00F51DD8"/>
    <w:rsid w:val="00F57B43"/>
    <w:rsid w:val="00F6096E"/>
    <w:rsid w:val="00F74ED8"/>
    <w:rsid w:val="00F75B54"/>
    <w:rsid w:val="00F75C7E"/>
    <w:rsid w:val="00F779CE"/>
    <w:rsid w:val="00F86FF2"/>
    <w:rsid w:val="00F971BA"/>
    <w:rsid w:val="00FA71C3"/>
    <w:rsid w:val="00FB2F08"/>
    <w:rsid w:val="00FB7945"/>
    <w:rsid w:val="00FC26B0"/>
    <w:rsid w:val="00FC37EA"/>
    <w:rsid w:val="00FC3A5A"/>
    <w:rsid w:val="00FC4233"/>
    <w:rsid w:val="00FC572C"/>
    <w:rsid w:val="00FC71F6"/>
    <w:rsid w:val="00FD153D"/>
    <w:rsid w:val="00FD3D86"/>
    <w:rsid w:val="00FD45A9"/>
    <w:rsid w:val="00FD4FD3"/>
    <w:rsid w:val="00FD5D46"/>
    <w:rsid w:val="00FE1F56"/>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7167060"/>
  <w15:chartTrackingRefBased/>
  <w15:docId w15:val="{18A73423-1993-42C8-8914-6FB246AE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character" w:customStyle="1" w:styleId="P000">
    <w:name w:val="P00 תו"/>
    <w:link w:val="P00"/>
    <w:rsid w:val="00DE728B"/>
    <w:rPr>
      <w:noProof/>
      <w:szCs w:val="26"/>
      <w:lang w:val="en-US" w:eastAsia="he-IL" w:bidi="he-IL"/>
    </w:rPr>
  </w:style>
  <w:style w:type="character" w:styleId="ab">
    <w:name w:val="Unresolved Mention"/>
    <w:uiPriority w:val="99"/>
    <w:semiHidden/>
    <w:unhideWhenUsed/>
    <w:rsid w:val="002343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7741.pdf" TargetMode="External"/><Relationship Id="rId2" Type="http://schemas.openxmlformats.org/officeDocument/2006/relationships/hyperlink" Target="http://www.nevo.co.il/Law_word/law15/memshala-1186.pdf" TargetMode="External"/><Relationship Id="rId1" Type="http://schemas.openxmlformats.org/officeDocument/2006/relationships/hyperlink" Target="https://www.nevo.co.il/law_word/law14/law-2699.pdf" TargetMode="External"/><Relationship Id="rId4" Type="http://schemas.openxmlformats.org/officeDocument/2006/relationships/hyperlink" Target="http://www.nevo.co.il/Law_word/law06/tak-77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1CBF-A6B9-403F-AE7C-04BB019F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3711</Words>
  <Characters>21157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24819</CharactersWithSpaces>
  <SharedDoc>false</SharedDoc>
  <HLinks>
    <vt:vector size="264" baseType="variant">
      <vt:variant>
        <vt:i4>393283</vt:i4>
      </vt:variant>
      <vt:variant>
        <vt:i4>234</vt:i4>
      </vt:variant>
      <vt:variant>
        <vt:i4>0</vt:i4>
      </vt:variant>
      <vt:variant>
        <vt:i4>5</vt:i4>
      </vt:variant>
      <vt:variant>
        <vt:lpwstr>http://www.nevo.co.il/advertisements/nevo-100.doc</vt:lpwstr>
      </vt:variant>
      <vt:variant>
        <vt:lpwstr/>
      </vt:variant>
      <vt:variant>
        <vt:i4>5505033</vt:i4>
      </vt:variant>
      <vt:variant>
        <vt:i4>228</vt:i4>
      </vt:variant>
      <vt:variant>
        <vt:i4>0</vt:i4>
      </vt:variant>
      <vt:variant>
        <vt:i4>5</vt:i4>
      </vt:variant>
      <vt:variant>
        <vt:lpwstr/>
      </vt:variant>
      <vt:variant>
        <vt:lpwstr>med10</vt:lpwstr>
      </vt:variant>
      <vt:variant>
        <vt:i4>3866664</vt:i4>
      </vt:variant>
      <vt:variant>
        <vt:i4>222</vt:i4>
      </vt:variant>
      <vt:variant>
        <vt:i4>0</vt:i4>
      </vt:variant>
      <vt:variant>
        <vt:i4>5</vt:i4>
      </vt:variant>
      <vt:variant>
        <vt:lpwstr/>
      </vt:variant>
      <vt:variant>
        <vt:lpwstr>Seif28</vt:lpwstr>
      </vt:variant>
      <vt:variant>
        <vt:i4>6029321</vt:i4>
      </vt:variant>
      <vt:variant>
        <vt:i4>216</vt:i4>
      </vt:variant>
      <vt:variant>
        <vt:i4>0</vt:i4>
      </vt:variant>
      <vt:variant>
        <vt:i4>5</vt:i4>
      </vt:variant>
      <vt:variant>
        <vt:lpwstr/>
      </vt:variant>
      <vt:variant>
        <vt:lpwstr>med9</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6094857</vt:i4>
      </vt:variant>
      <vt:variant>
        <vt:i4>198</vt:i4>
      </vt:variant>
      <vt:variant>
        <vt:i4>0</vt:i4>
      </vt:variant>
      <vt:variant>
        <vt:i4>5</vt:i4>
      </vt:variant>
      <vt:variant>
        <vt:lpwstr/>
      </vt:variant>
      <vt:variant>
        <vt:lpwstr>med8</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5373961</vt:i4>
      </vt:variant>
      <vt:variant>
        <vt:i4>168</vt:i4>
      </vt:variant>
      <vt:variant>
        <vt:i4>0</vt:i4>
      </vt:variant>
      <vt:variant>
        <vt:i4>5</vt:i4>
      </vt:variant>
      <vt:variant>
        <vt:lpwstr/>
      </vt:variant>
      <vt:variant>
        <vt:lpwstr>med7</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5439497</vt:i4>
      </vt:variant>
      <vt:variant>
        <vt:i4>132</vt:i4>
      </vt:variant>
      <vt:variant>
        <vt:i4>0</vt:i4>
      </vt:variant>
      <vt:variant>
        <vt:i4>5</vt:i4>
      </vt:variant>
      <vt:variant>
        <vt:lpwstr/>
      </vt:variant>
      <vt:variant>
        <vt:lpwstr>med6</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5242889</vt:i4>
      </vt:variant>
      <vt:variant>
        <vt:i4>102</vt:i4>
      </vt:variant>
      <vt:variant>
        <vt:i4>0</vt:i4>
      </vt:variant>
      <vt:variant>
        <vt:i4>5</vt:i4>
      </vt:variant>
      <vt:variant>
        <vt:lpwstr/>
      </vt:variant>
      <vt:variant>
        <vt:lpwstr>med5</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7864329</vt:i4>
      </vt:variant>
      <vt:variant>
        <vt:i4>9</vt:i4>
      </vt:variant>
      <vt:variant>
        <vt:i4>0</vt:i4>
      </vt:variant>
      <vt:variant>
        <vt:i4>5</vt:i4>
      </vt:variant>
      <vt:variant>
        <vt:lpwstr>http://www.nevo.co.il/Law_word/law06/tak-7766.pdf</vt:lpwstr>
      </vt:variant>
      <vt:variant>
        <vt:lpwstr/>
      </vt:variant>
      <vt:variant>
        <vt:i4>7798786</vt:i4>
      </vt:variant>
      <vt:variant>
        <vt:i4>6</vt:i4>
      </vt:variant>
      <vt:variant>
        <vt:i4>0</vt:i4>
      </vt:variant>
      <vt:variant>
        <vt:i4>5</vt:i4>
      </vt:variant>
      <vt:variant>
        <vt:lpwstr>http://www.nevo.co.il/Law_word/law10/yalkut-7741.pdf</vt:lpwstr>
      </vt:variant>
      <vt:variant>
        <vt:lpwstr/>
      </vt:variant>
      <vt:variant>
        <vt:i4>1507424</vt:i4>
      </vt:variant>
      <vt:variant>
        <vt:i4>3</vt:i4>
      </vt:variant>
      <vt:variant>
        <vt:i4>0</vt:i4>
      </vt:variant>
      <vt:variant>
        <vt:i4>5</vt:i4>
      </vt:variant>
      <vt:variant>
        <vt:lpwstr>http://www.nevo.co.il/Law_word/law15/memshala-1186.pdf</vt:lpwstr>
      </vt:variant>
      <vt:variant>
        <vt:lpwstr/>
      </vt:variant>
      <vt:variant>
        <vt:i4>7864351</vt:i4>
      </vt:variant>
      <vt:variant>
        <vt:i4>0</vt:i4>
      </vt:variant>
      <vt:variant>
        <vt:i4>0</vt:i4>
      </vt:variant>
      <vt:variant>
        <vt:i4>5</vt:i4>
      </vt:variant>
      <vt:variant>
        <vt:lpwstr>https://www.nevo.co.il/law_word/law14/law-2699.pdf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למניעת הפצה ומימון של נשק להשמדה המונית, תשע"ח-2018</vt:lpwstr>
  </property>
  <property fmtid="{D5CDD505-2E9C-101B-9397-08002B2CF9AE}" pid="4" name="LAWNUMBER">
    <vt:lpwstr>0798</vt:lpwstr>
  </property>
  <property fmtid="{D5CDD505-2E9C-101B-9397-08002B2CF9AE}" pid="5" name="TYPE">
    <vt:lpwstr>01</vt:lpwstr>
  </property>
  <property fmtid="{D5CDD505-2E9C-101B-9397-08002B2CF9AE}" pid="6" name="CHNAME">
    <vt:lpwstr>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NOSE41">
    <vt:lpwstr/>
  </property>
  <property fmtid="{D5CDD505-2E9C-101B-9397-08002B2CF9AE}" pid="22" name="NOSE12">
    <vt:lpwstr/>
  </property>
  <property fmtid="{D5CDD505-2E9C-101B-9397-08002B2CF9AE}" pid="23" name="NOSE22">
    <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LINKK1">
    <vt:lpwstr>https://www.nevo.co.il/law_word/law14/law-2699.pdf;‎רשומות - ספר חוקים#פורסם ס"ח תשע"ח ‏מס' 2699 #מיום 11.3.2018 עמ' 232‏</vt:lpwstr>
  </property>
  <property fmtid="{D5CDD505-2E9C-101B-9397-08002B2CF9AE}" pid="60" name="LINKK2">
    <vt:lpwstr/>
  </property>
</Properties>
</file>