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138" w:rsidRDefault="00780138" w:rsidP="00BA208A">
      <w:pPr>
        <w:pStyle w:val="big-header"/>
        <w:ind w:left="0" w:right="1134"/>
        <w:rPr>
          <w:rFonts w:cs="FrankRuehl" w:hint="cs"/>
          <w:sz w:val="32"/>
          <w:rtl/>
        </w:rPr>
      </w:pPr>
      <w:r>
        <w:rPr>
          <w:rFonts w:cs="FrankRuehl"/>
          <w:sz w:val="32"/>
          <w:rtl/>
        </w:rPr>
        <w:t>חוק לניהול מוסדות (מקרים מיוחדים), תשי"ב</w:t>
      </w:r>
      <w:r w:rsidR="00BA208A">
        <w:rPr>
          <w:rFonts w:cs="FrankRuehl" w:hint="cs"/>
          <w:sz w:val="32"/>
          <w:rtl/>
        </w:rPr>
        <w:t>-</w:t>
      </w:r>
      <w:r>
        <w:rPr>
          <w:rFonts w:cs="FrankRuehl"/>
          <w:sz w:val="32"/>
          <w:rtl/>
        </w:rPr>
        <w:t>1952</w:t>
      </w:r>
    </w:p>
    <w:p w:rsidR="00C51B19" w:rsidRDefault="00C51B19" w:rsidP="00C51B19">
      <w:pPr>
        <w:spacing w:line="320" w:lineRule="auto"/>
        <w:jc w:val="left"/>
        <w:rPr>
          <w:rFonts w:hint="cs"/>
          <w:rtl/>
        </w:rPr>
      </w:pPr>
    </w:p>
    <w:p w:rsidR="00E453EE" w:rsidRDefault="00E453EE" w:rsidP="00C51B19">
      <w:pPr>
        <w:spacing w:line="320" w:lineRule="auto"/>
        <w:jc w:val="left"/>
        <w:rPr>
          <w:rFonts w:hint="cs"/>
          <w:rtl/>
        </w:rPr>
      </w:pPr>
    </w:p>
    <w:p w:rsidR="00C51B19" w:rsidRPr="00C51B19" w:rsidRDefault="00C51B19" w:rsidP="00C51B19">
      <w:pPr>
        <w:spacing w:line="320" w:lineRule="auto"/>
        <w:jc w:val="left"/>
        <w:rPr>
          <w:rFonts w:cs="Miriam"/>
          <w:szCs w:val="22"/>
          <w:rtl/>
        </w:rPr>
      </w:pPr>
      <w:r w:rsidRPr="00C51B19">
        <w:rPr>
          <w:rFonts w:cs="Miriam"/>
          <w:szCs w:val="22"/>
          <w:rtl/>
        </w:rPr>
        <w:t>רשויות ומשפט מנהלי</w:t>
      </w:r>
      <w:r w:rsidRPr="00C51B19">
        <w:rPr>
          <w:rFonts w:cs="FrankRuehl"/>
          <w:szCs w:val="26"/>
          <w:rtl/>
        </w:rPr>
        <w:t xml:space="preserve"> – מוסדות   – ניהול מוסדות</w:t>
      </w:r>
    </w:p>
    <w:p w:rsidR="00780138" w:rsidRDefault="0078013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A208A">
              <w:rPr>
                <w:noProof/>
                <w:sz w:val="24"/>
                <w:rtl/>
              </w:rPr>
              <w:t>2</w:t>
            </w:r>
            <w:r>
              <w:rPr>
                <w:sz w:val="24"/>
                <w:rtl/>
              </w:rPr>
              <w:fldChar w:fldCharType="end"/>
            </w:r>
          </w:p>
        </w:tc>
        <w:tc>
          <w:tcPr>
            <w:tcW w:w="567" w:type="dxa"/>
          </w:tcPr>
          <w:p w:rsidR="00780138" w:rsidRDefault="00780138">
            <w:pPr>
              <w:spacing w:line="240" w:lineRule="auto"/>
              <w:rPr>
                <w:sz w:val="24"/>
              </w:rPr>
            </w:pPr>
            <w:hyperlink w:anchor="Seif0" w:tooltip="מוסד —  פירוש" w:history="1">
              <w:r>
                <w:rPr>
                  <w:rStyle w:val="Hyperlink"/>
                </w:rPr>
                <w:t>Go</w:t>
              </w:r>
            </w:hyperlink>
          </w:p>
        </w:tc>
        <w:tc>
          <w:tcPr>
            <w:tcW w:w="5669" w:type="dxa"/>
          </w:tcPr>
          <w:p w:rsidR="00780138" w:rsidRDefault="00780138">
            <w:pPr>
              <w:spacing w:line="240" w:lineRule="auto"/>
              <w:rPr>
                <w:sz w:val="24"/>
                <w:rtl/>
              </w:rPr>
            </w:pPr>
            <w:r>
              <w:rPr>
                <w:sz w:val="24"/>
                <w:rtl/>
              </w:rPr>
              <w:t xml:space="preserve">מוסד </w:t>
            </w:r>
            <w:r w:rsidR="00F86CCB">
              <w:rPr>
                <w:sz w:val="24"/>
                <w:rtl/>
              </w:rPr>
              <w:t>–</w:t>
            </w:r>
            <w:r>
              <w:rPr>
                <w:sz w:val="24"/>
                <w:rtl/>
              </w:rPr>
              <w:t xml:space="preserve"> פירוש</w:t>
            </w:r>
          </w:p>
        </w:tc>
        <w:tc>
          <w:tcPr>
            <w:tcW w:w="1247" w:type="dxa"/>
          </w:tcPr>
          <w:p w:rsidR="00780138" w:rsidRDefault="00780138">
            <w:pPr>
              <w:spacing w:line="240" w:lineRule="auto"/>
              <w:rPr>
                <w:sz w:val="24"/>
              </w:rPr>
            </w:pPr>
            <w:r>
              <w:rPr>
                <w:sz w:val="24"/>
                <w:rtl/>
              </w:rPr>
              <w:t xml:space="preserve">סעיף 1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A208A">
              <w:rPr>
                <w:noProof/>
                <w:sz w:val="24"/>
                <w:rtl/>
              </w:rPr>
              <w:t>2</w:t>
            </w:r>
            <w:r>
              <w:rPr>
                <w:sz w:val="24"/>
                <w:rtl/>
              </w:rPr>
              <w:fldChar w:fldCharType="end"/>
            </w:r>
          </w:p>
        </w:tc>
        <w:tc>
          <w:tcPr>
            <w:tcW w:w="567" w:type="dxa"/>
          </w:tcPr>
          <w:p w:rsidR="00780138" w:rsidRDefault="00780138">
            <w:pPr>
              <w:spacing w:line="240" w:lineRule="auto"/>
              <w:rPr>
                <w:sz w:val="24"/>
              </w:rPr>
            </w:pPr>
            <w:hyperlink w:anchor="Seif1" w:tooltip="צו הנהלה" w:history="1">
              <w:r>
                <w:rPr>
                  <w:rStyle w:val="Hyperlink"/>
                </w:rPr>
                <w:t>Go</w:t>
              </w:r>
            </w:hyperlink>
          </w:p>
        </w:tc>
        <w:tc>
          <w:tcPr>
            <w:tcW w:w="5669" w:type="dxa"/>
          </w:tcPr>
          <w:p w:rsidR="00780138" w:rsidRDefault="00780138">
            <w:pPr>
              <w:spacing w:line="240" w:lineRule="auto"/>
              <w:rPr>
                <w:sz w:val="24"/>
                <w:rtl/>
              </w:rPr>
            </w:pPr>
            <w:r>
              <w:rPr>
                <w:sz w:val="24"/>
                <w:rtl/>
              </w:rPr>
              <w:t>צו הנהלה</w:t>
            </w:r>
          </w:p>
        </w:tc>
        <w:tc>
          <w:tcPr>
            <w:tcW w:w="1247" w:type="dxa"/>
          </w:tcPr>
          <w:p w:rsidR="00780138" w:rsidRDefault="00780138">
            <w:pPr>
              <w:spacing w:line="240" w:lineRule="auto"/>
              <w:rPr>
                <w:sz w:val="24"/>
              </w:rPr>
            </w:pPr>
            <w:r>
              <w:rPr>
                <w:sz w:val="24"/>
                <w:rtl/>
              </w:rPr>
              <w:t xml:space="preserve">סעיף 2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A208A">
              <w:rPr>
                <w:noProof/>
                <w:sz w:val="24"/>
                <w:rtl/>
              </w:rPr>
              <w:t>2</w:t>
            </w:r>
            <w:r>
              <w:rPr>
                <w:sz w:val="24"/>
                <w:rtl/>
              </w:rPr>
              <w:fldChar w:fldCharType="end"/>
            </w:r>
          </w:p>
        </w:tc>
        <w:tc>
          <w:tcPr>
            <w:tcW w:w="567" w:type="dxa"/>
          </w:tcPr>
          <w:p w:rsidR="00780138" w:rsidRDefault="00780138">
            <w:pPr>
              <w:spacing w:line="240" w:lineRule="auto"/>
              <w:rPr>
                <w:sz w:val="24"/>
              </w:rPr>
            </w:pPr>
            <w:hyperlink w:anchor="Seif2" w:tooltip="הגבלת זמן" w:history="1">
              <w:r>
                <w:rPr>
                  <w:rStyle w:val="Hyperlink"/>
                </w:rPr>
                <w:t>Go</w:t>
              </w:r>
            </w:hyperlink>
          </w:p>
        </w:tc>
        <w:tc>
          <w:tcPr>
            <w:tcW w:w="5669" w:type="dxa"/>
          </w:tcPr>
          <w:p w:rsidR="00780138" w:rsidRDefault="00780138">
            <w:pPr>
              <w:spacing w:line="240" w:lineRule="auto"/>
              <w:rPr>
                <w:sz w:val="24"/>
                <w:rtl/>
              </w:rPr>
            </w:pPr>
            <w:r>
              <w:rPr>
                <w:sz w:val="24"/>
                <w:rtl/>
              </w:rPr>
              <w:t>הגבלת זמן</w:t>
            </w:r>
          </w:p>
        </w:tc>
        <w:tc>
          <w:tcPr>
            <w:tcW w:w="1247" w:type="dxa"/>
          </w:tcPr>
          <w:p w:rsidR="00780138" w:rsidRDefault="00780138">
            <w:pPr>
              <w:spacing w:line="240" w:lineRule="auto"/>
              <w:rPr>
                <w:sz w:val="24"/>
              </w:rPr>
            </w:pPr>
            <w:r>
              <w:rPr>
                <w:sz w:val="24"/>
                <w:rtl/>
              </w:rPr>
              <w:t xml:space="preserve">סעיף 3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A208A">
              <w:rPr>
                <w:noProof/>
                <w:sz w:val="24"/>
                <w:rtl/>
              </w:rPr>
              <w:t>2</w:t>
            </w:r>
            <w:r>
              <w:rPr>
                <w:sz w:val="24"/>
                <w:rtl/>
              </w:rPr>
              <w:fldChar w:fldCharType="end"/>
            </w:r>
          </w:p>
        </w:tc>
        <w:tc>
          <w:tcPr>
            <w:tcW w:w="567" w:type="dxa"/>
          </w:tcPr>
          <w:p w:rsidR="00780138" w:rsidRDefault="00780138">
            <w:pPr>
              <w:spacing w:line="240" w:lineRule="auto"/>
              <w:rPr>
                <w:sz w:val="24"/>
              </w:rPr>
            </w:pPr>
            <w:hyperlink w:anchor="Seif3" w:tooltip="הנהלת המוסד" w:history="1">
              <w:r>
                <w:rPr>
                  <w:rStyle w:val="Hyperlink"/>
                </w:rPr>
                <w:t>Go</w:t>
              </w:r>
            </w:hyperlink>
          </w:p>
        </w:tc>
        <w:tc>
          <w:tcPr>
            <w:tcW w:w="5669" w:type="dxa"/>
          </w:tcPr>
          <w:p w:rsidR="00780138" w:rsidRDefault="00780138">
            <w:pPr>
              <w:spacing w:line="240" w:lineRule="auto"/>
              <w:rPr>
                <w:sz w:val="24"/>
                <w:rtl/>
              </w:rPr>
            </w:pPr>
            <w:r>
              <w:rPr>
                <w:sz w:val="24"/>
                <w:rtl/>
              </w:rPr>
              <w:t>הנהלת המוסד</w:t>
            </w:r>
          </w:p>
        </w:tc>
        <w:tc>
          <w:tcPr>
            <w:tcW w:w="1247" w:type="dxa"/>
          </w:tcPr>
          <w:p w:rsidR="00780138" w:rsidRDefault="00780138">
            <w:pPr>
              <w:spacing w:line="240" w:lineRule="auto"/>
              <w:rPr>
                <w:sz w:val="24"/>
              </w:rPr>
            </w:pPr>
            <w:r>
              <w:rPr>
                <w:sz w:val="24"/>
                <w:rtl/>
              </w:rPr>
              <w:t xml:space="preserve">סעיף 4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A208A">
              <w:rPr>
                <w:noProof/>
                <w:sz w:val="24"/>
                <w:rtl/>
              </w:rPr>
              <w:t>2</w:t>
            </w:r>
            <w:r>
              <w:rPr>
                <w:sz w:val="24"/>
                <w:rtl/>
              </w:rPr>
              <w:fldChar w:fldCharType="end"/>
            </w:r>
          </w:p>
        </w:tc>
        <w:tc>
          <w:tcPr>
            <w:tcW w:w="567" w:type="dxa"/>
          </w:tcPr>
          <w:p w:rsidR="00780138" w:rsidRDefault="00780138">
            <w:pPr>
              <w:spacing w:line="240" w:lineRule="auto"/>
              <w:rPr>
                <w:sz w:val="24"/>
              </w:rPr>
            </w:pPr>
            <w:hyperlink w:anchor="Seif4" w:tooltip="הנאמן מורשם של בעלי המוסד" w:history="1">
              <w:r>
                <w:rPr>
                  <w:rStyle w:val="Hyperlink"/>
                </w:rPr>
                <w:t>Go</w:t>
              </w:r>
            </w:hyperlink>
          </w:p>
        </w:tc>
        <w:tc>
          <w:tcPr>
            <w:tcW w:w="5669" w:type="dxa"/>
          </w:tcPr>
          <w:p w:rsidR="00780138" w:rsidRDefault="00780138">
            <w:pPr>
              <w:spacing w:line="240" w:lineRule="auto"/>
              <w:rPr>
                <w:sz w:val="24"/>
                <w:rtl/>
              </w:rPr>
            </w:pPr>
            <w:r>
              <w:rPr>
                <w:sz w:val="24"/>
                <w:rtl/>
              </w:rPr>
              <w:t>הנאמן מורשם של בעלי המוסד</w:t>
            </w:r>
          </w:p>
        </w:tc>
        <w:tc>
          <w:tcPr>
            <w:tcW w:w="1247" w:type="dxa"/>
          </w:tcPr>
          <w:p w:rsidR="00780138" w:rsidRDefault="00780138">
            <w:pPr>
              <w:spacing w:line="240" w:lineRule="auto"/>
              <w:rPr>
                <w:sz w:val="24"/>
              </w:rPr>
            </w:pPr>
            <w:r>
              <w:rPr>
                <w:sz w:val="24"/>
                <w:rtl/>
              </w:rPr>
              <w:t xml:space="preserve">סעיף 5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A208A">
              <w:rPr>
                <w:noProof/>
                <w:sz w:val="24"/>
                <w:rtl/>
              </w:rPr>
              <w:t>2</w:t>
            </w:r>
            <w:r>
              <w:rPr>
                <w:sz w:val="24"/>
                <w:rtl/>
              </w:rPr>
              <w:fldChar w:fldCharType="end"/>
            </w:r>
          </w:p>
        </w:tc>
        <w:tc>
          <w:tcPr>
            <w:tcW w:w="567" w:type="dxa"/>
          </w:tcPr>
          <w:p w:rsidR="00780138" w:rsidRDefault="00780138">
            <w:pPr>
              <w:spacing w:line="240" w:lineRule="auto"/>
              <w:rPr>
                <w:sz w:val="24"/>
              </w:rPr>
            </w:pPr>
            <w:hyperlink w:anchor="Seif5" w:tooltip="ביטול הסכמים" w:history="1">
              <w:r>
                <w:rPr>
                  <w:rStyle w:val="Hyperlink"/>
                </w:rPr>
                <w:t>Go</w:t>
              </w:r>
            </w:hyperlink>
          </w:p>
        </w:tc>
        <w:tc>
          <w:tcPr>
            <w:tcW w:w="5669" w:type="dxa"/>
          </w:tcPr>
          <w:p w:rsidR="00780138" w:rsidRDefault="00780138">
            <w:pPr>
              <w:spacing w:line="240" w:lineRule="auto"/>
              <w:rPr>
                <w:sz w:val="24"/>
                <w:rtl/>
              </w:rPr>
            </w:pPr>
            <w:r>
              <w:rPr>
                <w:sz w:val="24"/>
                <w:rtl/>
              </w:rPr>
              <w:t>ביטול הסכמים</w:t>
            </w:r>
          </w:p>
        </w:tc>
        <w:tc>
          <w:tcPr>
            <w:tcW w:w="1247" w:type="dxa"/>
          </w:tcPr>
          <w:p w:rsidR="00780138" w:rsidRDefault="00780138">
            <w:pPr>
              <w:spacing w:line="240" w:lineRule="auto"/>
              <w:rPr>
                <w:sz w:val="24"/>
              </w:rPr>
            </w:pPr>
            <w:r>
              <w:rPr>
                <w:sz w:val="24"/>
                <w:rtl/>
              </w:rPr>
              <w:t xml:space="preserve">סעיף 6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A208A">
              <w:rPr>
                <w:noProof/>
                <w:sz w:val="24"/>
                <w:rtl/>
              </w:rPr>
              <w:t>2</w:t>
            </w:r>
            <w:r>
              <w:rPr>
                <w:sz w:val="24"/>
                <w:rtl/>
              </w:rPr>
              <w:fldChar w:fldCharType="end"/>
            </w:r>
          </w:p>
        </w:tc>
        <w:tc>
          <w:tcPr>
            <w:tcW w:w="567" w:type="dxa"/>
          </w:tcPr>
          <w:p w:rsidR="00780138" w:rsidRDefault="00780138">
            <w:pPr>
              <w:spacing w:line="240" w:lineRule="auto"/>
              <w:rPr>
                <w:sz w:val="24"/>
              </w:rPr>
            </w:pPr>
            <w:hyperlink w:anchor="Seif6" w:tooltip="אי התערבות  בעניני המוסד" w:history="1">
              <w:r>
                <w:rPr>
                  <w:rStyle w:val="Hyperlink"/>
                </w:rPr>
                <w:t>Go</w:t>
              </w:r>
            </w:hyperlink>
          </w:p>
        </w:tc>
        <w:tc>
          <w:tcPr>
            <w:tcW w:w="5669" w:type="dxa"/>
          </w:tcPr>
          <w:p w:rsidR="00780138" w:rsidRDefault="00780138">
            <w:pPr>
              <w:spacing w:line="240" w:lineRule="auto"/>
              <w:rPr>
                <w:sz w:val="24"/>
                <w:rtl/>
              </w:rPr>
            </w:pPr>
            <w:r>
              <w:rPr>
                <w:sz w:val="24"/>
                <w:rtl/>
              </w:rPr>
              <w:t>אי התערבות  בעניני המוסד</w:t>
            </w:r>
          </w:p>
        </w:tc>
        <w:tc>
          <w:tcPr>
            <w:tcW w:w="1247" w:type="dxa"/>
          </w:tcPr>
          <w:p w:rsidR="00780138" w:rsidRDefault="00780138">
            <w:pPr>
              <w:spacing w:line="240" w:lineRule="auto"/>
              <w:rPr>
                <w:sz w:val="24"/>
              </w:rPr>
            </w:pPr>
            <w:r>
              <w:rPr>
                <w:sz w:val="24"/>
                <w:rtl/>
              </w:rPr>
              <w:t xml:space="preserve">סעיף 7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A208A">
              <w:rPr>
                <w:noProof/>
                <w:sz w:val="24"/>
                <w:rtl/>
              </w:rPr>
              <w:t>2</w:t>
            </w:r>
            <w:r>
              <w:rPr>
                <w:sz w:val="24"/>
                <w:rtl/>
              </w:rPr>
              <w:fldChar w:fldCharType="end"/>
            </w:r>
          </w:p>
        </w:tc>
        <w:tc>
          <w:tcPr>
            <w:tcW w:w="567" w:type="dxa"/>
          </w:tcPr>
          <w:p w:rsidR="00780138" w:rsidRDefault="00780138">
            <w:pPr>
              <w:spacing w:line="240" w:lineRule="auto"/>
              <w:rPr>
                <w:sz w:val="24"/>
              </w:rPr>
            </w:pPr>
            <w:hyperlink w:anchor="Seif7" w:tooltip="צו יציאה" w:history="1">
              <w:r>
                <w:rPr>
                  <w:rStyle w:val="Hyperlink"/>
                </w:rPr>
                <w:t>Go</w:t>
              </w:r>
            </w:hyperlink>
          </w:p>
        </w:tc>
        <w:tc>
          <w:tcPr>
            <w:tcW w:w="5669" w:type="dxa"/>
          </w:tcPr>
          <w:p w:rsidR="00780138" w:rsidRDefault="00780138">
            <w:pPr>
              <w:spacing w:line="240" w:lineRule="auto"/>
              <w:rPr>
                <w:sz w:val="24"/>
                <w:rtl/>
              </w:rPr>
            </w:pPr>
            <w:r>
              <w:rPr>
                <w:sz w:val="24"/>
                <w:rtl/>
              </w:rPr>
              <w:t>צו יציאה</w:t>
            </w:r>
          </w:p>
        </w:tc>
        <w:tc>
          <w:tcPr>
            <w:tcW w:w="1247" w:type="dxa"/>
          </w:tcPr>
          <w:p w:rsidR="00780138" w:rsidRDefault="00780138">
            <w:pPr>
              <w:spacing w:line="240" w:lineRule="auto"/>
              <w:rPr>
                <w:sz w:val="24"/>
              </w:rPr>
            </w:pPr>
            <w:r>
              <w:rPr>
                <w:sz w:val="24"/>
                <w:rtl/>
              </w:rPr>
              <w:t xml:space="preserve">סעיף 8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A208A">
              <w:rPr>
                <w:noProof/>
                <w:sz w:val="24"/>
                <w:rtl/>
              </w:rPr>
              <w:t>3</w:t>
            </w:r>
            <w:r>
              <w:rPr>
                <w:sz w:val="24"/>
                <w:rtl/>
              </w:rPr>
              <w:fldChar w:fldCharType="end"/>
            </w:r>
          </w:p>
        </w:tc>
        <w:tc>
          <w:tcPr>
            <w:tcW w:w="567" w:type="dxa"/>
          </w:tcPr>
          <w:p w:rsidR="00780138" w:rsidRDefault="00780138">
            <w:pPr>
              <w:spacing w:line="240" w:lineRule="auto"/>
              <w:rPr>
                <w:sz w:val="24"/>
              </w:rPr>
            </w:pPr>
            <w:hyperlink w:anchor="Seif8" w:tooltip="מקום מגורים  מחוץ למוסד חוק תשיד 1954" w:history="1">
              <w:r>
                <w:rPr>
                  <w:rStyle w:val="Hyperlink"/>
                </w:rPr>
                <w:t>Go</w:t>
              </w:r>
            </w:hyperlink>
          </w:p>
        </w:tc>
        <w:tc>
          <w:tcPr>
            <w:tcW w:w="5669" w:type="dxa"/>
          </w:tcPr>
          <w:p w:rsidR="00780138" w:rsidRDefault="00780138">
            <w:pPr>
              <w:spacing w:line="240" w:lineRule="auto"/>
              <w:rPr>
                <w:rFonts w:hint="cs"/>
                <w:sz w:val="24"/>
                <w:rtl/>
              </w:rPr>
            </w:pPr>
            <w:r>
              <w:rPr>
                <w:sz w:val="24"/>
                <w:rtl/>
              </w:rPr>
              <w:t>מקום מגורים  מחוץ למוסד</w:t>
            </w:r>
          </w:p>
        </w:tc>
        <w:tc>
          <w:tcPr>
            <w:tcW w:w="1247" w:type="dxa"/>
          </w:tcPr>
          <w:p w:rsidR="00780138" w:rsidRDefault="00780138">
            <w:pPr>
              <w:spacing w:line="240" w:lineRule="auto"/>
              <w:rPr>
                <w:sz w:val="24"/>
              </w:rPr>
            </w:pPr>
            <w:r>
              <w:rPr>
                <w:sz w:val="24"/>
                <w:rtl/>
              </w:rPr>
              <w:t xml:space="preserve">סעיף 9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A208A">
              <w:rPr>
                <w:noProof/>
                <w:sz w:val="24"/>
                <w:rtl/>
              </w:rPr>
              <w:t>3</w:t>
            </w:r>
            <w:r>
              <w:rPr>
                <w:sz w:val="24"/>
                <w:rtl/>
              </w:rPr>
              <w:fldChar w:fldCharType="end"/>
            </w:r>
          </w:p>
        </w:tc>
        <w:tc>
          <w:tcPr>
            <w:tcW w:w="567" w:type="dxa"/>
          </w:tcPr>
          <w:p w:rsidR="00780138" w:rsidRDefault="00780138">
            <w:pPr>
              <w:spacing w:line="240" w:lineRule="auto"/>
              <w:rPr>
                <w:sz w:val="24"/>
              </w:rPr>
            </w:pPr>
            <w:hyperlink w:anchor="Seif9" w:tooltip="מקבל צו יציאה  שהוא למטה מגיל 21 חוק תשיד 1954" w:history="1">
              <w:r>
                <w:rPr>
                  <w:rStyle w:val="Hyperlink"/>
                </w:rPr>
                <w:t>Go</w:t>
              </w:r>
            </w:hyperlink>
          </w:p>
        </w:tc>
        <w:tc>
          <w:tcPr>
            <w:tcW w:w="5669" w:type="dxa"/>
          </w:tcPr>
          <w:p w:rsidR="00780138" w:rsidRDefault="00780138">
            <w:pPr>
              <w:spacing w:line="240" w:lineRule="auto"/>
              <w:rPr>
                <w:rFonts w:hint="cs"/>
                <w:sz w:val="24"/>
                <w:rtl/>
              </w:rPr>
            </w:pPr>
            <w:r>
              <w:rPr>
                <w:sz w:val="24"/>
                <w:rtl/>
              </w:rPr>
              <w:t>מקבל צו יציאה  שהוא למטה מגיל 21</w:t>
            </w:r>
          </w:p>
        </w:tc>
        <w:tc>
          <w:tcPr>
            <w:tcW w:w="1247" w:type="dxa"/>
          </w:tcPr>
          <w:p w:rsidR="00780138" w:rsidRDefault="00780138">
            <w:pPr>
              <w:spacing w:line="240" w:lineRule="auto"/>
              <w:rPr>
                <w:sz w:val="24"/>
              </w:rPr>
            </w:pPr>
            <w:r>
              <w:rPr>
                <w:sz w:val="24"/>
                <w:rtl/>
              </w:rPr>
              <w:t xml:space="preserve">סעיף 9א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A208A">
              <w:rPr>
                <w:noProof/>
                <w:sz w:val="24"/>
                <w:rtl/>
              </w:rPr>
              <w:t>3</w:t>
            </w:r>
            <w:r>
              <w:rPr>
                <w:sz w:val="24"/>
                <w:rtl/>
              </w:rPr>
              <w:fldChar w:fldCharType="end"/>
            </w:r>
          </w:p>
        </w:tc>
        <w:tc>
          <w:tcPr>
            <w:tcW w:w="567" w:type="dxa"/>
          </w:tcPr>
          <w:p w:rsidR="00780138" w:rsidRDefault="00780138">
            <w:pPr>
              <w:spacing w:line="240" w:lineRule="auto"/>
              <w:rPr>
                <w:sz w:val="24"/>
              </w:rPr>
            </w:pPr>
            <w:hyperlink w:anchor="Seif10" w:tooltip="חובתו של מקבל  צו יציאה" w:history="1">
              <w:r>
                <w:rPr>
                  <w:rStyle w:val="Hyperlink"/>
                </w:rPr>
                <w:t>Go</w:t>
              </w:r>
            </w:hyperlink>
          </w:p>
        </w:tc>
        <w:tc>
          <w:tcPr>
            <w:tcW w:w="5669" w:type="dxa"/>
          </w:tcPr>
          <w:p w:rsidR="00780138" w:rsidRDefault="00780138">
            <w:pPr>
              <w:spacing w:line="240" w:lineRule="auto"/>
              <w:rPr>
                <w:sz w:val="24"/>
                <w:rtl/>
              </w:rPr>
            </w:pPr>
            <w:r>
              <w:rPr>
                <w:sz w:val="24"/>
                <w:rtl/>
              </w:rPr>
              <w:t>חובתו של מקבל  צו יציאה</w:t>
            </w:r>
          </w:p>
        </w:tc>
        <w:tc>
          <w:tcPr>
            <w:tcW w:w="1247" w:type="dxa"/>
          </w:tcPr>
          <w:p w:rsidR="00780138" w:rsidRDefault="00780138">
            <w:pPr>
              <w:spacing w:line="240" w:lineRule="auto"/>
              <w:rPr>
                <w:sz w:val="24"/>
              </w:rPr>
            </w:pPr>
            <w:r>
              <w:rPr>
                <w:sz w:val="24"/>
                <w:rtl/>
              </w:rPr>
              <w:t xml:space="preserve">סעיף 10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A208A">
              <w:rPr>
                <w:noProof/>
                <w:sz w:val="24"/>
                <w:rtl/>
              </w:rPr>
              <w:t>3</w:t>
            </w:r>
            <w:r>
              <w:rPr>
                <w:sz w:val="24"/>
                <w:rtl/>
              </w:rPr>
              <w:fldChar w:fldCharType="end"/>
            </w:r>
          </w:p>
        </w:tc>
        <w:tc>
          <w:tcPr>
            <w:tcW w:w="567" w:type="dxa"/>
          </w:tcPr>
          <w:p w:rsidR="00780138" w:rsidRDefault="00780138">
            <w:pPr>
              <w:spacing w:line="240" w:lineRule="auto"/>
              <w:rPr>
                <w:sz w:val="24"/>
              </w:rPr>
            </w:pPr>
            <w:hyperlink w:anchor="Seif11" w:tooltip="ביצוע צווים" w:history="1">
              <w:r>
                <w:rPr>
                  <w:rStyle w:val="Hyperlink"/>
                </w:rPr>
                <w:t>Go</w:t>
              </w:r>
            </w:hyperlink>
          </w:p>
        </w:tc>
        <w:tc>
          <w:tcPr>
            <w:tcW w:w="5669" w:type="dxa"/>
          </w:tcPr>
          <w:p w:rsidR="00780138" w:rsidRDefault="00780138">
            <w:pPr>
              <w:spacing w:line="240" w:lineRule="auto"/>
              <w:rPr>
                <w:sz w:val="24"/>
                <w:rtl/>
              </w:rPr>
            </w:pPr>
            <w:r>
              <w:rPr>
                <w:sz w:val="24"/>
                <w:rtl/>
              </w:rPr>
              <w:t>ביצוע צווים</w:t>
            </w:r>
          </w:p>
        </w:tc>
        <w:tc>
          <w:tcPr>
            <w:tcW w:w="1247" w:type="dxa"/>
          </w:tcPr>
          <w:p w:rsidR="00780138" w:rsidRDefault="00780138">
            <w:pPr>
              <w:spacing w:line="240" w:lineRule="auto"/>
              <w:rPr>
                <w:sz w:val="24"/>
              </w:rPr>
            </w:pPr>
            <w:r>
              <w:rPr>
                <w:sz w:val="24"/>
                <w:rtl/>
              </w:rPr>
              <w:t xml:space="preserve">סעיף 11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A208A">
              <w:rPr>
                <w:noProof/>
                <w:sz w:val="24"/>
                <w:rtl/>
              </w:rPr>
              <w:t>3</w:t>
            </w:r>
            <w:r>
              <w:rPr>
                <w:sz w:val="24"/>
                <w:rtl/>
              </w:rPr>
              <w:fldChar w:fldCharType="end"/>
            </w:r>
          </w:p>
        </w:tc>
        <w:tc>
          <w:tcPr>
            <w:tcW w:w="567" w:type="dxa"/>
          </w:tcPr>
          <w:p w:rsidR="00780138" w:rsidRDefault="00780138">
            <w:pPr>
              <w:spacing w:line="240" w:lineRule="auto"/>
              <w:rPr>
                <w:sz w:val="24"/>
              </w:rPr>
            </w:pPr>
            <w:hyperlink w:anchor="Seif12" w:tooltip="תשלום רווחים לבעלים" w:history="1">
              <w:r>
                <w:rPr>
                  <w:rStyle w:val="Hyperlink"/>
                </w:rPr>
                <w:t>Go</w:t>
              </w:r>
            </w:hyperlink>
          </w:p>
        </w:tc>
        <w:tc>
          <w:tcPr>
            <w:tcW w:w="5669" w:type="dxa"/>
          </w:tcPr>
          <w:p w:rsidR="00780138" w:rsidRDefault="00780138">
            <w:pPr>
              <w:spacing w:line="240" w:lineRule="auto"/>
              <w:rPr>
                <w:sz w:val="24"/>
                <w:rtl/>
              </w:rPr>
            </w:pPr>
            <w:r>
              <w:rPr>
                <w:sz w:val="24"/>
                <w:rtl/>
              </w:rPr>
              <w:t>תשלום רווחים לבעלים</w:t>
            </w:r>
          </w:p>
        </w:tc>
        <w:tc>
          <w:tcPr>
            <w:tcW w:w="1247" w:type="dxa"/>
          </w:tcPr>
          <w:p w:rsidR="00780138" w:rsidRDefault="00780138">
            <w:pPr>
              <w:spacing w:line="240" w:lineRule="auto"/>
              <w:rPr>
                <w:sz w:val="24"/>
              </w:rPr>
            </w:pPr>
            <w:r>
              <w:rPr>
                <w:sz w:val="24"/>
                <w:rtl/>
              </w:rPr>
              <w:t xml:space="preserve">סעיף 12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A208A">
              <w:rPr>
                <w:noProof/>
                <w:sz w:val="24"/>
                <w:rtl/>
              </w:rPr>
              <w:t>3</w:t>
            </w:r>
            <w:r>
              <w:rPr>
                <w:sz w:val="24"/>
                <w:rtl/>
              </w:rPr>
              <w:fldChar w:fldCharType="end"/>
            </w:r>
          </w:p>
        </w:tc>
        <w:tc>
          <w:tcPr>
            <w:tcW w:w="567" w:type="dxa"/>
          </w:tcPr>
          <w:p w:rsidR="00780138" w:rsidRDefault="00780138">
            <w:pPr>
              <w:spacing w:line="240" w:lineRule="auto"/>
              <w:rPr>
                <w:sz w:val="24"/>
              </w:rPr>
            </w:pPr>
            <w:hyperlink w:anchor="Seif13" w:tooltip="ענשים" w:history="1">
              <w:r>
                <w:rPr>
                  <w:rStyle w:val="Hyperlink"/>
                </w:rPr>
                <w:t>Go</w:t>
              </w:r>
            </w:hyperlink>
          </w:p>
        </w:tc>
        <w:tc>
          <w:tcPr>
            <w:tcW w:w="5669" w:type="dxa"/>
          </w:tcPr>
          <w:p w:rsidR="00780138" w:rsidRDefault="00780138">
            <w:pPr>
              <w:spacing w:line="240" w:lineRule="auto"/>
              <w:rPr>
                <w:sz w:val="24"/>
                <w:rtl/>
              </w:rPr>
            </w:pPr>
            <w:r>
              <w:rPr>
                <w:sz w:val="24"/>
                <w:rtl/>
              </w:rPr>
              <w:t>ענשים</w:t>
            </w:r>
          </w:p>
        </w:tc>
        <w:tc>
          <w:tcPr>
            <w:tcW w:w="1247" w:type="dxa"/>
          </w:tcPr>
          <w:p w:rsidR="00780138" w:rsidRDefault="00780138">
            <w:pPr>
              <w:spacing w:line="240" w:lineRule="auto"/>
              <w:rPr>
                <w:sz w:val="24"/>
              </w:rPr>
            </w:pPr>
            <w:r>
              <w:rPr>
                <w:sz w:val="24"/>
                <w:rtl/>
              </w:rPr>
              <w:t xml:space="preserve">סעיף 13 </w:t>
            </w:r>
          </w:p>
        </w:tc>
      </w:tr>
      <w:tr w:rsidR="00780138">
        <w:tblPrEx>
          <w:tblCellMar>
            <w:top w:w="0" w:type="dxa"/>
            <w:bottom w:w="0" w:type="dxa"/>
          </w:tblCellMar>
        </w:tblPrEx>
        <w:tc>
          <w:tcPr>
            <w:tcW w:w="850" w:type="dxa"/>
          </w:tcPr>
          <w:p w:rsidR="00780138" w:rsidRDefault="0078013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BA208A">
              <w:rPr>
                <w:noProof/>
                <w:sz w:val="24"/>
                <w:rtl/>
              </w:rPr>
              <w:t>4</w:t>
            </w:r>
            <w:r>
              <w:rPr>
                <w:sz w:val="24"/>
                <w:rtl/>
              </w:rPr>
              <w:fldChar w:fldCharType="end"/>
            </w:r>
          </w:p>
        </w:tc>
        <w:tc>
          <w:tcPr>
            <w:tcW w:w="567" w:type="dxa"/>
          </w:tcPr>
          <w:p w:rsidR="00780138" w:rsidRDefault="00780138">
            <w:pPr>
              <w:spacing w:line="240" w:lineRule="auto"/>
              <w:rPr>
                <w:sz w:val="24"/>
              </w:rPr>
            </w:pPr>
            <w:hyperlink w:anchor="Seif14" w:tooltip="ביצוע ותקנות" w:history="1">
              <w:r>
                <w:rPr>
                  <w:rStyle w:val="Hyperlink"/>
                </w:rPr>
                <w:t>Go</w:t>
              </w:r>
            </w:hyperlink>
          </w:p>
        </w:tc>
        <w:tc>
          <w:tcPr>
            <w:tcW w:w="5669" w:type="dxa"/>
          </w:tcPr>
          <w:p w:rsidR="00780138" w:rsidRDefault="00780138">
            <w:pPr>
              <w:spacing w:line="240" w:lineRule="auto"/>
              <w:rPr>
                <w:sz w:val="24"/>
                <w:rtl/>
              </w:rPr>
            </w:pPr>
            <w:r>
              <w:rPr>
                <w:sz w:val="24"/>
                <w:rtl/>
              </w:rPr>
              <w:t>ביצוע ותקנות</w:t>
            </w:r>
          </w:p>
        </w:tc>
        <w:tc>
          <w:tcPr>
            <w:tcW w:w="1247" w:type="dxa"/>
          </w:tcPr>
          <w:p w:rsidR="00780138" w:rsidRDefault="00780138">
            <w:pPr>
              <w:spacing w:line="240" w:lineRule="auto"/>
              <w:rPr>
                <w:sz w:val="24"/>
              </w:rPr>
            </w:pPr>
            <w:r>
              <w:rPr>
                <w:sz w:val="24"/>
                <w:rtl/>
              </w:rPr>
              <w:t xml:space="preserve">סעיף 14 </w:t>
            </w:r>
          </w:p>
        </w:tc>
      </w:tr>
    </w:tbl>
    <w:p w:rsidR="00780138" w:rsidRDefault="00780138">
      <w:pPr>
        <w:pStyle w:val="big-header"/>
        <w:ind w:left="0" w:right="1134"/>
        <w:rPr>
          <w:rFonts w:cs="FrankRuehl"/>
          <w:sz w:val="32"/>
          <w:rtl/>
        </w:rPr>
      </w:pPr>
    </w:p>
    <w:p w:rsidR="00780138" w:rsidRDefault="00780138" w:rsidP="00C51B19">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לניהול מוסדות (מקרים מיוחדים), תשי"ב</w:t>
      </w:r>
      <w:r w:rsidR="00BA208A">
        <w:rPr>
          <w:rFonts w:cs="FrankRuehl" w:hint="cs"/>
          <w:sz w:val="32"/>
          <w:rtl/>
        </w:rPr>
        <w:t>-</w:t>
      </w:r>
      <w:r>
        <w:rPr>
          <w:rFonts w:cs="FrankRuehl"/>
          <w:sz w:val="32"/>
          <w:rtl/>
        </w:rPr>
        <w:t>1952</w:t>
      </w:r>
      <w:r w:rsidR="00BA208A">
        <w:rPr>
          <w:rStyle w:val="a6"/>
          <w:rFonts w:cs="FrankRuehl"/>
          <w:sz w:val="32"/>
          <w:rtl/>
        </w:rPr>
        <w:footnoteReference w:customMarkFollows="1" w:id="1"/>
        <w:t>*</w:t>
      </w:r>
    </w:p>
    <w:p w:rsidR="00780138" w:rsidRDefault="00780138" w:rsidP="00BA208A">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2.8pt;z-index:251650560" o:allowincell="f" filled="f" stroked="f" strokecolor="lime" strokeweight=".25pt">
            <v:textbox style="mso-next-textbox:#_x0000_s1026" inset="0,0,0,0">
              <w:txbxContent>
                <w:p w:rsidR="00780138" w:rsidRDefault="00780138" w:rsidP="00BA208A">
                  <w:pPr>
                    <w:spacing w:line="160" w:lineRule="exact"/>
                    <w:jc w:val="left"/>
                    <w:rPr>
                      <w:rFonts w:cs="Miriam"/>
                      <w:noProof/>
                      <w:sz w:val="18"/>
                      <w:szCs w:val="18"/>
                      <w:rtl/>
                    </w:rPr>
                  </w:pPr>
                  <w:r>
                    <w:rPr>
                      <w:rFonts w:cs="Miriam"/>
                      <w:sz w:val="18"/>
                      <w:szCs w:val="18"/>
                      <w:rtl/>
                    </w:rPr>
                    <w:t>"מ</w:t>
                  </w:r>
                  <w:r>
                    <w:rPr>
                      <w:rFonts w:cs="Miriam" w:hint="cs"/>
                      <w:sz w:val="18"/>
                      <w:szCs w:val="18"/>
                      <w:rtl/>
                    </w:rPr>
                    <w:t xml:space="preserve">וסד" </w:t>
                  </w:r>
                  <w:r w:rsidR="00BA208A">
                    <w:rPr>
                      <w:rFonts w:cs="Miriam"/>
                      <w:sz w:val="18"/>
                      <w:szCs w:val="18"/>
                      <w:rtl/>
                    </w:rPr>
                    <w:t>–</w:t>
                  </w:r>
                  <w:r>
                    <w:rPr>
                      <w:rFonts w:cs="Miriam"/>
                      <w:sz w:val="18"/>
                      <w:szCs w:val="18"/>
                      <w:rtl/>
                    </w:rPr>
                    <w:t xml:space="preserve"> </w:t>
                  </w:r>
                  <w:r>
                    <w:rPr>
                      <w:rFonts w:cs="Miriam" w:hint="cs"/>
                      <w:sz w:val="18"/>
                      <w:szCs w:val="18"/>
                      <w:rtl/>
                    </w:rPr>
                    <w:t>פ</w:t>
                  </w:r>
                  <w:r>
                    <w:rPr>
                      <w:rFonts w:cs="Miriam"/>
                      <w:sz w:val="18"/>
                      <w:szCs w:val="18"/>
                      <w:rtl/>
                    </w:rPr>
                    <w:t>י</w:t>
                  </w:r>
                  <w:r>
                    <w:rPr>
                      <w:rFonts w:cs="Miriam" w:hint="cs"/>
                      <w:sz w:val="18"/>
                      <w:szCs w:val="18"/>
                      <w:rtl/>
                    </w:rPr>
                    <w:t>רוש</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"מוסד" פירושו </w:t>
      </w:r>
      <w:r w:rsidR="00E453EE">
        <w:rPr>
          <w:rStyle w:val="default"/>
          <w:rFonts w:cs="FrankRuehl"/>
          <w:rtl/>
        </w:rPr>
        <w:t>–</w:t>
      </w:r>
      <w:r>
        <w:rPr>
          <w:rStyle w:val="default"/>
          <w:rFonts w:cs="FrankRuehl"/>
          <w:rtl/>
        </w:rPr>
        <w:t xml:space="preserve"> </w:t>
      </w:r>
      <w:r>
        <w:rPr>
          <w:rStyle w:val="default"/>
          <w:rFonts w:cs="FrankRuehl" w:hint="cs"/>
          <w:rtl/>
        </w:rPr>
        <w:t>מוסד או מקום אחר המשמש או שנועד לשמש, כולו או חלקו, כמקום מגורים, איכסון או אישפוז לאחד מאלה:</w:t>
      </w:r>
    </w:p>
    <w:p w:rsidR="00780138" w:rsidRDefault="00780138" w:rsidP="00E453E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וקים בגופם או בנפשם;</w:t>
      </w:r>
    </w:p>
    <w:p w:rsidR="00780138" w:rsidRDefault="00780138" w:rsidP="00E453E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ק</w:t>
      </w:r>
      <w:r>
        <w:rPr>
          <w:rStyle w:val="default"/>
          <w:rFonts w:cs="FrankRuehl" w:hint="cs"/>
          <w:rtl/>
        </w:rPr>
        <w:t>שי חינוך;</w:t>
      </w:r>
    </w:p>
    <w:p w:rsidR="00780138" w:rsidRDefault="00780138" w:rsidP="00E453EE">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יתו</w:t>
      </w:r>
      <w:r>
        <w:rPr>
          <w:rStyle w:val="default"/>
          <w:rFonts w:cs="FrankRuehl" w:hint="cs"/>
          <w:rtl/>
        </w:rPr>
        <w:t>מים, זקנים, או נכים;</w:t>
      </w:r>
    </w:p>
    <w:p w:rsidR="00780138" w:rsidRDefault="00780138" w:rsidP="00E453EE">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וברי אורח.</w:t>
      </w:r>
    </w:p>
    <w:p w:rsidR="00780138" w:rsidRDefault="00780138" w:rsidP="00BA208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4.3pt;z-index:251651584" o:allowincell="f" filled="f" stroked="f" strokecolor="lime" strokeweight=".25pt">
            <v:textbox style="mso-next-textbox:#_x0000_s1027" inset="0,0,0,0">
              <w:txbxContent>
                <w:p w:rsidR="00780138" w:rsidRDefault="0078013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הנהלה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שאי בית משפט מחוזי, על פי בקשתו של היועץ המשפטי לממשלת ישראל, או של המוסד הנוגע בדבר, לצוות, כי הנאמן הציבורי לעניני צדקה (להלן </w:t>
      </w:r>
      <w:r w:rsidR="00E453EE">
        <w:rPr>
          <w:rStyle w:val="default"/>
          <w:rFonts w:cs="FrankRuehl"/>
          <w:rtl/>
        </w:rPr>
        <w:t>–</w:t>
      </w:r>
      <w:r>
        <w:rPr>
          <w:rStyle w:val="default"/>
          <w:rFonts w:cs="FrankRuehl"/>
          <w:rtl/>
        </w:rPr>
        <w:t xml:space="preserve"> </w:t>
      </w:r>
      <w:r>
        <w:rPr>
          <w:rStyle w:val="default"/>
          <w:rFonts w:cs="FrankRuehl" w:hint="cs"/>
          <w:rtl/>
        </w:rPr>
        <w:t xml:space="preserve">הנאמן) יתפוס מוסד על מקרקעיו ומטלטליו, יחזיק בו וינהל אותו. לצו כזה ייקרא "צו </w:t>
      </w:r>
      <w:r>
        <w:rPr>
          <w:rStyle w:val="default"/>
          <w:rFonts w:cs="FrankRuehl"/>
          <w:rtl/>
        </w:rPr>
        <w:t>הנ</w:t>
      </w:r>
      <w:r>
        <w:rPr>
          <w:rStyle w:val="default"/>
          <w:rFonts w:cs="FrankRuehl" w:hint="cs"/>
          <w:rtl/>
        </w:rPr>
        <w:t>הלה".</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יתן בית המשפט צו הנהלה אלא למען מנוע הפרעות בהנהלה היעילה של המוסד בהתאם למטרות שלהן נוסד.</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המשפט רשאי,</w:t>
      </w:r>
      <w:r>
        <w:rPr>
          <w:rStyle w:val="default"/>
          <w:rFonts w:cs="FrankRuehl"/>
          <w:rtl/>
        </w:rPr>
        <w:t xml:space="preserve"> </w:t>
      </w:r>
      <w:r>
        <w:rPr>
          <w:rStyle w:val="default"/>
          <w:rFonts w:cs="FrankRuehl" w:hint="cs"/>
          <w:rtl/>
        </w:rPr>
        <w:t>על פי בקשתו של היועץ המשפטי לממשלת ישראל או של המוסד או של כל אדם מעונין, לשנות ולבטל צו הנהלה או להתנות בו תנאים מדי פעם בפעם.</w:t>
      </w:r>
    </w:p>
    <w:p w:rsidR="00780138" w:rsidRDefault="00780138" w:rsidP="00BA208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יה המוסד הקדש שנוצר לפני בית דין דתי, תהא הסמכות הנתונה לבית המשפט המחוזי לפי סעיף זה ולפי סעיפים 3 ו-6 </w:t>
      </w:r>
      <w:r w:rsidR="00E453EE">
        <w:rPr>
          <w:rStyle w:val="default"/>
          <w:rFonts w:cs="FrankRuehl"/>
          <w:rtl/>
        </w:rPr>
        <w:t>–</w:t>
      </w:r>
      <w:r>
        <w:rPr>
          <w:rStyle w:val="default"/>
          <w:rFonts w:cs="FrankRuehl"/>
          <w:rtl/>
        </w:rPr>
        <w:t xml:space="preserve"> </w:t>
      </w:r>
      <w:r>
        <w:rPr>
          <w:rStyle w:val="default"/>
          <w:rFonts w:cs="FrankRuehl" w:hint="cs"/>
          <w:rtl/>
        </w:rPr>
        <w:t xml:space="preserve">לבית הדין הדתי </w:t>
      </w:r>
      <w:r>
        <w:rPr>
          <w:rStyle w:val="default"/>
          <w:rFonts w:cs="FrankRuehl"/>
          <w:rtl/>
        </w:rPr>
        <w:t>ה</w:t>
      </w:r>
      <w:r>
        <w:rPr>
          <w:rStyle w:val="default"/>
          <w:rFonts w:cs="FrankRuehl" w:hint="cs"/>
          <w:rtl/>
        </w:rPr>
        <w:t>מוסמך.</w:t>
      </w:r>
    </w:p>
    <w:p w:rsidR="00780138" w:rsidRDefault="00780138">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0.1pt;z-index:251652608" o:allowincell="f" filled="f" stroked="f" strokecolor="lime" strokeweight=".25pt">
            <v:textbox style="mso-next-textbox:#_x0000_s1028" inset="0,0,0,0">
              <w:txbxContent>
                <w:p w:rsidR="00780138" w:rsidRDefault="00780138">
                  <w:pPr>
                    <w:spacing w:line="160" w:lineRule="exact"/>
                    <w:jc w:val="left"/>
                    <w:rPr>
                      <w:rFonts w:cs="Miriam"/>
                      <w:noProof/>
                      <w:sz w:val="18"/>
                      <w:szCs w:val="18"/>
                      <w:rtl/>
                    </w:rPr>
                  </w:pPr>
                  <w:r>
                    <w:rPr>
                      <w:rFonts w:cs="Miriam"/>
                      <w:sz w:val="18"/>
                      <w:szCs w:val="18"/>
                      <w:rtl/>
                    </w:rPr>
                    <w:t>הג</w:t>
                  </w:r>
                  <w:r>
                    <w:rPr>
                      <w:rFonts w:cs="Miriam" w:hint="cs"/>
                      <w:sz w:val="18"/>
                      <w:szCs w:val="18"/>
                      <w:rtl/>
                    </w:rPr>
                    <w:t>בלת זמן</w:t>
                  </w:r>
                </w:p>
              </w:txbxContent>
            </v:textbox>
            <w10:anchorlock/>
          </v:rect>
        </w:pict>
      </w:r>
      <w:r>
        <w:rPr>
          <w:rStyle w:val="big-number"/>
          <w:rFonts w:cs="Miriam"/>
          <w:rtl/>
        </w:rPr>
        <w:t>3.</w:t>
      </w:r>
      <w:r>
        <w:rPr>
          <w:rStyle w:val="big-number"/>
          <w:rFonts w:cs="Miriam"/>
          <w:rtl/>
        </w:rPr>
        <w:tab/>
      </w:r>
      <w:r>
        <w:rPr>
          <w:rStyle w:val="default"/>
          <w:rFonts w:cs="FrankRuehl"/>
          <w:rtl/>
        </w:rPr>
        <w:t>צו</w:t>
      </w:r>
      <w:r>
        <w:rPr>
          <w:rStyle w:val="default"/>
          <w:rFonts w:cs="FrankRuehl" w:hint="cs"/>
          <w:rtl/>
        </w:rPr>
        <w:t xml:space="preserve"> הנהלה לא יינתן לתקופה העולה על שנה אחת, אולם רשאי בית המשפט להאריך את תקפו של הצו לתקופה נוספת שלא תעלה בכל פעם על</w:t>
      </w:r>
      <w:r>
        <w:rPr>
          <w:rStyle w:val="default"/>
          <w:rFonts w:cs="FrankRuehl"/>
          <w:rtl/>
        </w:rPr>
        <w:t xml:space="preserve"> ש</w:t>
      </w:r>
      <w:r>
        <w:rPr>
          <w:rStyle w:val="default"/>
          <w:rFonts w:cs="FrankRuehl" w:hint="cs"/>
          <w:rtl/>
        </w:rPr>
        <w:t>שה חדשים.</w:t>
      </w:r>
    </w:p>
    <w:p w:rsidR="00780138" w:rsidRDefault="00780138">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0.75pt;z-index:251653632" o:allowincell="f" filled="f" stroked="f" strokecolor="lime" strokeweight=".25pt">
            <v:textbox style="mso-next-textbox:#_x0000_s1029" inset="0,0,0,0">
              <w:txbxContent>
                <w:p w:rsidR="00780138" w:rsidRDefault="00780138">
                  <w:pPr>
                    <w:spacing w:line="160" w:lineRule="exact"/>
                    <w:jc w:val="left"/>
                    <w:rPr>
                      <w:rFonts w:cs="Miriam"/>
                      <w:noProof/>
                      <w:sz w:val="18"/>
                      <w:szCs w:val="18"/>
                      <w:rtl/>
                    </w:rPr>
                  </w:pPr>
                  <w:r>
                    <w:rPr>
                      <w:rFonts w:cs="Miriam"/>
                      <w:sz w:val="18"/>
                      <w:szCs w:val="18"/>
                      <w:rtl/>
                    </w:rPr>
                    <w:t>הנ</w:t>
                  </w:r>
                  <w:r>
                    <w:rPr>
                      <w:rFonts w:cs="Miriam" w:hint="cs"/>
                      <w:sz w:val="18"/>
                      <w:szCs w:val="18"/>
                      <w:rtl/>
                    </w:rPr>
                    <w:t>הלת המוסד</w:t>
                  </w:r>
                </w:p>
              </w:txbxContent>
            </v:textbox>
            <w10:anchorlock/>
          </v:rect>
        </w:pict>
      </w:r>
      <w:r>
        <w:rPr>
          <w:rStyle w:val="big-number"/>
          <w:rFonts w:cs="Miriam"/>
          <w:rtl/>
        </w:rPr>
        <w:t>4.</w:t>
      </w:r>
      <w:r>
        <w:rPr>
          <w:rStyle w:val="big-number"/>
          <w:rFonts w:cs="Miriam"/>
          <w:rtl/>
        </w:rPr>
        <w:tab/>
      </w:r>
      <w:r>
        <w:rPr>
          <w:rStyle w:val="default"/>
          <w:rFonts w:cs="FrankRuehl"/>
          <w:rtl/>
        </w:rPr>
        <w:t>ני</w:t>
      </w:r>
      <w:r>
        <w:rPr>
          <w:rStyle w:val="default"/>
          <w:rFonts w:cs="FrankRuehl" w:hint="cs"/>
          <w:rtl/>
        </w:rPr>
        <w:t>תן צו הנהלה, ינהל הנאמן את המוסד, אם בעצמו ואם באמצעות מנהל או מינהלה שמונו על ידיו</w:t>
      </w:r>
      <w:r>
        <w:rPr>
          <w:rStyle w:val="default"/>
          <w:rFonts w:cs="FrankRuehl"/>
          <w:rtl/>
        </w:rPr>
        <w:t xml:space="preserve">, </w:t>
      </w:r>
      <w:r>
        <w:rPr>
          <w:rStyle w:val="default"/>
          <w:rFonts w:cs="FrankRuehl" w:hint="cs"/>
          <w:rtl/>
        </w:rPr>
        <w:t>לפי אפיו המיוחד של המוסד בהתאם לכוונה המוצהרת של מייסדיו.</w:t>
      </w:r>
    </w:p>
    <w:p w:rsidR="00780138" w:rsidRDefault="00780138">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7.05pt;z-index:251654656" o:allowincell="f" filled="f" stroked="f" strokecolor="lime" strokeweight=".25pt">
            <v:textbox style="mso-next-textbox:#_x0000_s1030" inset="0,0,0,0">
              <w:txbxContent>
                <w:p w:rsidR="00780138" w:rsidRDefault="00780138" w:rsidP="00BA208A">
                  <w:pPr>
                    <w:spacing w:line="160" w:lineRule="exact"/>
                    <w:jc w:val="left"/>
                    <w:rPr>
                      <w:rFonts w:cs="Miriam"/>
                      <w:noProof/>
                      <w:sz w:val="18"/>
                      <w:szCs w:val="18"/>
                      <w:rtl/>
                    </w:rPr>
                  </w:pPr>
                  <w:r>
                    <w:rPr>
                      <w:rFonts w:cs="Miriam"/>
                      <w:sz w:val="18"/>
                      <w:szCs w:val="18"/>
                      <w:rtl/>
                    </w:rPr>
                    <w:t>הנ</w:t>
                  </w:r>
                  <w:r>
                    <w:rPr>
                      <w:rFonts w:cs="Miriam" w:hint="cs"/>
                      <w:sz w:val="18"/>
                      <w:szCs w:val="18"/>
                      <w:rtl/>
                    </w:rPr>
                    <w:t>אמן מורשם</w:t>
                  </w:r>
                  <w:r w:rsidR="00BA208A">
                    <w:rPr>
                      <w:rFonts w:cs="Miriam" w:hint="cs"/>
                      <w:sz w:val="18"/>
                      <w:szCs w:val="18"/>
                      <w:rtl/>
                    </w:rPr>
                    <w:t xml:space="preserve"> </w:t>
                  </w:r>
                  <w:r>
                    <w:rPr>
                      <w:rFonts w:cs="Miriam"/>
                      <w:sz w:val="18"/>
                      <w:szCs w:val="18"/>
                      <w:rtl/>
                    </w:rPr>
                    <w:t>של</w:t>
                  </w:r>
                  <w:r>
                    <w:rPr>
                      <w:rFonts w:cs="Miriam" w:hint="cs"/>
                      <w:sz w:val="18"/>
                      <w:szCs w:val="18"/>
                      <w:rtl/>
                    </w:rPr>
                    <w:t xml:space="preserve"> בעלי המוסד</w:t>
                  </w:r>
                </w:p>
              </w:txbxContent>
            </v:textbox>
            <w10:anchorlock/>
          </v:rect>
        </w:pict>
      </w:r>
      <w:r>
        <w:rPr>
          <w:rStyle w:val="big-number"/>
          <w:rFonts w:cs="Miriam"/>
          <w:rtl/>
        </w:rPr>
        <w:t>5.</w:t>
      </w:r>
      <w:r>
        <w:rPr>
          <w:rStyle w:val="big-number"/>
          <w:rFonts w:cs="Miriam"/>
          <w:rtl/>
        </w:rPr>
        <w:tab/>
      </w:r>
      <w:r>
        <w:rPr>
          <w:rStyle w:val="default"/>
          <w:rFonts w:cs="FrankRuehl"/>
          <w:rtl/>
        </w:rPr>
        <w:t>בכ</w:t>
      </w:r>
      <w:r>
        <w:rPr>
          <w:rStyle w:val="default"/>
          <w:rFonts w:cs="FrankRuehl" w:hint="cs"/>
          <w:rtl/>
        </w:rPr>
        <w:t>ל ענין הנוגע להנהלת המוסד רואים את הנאמן כאילו פעל כמורשם של בעלי המוסד.</w:t>
      </w:r>
    </w:p>
    <w:p w:rsidR="00780138" w:rsidRDefault="00780138">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3.9pt;z-index:251655680" o:allowincell="f" filled="f" stroked="f" strokecolor="lime" strokeweight=".25pt">
            <v:textbox style="mso-next-textbox:#_x0000_s1031" inset="0,0,0,0">
              <w:txbxContent>
                <w:p w:rsidR="00780138" w:rsidRDefault="00780138">
                  <w:pPr>
                    <w:spacing w:line="160" w:lineRule="exact"/>
                    <w:jc w:val="left"/>
                    <w:rPr>
                      <w:rFonts w:cs="Miriam"/>
                      <w:noProof/>
                      <w:sz w:val="18"/>
                      <w:szCs w:val="18"/>
                      <w:rtl/>
                    </w:rPr>
                  </w:pPr>
                  <w:r>
                    <w:rPr>
                      <w:rFonts w:cs="Miriam"/>
                      <w:sz w:val="18"/>
                      <w:szCs w:val="18"/>
                      <w:rtl/>
                    </w:rPr>
                    <w:t>בי</w:t>
                  </w:r>
                  <w:r>
                    <w:rPr>
                      <w:rFonts w:cs="Miriam" w:hint="cs"/>
                      <w:sz w:val="18"/>
                      <w:szCs w:val="18"/>
                      <w:rtl/>
                    </w:rPr>
                    <w:t>טול הסכמים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נאמן רשאי, באישור בית המשפט, לבטל או להשהות, לתקופה שבה צו ההנהלה עומד בתקפו, כל הסכם הנוגע למוסד או שה</w:t>
      </w:r>
      <w:r>
        <w:rPr>
          <w:rStyle w:val="default"/>
          <w:rFonts w:cs="FrankRuehl"/>
          <w:rtl/>
        </w:rPr>
        <w:t>מו</w:t>
      </w:r>
      <w:r>
        <w:rPr>
          <w:rStyle w:val="default"/>
          <w:rFonts w:cs="FrankRuehl" w:hint="cs"/>
          <w:rtl/>
        </w:rPr>
        <w:t>סד הוא צד לו, אם הוא סבור כי ביטול או השהיה כאמור דרושים</w:t>
      </w:r>
      <w:r>
        <w:rPr>
          <w:rStyle w:val="default"/>
          <w:rFonts w:cs="FrankRuehl"/>
          <w:rtl/>
        </w:rPr>
        <w:t xml:space="preserve"> </w:t>
      </w:r>
      <w:r>
        <w:rPr>
          <w:rStyle w:val="default"/>
          <w:rFonts w:cs="FrankRuehl" w:hint="cs"/>
          <w:rtl/>
        </w:rPr>
        <w:t>לניהול יעיל של המוסד.</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ימוש בסמכות לפי סעיף זה אינו מוציא תביעה אזרחית נגד המוסד או בעליו.</w:t>
      </w:r>
    </w:p>
    <w:p w:rsidR="00780138" w:rsidRDefault="00780138">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8.6pt;z-index:251656704" o:allowincell="f" filled="f" stroked="f" strokecolor="lime" strokeweight=".25pt">
            <v:textbox style="mso-next-textbox:#_x0000_s1032" inset="0,0,0,0">
              <w:txbxContent>
                <w:p w:rsidR="00780138" w:rsidRDefault="00780138" w:rsidP="00BA208A">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התערבות ב</w:t>
                  </w:r>
                  <w:r>
                    <w:rPr>
                      <w:rFonts w:cs="Miriam"/>
                      <w:sz w:val="18"/>
                      <w:szCs w:val="18"/>
                      <w:rtl/>
                    </w:rPr>
                    <w:t>ע</w:t>
                  </w:r>
                  <w:r>
                    <w:rPr>
                      <w:rFonts w:cs="Miriam" w:hint="cs"/>
                      <w:sz w:val="18"/>
                      <w:szCs w:val="18"/>
                      <w:rtl/>
                    </w:rPr>
                    <w:t>ניני המוסד</w:t>
                  </w:r>
                </w:p>
              </w:txbxContent>
            </v:textbox>
            <w10:anchorlock/>
          </v:rect>
        </w:pict>
      </w:r>
      <w:r>
        <w:rPr>
          <w:rStyle w:val="big-number"/>
          <w:rFonts w:cs="Miriam"/>
          <w:rtl/>
        </w:rPr>
        <w:t>7.</w:t>
      </w:r>
      <w:r>
        <w:rPr>
          <w:rStyle w:val="big-number"/>
          <w:rFonts w:cs="Miriam"/>
          <w:rtl/>
        </w:rPr>
        <w:tab/>
      </w:r>
      <w:r>
        <w:rPr>
          <w:rStyle w:val="default"/>
          <w:rFonts w:cs="FrankRuehl"/>
          <w:rtl/>
        </w:rPr>
        <w:t>כל</w:t>
      </w:r>
      <w:r>
        <w:rPr>
          <w:rStyle w:val="default"/>
          <w:rFonts w:cs="FrankRuehl" w:hint="cs"/>
          <w:rtl/>
        </w:rPr>
        <w:t xml:space="preserve"> זמן שצו הנהלה עומד בתקפו, לא תהא לבעלי המוסד או לאדם אחר, פרט לנאמן, כל זכות להחזיק בו או בחלק</w:t>
      </w:r>
      <w:r>
        <w:rPr>
          <w:rStyle w:val="default"/>
          <w:rFonts w:cs="FrankRuehl"/>
          <w:rtl/>
        </w:rPr>
        <w:t xml:space="preserve"> מ</w:t>
      </w:r>
      <w:r>
        <w:rPr>
          <w:rStyle w:val="default"/>
          <w:rFonts w:cs="FrankRuehl" w:hint="cs"/>
          <w:rtl/>
        </w:rPr>
        <w:t>מנו, להתערב בהנהלתו, להיכנס ל</w:t>
      </w:r>
      <w:r>
        <w:rPr>
          <w:rStyle w:val="default"/>
          <w:rFonts w:cs="FrankRuehl"/>
          <w:rtl/>
        </w:rPr>
        <w:t>ת</w:t>
      </w:r>
      <w:r>
        <w:rPr>
          <w:rStyle w:val="default"/>
          <w:rFonts w:cs="FrankRuehl" w:hint="cs"/>
          <w:rtl/>
        </w:rPr>
        <w:t>וכו או להוציא מתוכו מטלטלים, אלא על פי היתר בכתב מאת הנאמן.</w:t>
      </w:r>
    </w:p>
    <w:p w:rsidR="00780138" w:rsidRDefault="00780138" w:rsidP="00BA208A">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1.9pt;z-index:251657728" o:allowincell="f" filled="f" stroked="f" strokecolor="lime" strokeweight=".25pt">
            <v:textbox style="mso-next-textbox:#_x0000_s1033" inset="0,0,0,0">
              <w:txbxContent>
                <w:p w:rsidR="00780138" w:rsidRDefault="0078013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יציאה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 xml:space="preserve">שאי שופט שלום, על פי בקשת היועץ המשפטי לממשלת ישראל או על פי בקשת המוסד הנוגע בדבר, ואם ניתן צו הנהלה </w:t>
      </w:r>
      <w:r w:rsidR="00BA208A">
        <w:rPr>
          <w:rStyle w:val="default"/>
          <w:rFonts w:cs="FrankRuehl" w:hint="cs"/>
          <w:rtl/>
        </w:rPr>
        <w:t>-</w:t>
      </w:r>
      <w:r>
        <w:rPr>
          <w:rStyle w:val="default"/>
          <w:rFonts w:cs="FrankRuehl"/>
          <w:rtl/>
        </w:rPr>
        <w:t xml:space="preserve"> </w:t>
      </w:r>
      <w:r>
        <w:rPr>
          <w:rStyle w:val="default"/>
          <w:rFonts w:cs="FrankRuehl" w:hint="cs"/>
          <w:rtl/>
        </w:rPr>
        <w:t>רשאי הנאמן, לצוות על כל אדם הנמצא בשטח המוסד לצאת א</w:t>
      </w:r>
      <w:r>
        <w:rPr>
          <w:rStyle w:val="default"/>
          <w:rFonts w:cs="FrankRuehl"/>
          <w:rtl/>
        </w:rPr>
        <w:t>ות</w:t>
      </w:r>
      <w:r>
        <w:rPr>
          <w:rStyle w:val="default"/>
          <w:rFonts w:cs="FrankRuehl" w:hint="cs"/>
          <w:rtl/>
        </w:rPr>
        <w:t>ו שטח, לזמן שייקבע בצו או ללא תחום זמן, ולא להיכנס אליו עוד לכל מטרה שהיא אלא בהסכמת הנאמן בכתב ולפי התנאים שייקבעו בהסכמה. לצו כזה ייקרא "צו יציאה".</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יתן צו יציאה על ידי נאמן, רשאי כל מי שנפגע על ידי הצו לערער עליו לפני שופט שלום, ובלבד שהגשת הערעו</w:t>
      </w:r>
      <w:r>
        <w:rPr>
          <w:rStyle w:val="default"/>
          <w:rFonts w:cs="FrankRuehl"/>
          <w:rtl/>
        </w:rPr>
        <w:t xml:space="preserve">ר </w:t>
      </w:r>
      <w:r>
        <w:rPr>
          <w:rStyle w:val="default"/>
          <w:rFonts w:cs="FrankRuehl" w:hint="cs"/>
          <w:rtl/>
        </w:rPr>
        <w:t>לא תעכב ביצוע הצו.</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א יינתן צו יציאה אלא אם שופט השלום או הנאמן ישוכנע שהצו דרוש למען מנוע הפרעות בניהול היעיל של המוסד בהתאם למטרות שלהן נוסד.</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צ</w:t>
      </w:r>
      <w:r>
        <w:rPr>
          <w:rStyle w:val="default"/>
          <w:rFonts w:cs="FrankRuehl" w:hint="cs"/>
          <w:rtl/>
        </w:rPr>
        <w:t>ו יציאה יעמוד בתוקף על אף האמור בכל חוק או בכל הסכם.</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ואים צו יציאה כאילו הובא לידיעת האדם שעל</w:t>
      </w:r>
      <w:r>
        <w:rPr>
          <w:rStyle w:val="default"/>
          <w:rFonts w:cs="FrankRuehl"/>
          <w:rtl/>
        </w:rPr>
        <w:t>יו</w:t>
      </w:r>
      <w:r>
        <w:rPr>
          <w:rStyle w:val="default"/>
          <w:rFonts w:cs="FrankRuehl" w:hint="cs"/>
          <w:rtl/>
        </w:rPr>
        <w:t xml:space="preserve"> ניתן, אם פורסם או הומצא בכל דרך של פרסום והמצאה שהורה עליה שופט השלום או הנאמן.</w:t>
      </w:r>
    </w:p>
    <w:p w:rsidR="00780138" w:rsidRDefault="00780138" w:rsidP="00BA208A">
      <w:pPr>
        <w:pStyle w:val="P00"/>
        <w:spacing w:before="72"/>
        <w:ind w:left="0" w:right="1134"/>
        <w:rPr>
          <w:rStyle w:val="default"/>
          <w:rFonts w:cs="FrankRuehl" w:hint="cs"/>
          <w:rtl/>
        </w:rPr>
      </w:pPr>
      <w:bookmarkStart w:id="8" w:name="Seif8"/>
      <w:bookmarkEnd w:id="8"/>
      <w:r>
        <w:rPr>
          <w:lang w:val="he-IL"/>
        </w:rPr>
        <w:lastRenderedPageBreak/>
        <w:pict>
          <v:rect id="_x0000_s1034" style="position:absolute;left:0;text-align:left;margin-left:464.5pt;margin-top:8.05pt;width:75.05pt;height:35.8pt;z-index:251658752" o:allowincell="f" filled="f" stroked="f" strokecolor="lime" strokeweight=".25pt">
            <v:textbox style="mso-next-textbox:#_x0000_s1034" inset="0,0,0,0">
              <w:txbxContent>
                <w:p w:rsidR="00780138" w:rsidRDefault="00780138" w:rsidP="00BA208A">
                  <w:pPr>
                    <w:spacing w:line="160" w:lineRule="exact"/>
                    <w:jc w:val="left"/>
                    <w:rPr>
                      <w:rFonts w:cs="Miriam"/>
                      <w:noProof/>
                      <w:sz w:val="18"/>
                      <w:szCs w:val="18"/>
                      <w:rtl/>
                    </w:rPr>
                  </w:pPr>
                  <w:r>
                    <w:rPr>
                      <w:rFonts w:cs="Miriam"/>
                      <w:sz w:val="18"/>
                      <w:szCs w:val="18"/>
                      <w:rtl/>
                    </w:rPr>
                    <w:t>מק</w:t>
                  </w:r>
                  <w:r>
                    <w:rPr>
                      <w:rFonts w:cs="Miriam" w:hint="cs"/>
                      <w:sz w:val="18"/>
                      <w:szCs w:val="18"/>
                      <w:rtl/>
                    </w:rPr>
                    <w:t>ום מגורים מ</w:t>
                  </w:r>
                  <w:r>
                    <w:rPr>
                      <w:rFonts w:cs="Miriam"/>
                      <w:sz w:val="18"/>
                      <w:szCs w:val="18"/>
                      <w:rtl/>
                    </w:rPr>
                    <w:t>ח</w:t>
                  </w:r>
                  <w:r>
                    <w:rPr>
                      <w:rFonts w:cs="Miriam" w:hint="cs"/>
                      <w:sz w:val="18"/>
                      <w:szCs w:val="18"/>
                      <w:rtl/>
                    </w:rPr>
                    <w:t>ו</w:t>
                  </w:r>
                  <w:r>
                    <w:rPr>
                      <w:rFonts w:cs="Miriam"/>
                      <w:sz w:val="18"/>
                      <w:szCs w:val="18"/>
                      <w:rtl/>
                    </w:rPr>
                    <w:t xml:space="preserve">ץ </w:t>
                  </w:r>
                  <w:r>
                    <w:rPr>
                      <w:rFonts w:cs="Miriam" w:hint="cs"/>
                      <w:sz w:val="18"/>
                      <w:szCs w:val="18"/>
                      <w:rtl/>
                    </w:rPr>
                    <w:t>למוסד</w:t>
                  </w:r>
                </w:p>
                <w:p w:rsidR="00780138" w:rsidRDefault="00BA208A" w:rsidP="00BA20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780138">
                    <w:rPr>
                      <w:rFonts w:cs="Miriam" w:hint="cs"/>
                      <w:sz w:val="18"/>
                      <w:szCs w:val="18"/>
                      <w:rtl/>
                    </w:rPr>
                    <w:t>תשי"ד</w:t>
                  </w:r>
                  <w:r>
                    <w:rPr>
                      <w:rFonts w:cs="Miriam" w:hint="cs"/>
                      <w:sz w:val="18"/>
                      <w:szCs w:val="18"/>
                      <w:rtl/>
                    </w:rPr>
                    <w:t>-</w:t>
                  </w:r>
                  <w:r w:rsidR="00780138">
                    <w:rPr>
                      <w:rFonts w:cs="Miriam"/>
                      <w:sz w:val="18"/>
                      <w:szCs w:val="18"/>
                      <w:rtl/>
                    </w:rPr>
                    <w:t>1954</w:t>
                  </w:r>
                </w:p>
              </w:txbxContent>
            </v:textbox>
            <w10:anchorlock/>
          </v:rect>
        </w:pict>
      </w:r>
      <w:r>
        <w:rPr>
          <w:rStyle w:val="big-number"/>
          <w:rFonts w:cs="Miriam"/>
          <w:rtl/>
        </w:rPr>
        <w:t>9.</w:t>
      </w:r>
      <w:r>
        <w:rPr>
          <w:rStyle w:val="big-number"/>
          <w:rFonts w:cs="Miriam"/>
          <w:rtl/>
        </w:rPr>
        <w:tab/>
      </w:r>
      <w:r>
        <w:rPr>
          <w:rStyle w:val="default"/>
          <w:rFonts w:cs="FrankRuehl"/>
          <w:rtl/>
        </w:rPr>
        <w:t>אד</w:t>
      </w:r>
      <w:r>
        <w:rPr>
          <w:rStyle w:val="default"/>
          <w:rFonts w:cs="FrankRuehl" w:hint="cs"/>
          <w:rtl/>
        </w:rPr>
        <w:t>ם שאין לו מקום מגורים אחר מחוץ לשטח המוסד, והוא, לגבי מקום מגוריו בשטח המוסד, מוגן מפני צו פינוי לפי פקודת הגבלת שכר דירה (דירות), 1940,</w:t>
      </w:r>
      <w:r>
        <w:rPr>
          <w:rStyle w:val="default"/>
          <w:rFonts w:cs="FrankRuehl"/>
          <w:rtl/>
        </w:rPr>
        <w:t xml:space="preserve"> א</w:t>
      </w:r>
      <w:r>
        <w:rPr>
          <w:rStyle w:val="default"/>
          <w:rFonts w:cs="FrankRuehl" w:hint="cs"/>
          <w:rtl/>
        </w:rPr>
        <w:t xml:space="preserve">ו לפי פקודת ההגבלות על שכר דירה (בתי עסק), 1941, וכן אדם שאין לו מקום מגורים אחר כאמור והוא מחוסר יכולת להשיג מקום מגורים מחוץ לשטח המוסד מחמת גילו, מומו, או מצב בריאותו </w:t>
      </w:r>
      <w:r w:rsidR="00BA208A">
        <w:rPr>
          <w:rStyle w:val="default"/>
          <w:rFonts w:cs="FrankRuehl" w:hint="cs"/>
          <w:rtl/>
        </w:rPr>
        <w:t>-</w:t>
      </w:r>
      <w:r>
        <w:rPr>
          <w:rStyle w:val="default"/>
          <w:rFonts w:cs="FrankRuehl"/>
          <w:rtl/>
        </w:rPr>
        <w:t xml:space="preserve"> </w:t>
      </w:r>
      <w:r>
        <w:rPr>
          <w:rStyle w:val="default"/>
          <w:rFonts w:cs="FrankRuehl" w:hint="cs"/>
          <w:rtl/>
        </w:rPr>
        <w:t xml:space="preserve">לא יינתן נגדו צו יציאה, אלא אם הועמד לרשותו מקום מגורים מחוץ </w:t>
      </w:r>
      <w:r>
        <w:rPr>
          <w:rStyle w:val="default"/>
          <w:rFonts w:cs="FrankRuehl"/>
          <w:rtl/>
        </w:rPr>
        <w:t>ל</w:t>
      </w:r>
      <w:r>
        <w:rPr>
          <w:rStyle w:val="default"/>
          <w:rFonts w:cs="FrankRuehl" w:hint="cs"/>
          <w:rtl/>
        </w:rPr>
        <w:t xml:space="preserve">שטח המוסד, המתאים, </w:t>
      </w:r>
      <w:r>
        <w:rPr>
          <w:rStyle w:val="default"/>
          <w:rFonts w:cs="FrankRuehl"/>
          <w:rtl/>
        </w:rPr>
        <w:t>ל</w:t>
      </w:r>
      <w:r>
        <w:rPr>
          <w:rStyle w:val="default"/>
          <w:rFonts w:cs="FrankRuehl" w:hint="cs"/>
          <w:rtl/>
        </w:rPr>
        <w:t>ד</w:t>
      </w:r>
      <w:r>
        <w:rPr>
          <w:rStyle w:val="default"/>
          <w:rFonts w:cs="FrankRuehl"/>
          <w:rtl/>
        </w:rPr>
        <w:t>ע</w:t>
      </w:r>
      <w:r>
        <w:rPr>
          <w:rStyle w:val="default"/>
          <w:rFonts w:cs="FrankRuehl" w:hint="cs"/>
          <w:rtl/>
        </w:rPr>
        <w:t>ת הרשות הנותנת את צו היציאה, לצרכי אותו אדם.</w:t>
      </w:r>
    </w:p>
    <w:p w:rsidR="009B0BF6" w:rsidRPr="00E453EE" w:rsidRDefault="009B0BF6" w:rsidP="00153D1C">
      <w:pPr>
        <w:pStyle w:val="P00"/>
        <w:spacing w:before="0"/>
        <w:ind w:left="0" w:right="1134"/>
        <w:rPr>
          <w:rFonts w:cs="FrankRuehl" w:hint="cs"/>
          <w:b/>
          <w:bCs/>
          <w:vanish/>
          <w:szCs w:val="20"/>
          <w:shd w:val="clear" w:color="auto" w:fill="FFFF99"/>
          <w:rtl/>
        </w:rPr>
      </w:pPr>
      <w:bookmarkStart w:id="9" w:name="Rov17"/>
      <w:r w:rsidRPr="00E453EE">
        <w:rPr>
          <w:rFonts w:cs="FrankRuehl" w:hint="cs"/>
          <w:vanish/>
          <w:color w:val="FF0000"/>
          <w:szCs w:val="20"/>
          <w:shd w:val="clear" w:color="auto" w:fill="FFFF99"/>
          <w:rtl/>
        </w:rPr>
        <w:t xml:space="preserve">מיום </w:t>
      </w:r>
      <w:r w:rsidR="00153D1C" w:rsidRPr="00E453EE">
        <w:rPr>
          <w:rFonts w:cs="FrankRuehl" w:hint="cs"/>
          <w:vanish/>
          <w:color w:val="FF0000"/>
          <w:szCs w:val="20"/>
          <w:shd w:val="clear" w:color="auto" w:fill="FFFF99"/>
          <w:rtl/>
        </w:rPr>
        <w:t>14</w:t>
      </w:r>
      <w:r w:rsidRPr="00E453EE">
        <w:rPr>
          <w:rFonts w:cs="FrankRuehl" w:hint="cs"/>
          <w:vanish/>
          <w:color w:val="FF0000"/>
          <w:szCs w:val="20"/>
          <w:shd w:val="clear" w:color="auto" w:fill="FFFF99"/>
          <w:rtl/>
        </w:rPr>
        <w:t>.</w:t>
      </w:r>
      <w:r w:rsidR="00153D1C" w:rsidRPr="00E453EE">
        <w:rPr>
          <w:rFonts w:cs="FrankRuehl" w:hint="cs"/>
          <w:vanish/>
          <w:color w:val="FF0000"/>
          <w:szCs w:val="20"/>
          <w:shd w:val="clear" w:color="auto" w:fill="FFFF99"/>
          <w:rtl/>
        </w:rPr>
        <w:t>4</w:t>
      </w:r>
      <w:r w:rsidRPr="00E453EE">
        <w:rPr>
          <w:rFonts w:cs="FrankRuehl" w:hint="cs"/>
          <w:vanish/>
          <w:color w:val="FF0000"/>
          <w:szCs w:val="20"/>
          <w:shd w:val="clear" w:color="auto" w:fill="FFFF99"/>
          <w:rtl/>
        </w:rPr>
        <w:t>.</w:t>
      </w:r>
      <w:r w:rsidR="00153D1C" w:rsidRPr="00E453EE">
        <w:rPr>
          <w:rFonts w:cs="FrankRuehl" w:hint="cs"/>
          <w:vanish/>
          <w:color w:val="FF0000"/>
          <w:szCs w:val="20"/>
          <w:shd w:val="clear" w:color="auto" w:fill="FFFF99"/>
          <w:rtl/>
        </w:rPr>
        <w:t>1954</w:t>
      </w:r>
    </w:p>
    <w:p w:rsidR="009B0BF6" w:rsidRPr="00E453EE" w:rsidRDefault="00153D1C" w:rsidP="009B0BF6">
      <w:pPr>
        <w:pStyle w:val="P00"/>
        <w:spacing w:before="0"/>
        <w:ind w:left="0" w:right="1134"/>
        <w:rPr>
          <w:rFonts w:cs="FrankRuehl" w:hint="cs"/>
          <w:b/>
          <w:bCs/>
          <w:vanish/>
          <w:szCs w:val="20"/>
          <w:shd w:val="clear" w:color="auto" w:fill="FFFF99"/>
          <w:rtl/>
        </w:rPr>
      </w:pPr>
      <w:r w:rsidRPr="00E453EE">
        <w:rPr>
          <w:rFonts w:cs="FrankRuehl" w:hint="cs"/>
          <w:b/>
          <w:bCs/>
          <w:vanish/>
          <w:szCs w:val="20"/>
          <w:shd w:val="clear" w:color="auto" w:fill="FFFF99"/>
          <w:rtl/>
        </w:rPr>
        <w:t>תיקון מס' 1</w:t>
      </w:r>
    </w:p>
    <w:p w:rsidR="009B0BF6" w:rsidRPr="00E453EE" w:rsidRDefault="009553E4" w:rsidP="009553E4">
      <w:pPr>
        <w:pStyle w:val="P00"/>
        <w:tabs>
          <w:tab w:val="clear" w:pos="6259"/>
        </w:tabs>
        <w:spacing w:before="0"/>
        <w:ind w:left="0" w:right="1134"/>
        <w:rPr>
          <w:rFonts w:cs="FrankRuehl" w:hint="cs"/>
          <w:vanish/>
          <w:szCs w:val="20"/>
          <w:shd w:val="clear" w:color="auto" w:fill="FFFF99"/>
          <w:rtl/>
        </w:rPr>
      </w:pPr>
      <w:hyperlink r:id="rId6" w:history="1">
        <w:r w:rsidRPr="00E453EE">
          <w:rPr>
            <w:rStyle w:val="Hyperlink"/>
            <w:rFonts w:cs="FrankRuehl" w:hint="cs"/>
            <w:vanish/>
            <w:szCs w:val="20"/>
            <w:shd w:val="clear" w:color="auto" w:fill="FFFF99"/>
            <w:rtl/>
          </w:rPr>
          <w:t>ס"ח תשי"ד מס' 150</w:t>
        </w:r>
      </w:hyperlink>
      <w:r w:rsidR="009B0BF6" w:rsidRPr="00E453EE">
        <w:rPr>
          <w:rFonts w:cs="FrankRuehl" w:hint="cs"/>
          <w:vanish/>
          <w:szCs w:val="20"/>
          <w:shd w:val="clear" w:color="auto" w:fill="FFFF99"/>
          <w:rtl/>
        </w:rPr>
        <w:t xml:space="preserve"> מיום </w:t>
      </w:r>
      <w:r w:rsidRPr="00E453EE">
        <w:rPr>
          <w:rFonts w:cs="FrankRuehl" w:hint="cs"/>
          <w:vanish/>
          <w:szCs w:val="20"/>
          <w:shd w:val="clear" w:color="auto" w:fill="FFFF99"/>
          <w:rtl/>
        </w:rPr>
        <w:t>14</w:t>
      </w:r>
      <w:r w:rsidR="009B0BF6" w:rsidRPr="00E453EE">
        <w:rPr>
          <w:rFonts w:cs="FrankRuehl" w:hint="cs"/>
          <w:vanish/>
          <w:szCs w:val="20"/>
          <w:shd w:val="clear" w:color="auto" w:fill="FFFF99"/>
          <w:rtl/>
        </w:rPr>
        <w:t>.</w:t>
      </w:r>
      <w:r w:rsidRPr="00E453EE">
        <w:rPr>
          <w:rFonts w:cs="FrankRuehl" w:hint="cs"/>
          <w:vanish/>
          <w:szCs w:val="20"/>
          <w:shd w:val="clear" w:color="auto" w:fill="FFFF99"/>
          <w:rtl/>
        </w:rPr>
        <w:t>4</w:t>
      </w:r>
      <w:r w:rsidR="009B0BF6" w:rsidRPr="00E453EE">
        <w:rPr>
          <w:rFonts w:cs="FrankRuehl" w:hint="cs"/>
          <w:vanish/>
          <w:szCs w:val="20"/>
          <w:shd w:val="clear" w:color="auto" w:fill="FFFF99"/>
          <w:rtl/>
        </w:rPr>
        <w:t>.</w:t>
      </w:r>
      <w:r w:rsidRPr="00E453EE">
        <w:rPr>
          <w:rFonts w:cs="FrankRuehl" w:hint="cs"/>
          <w:vanish/>
          <w:szCs w:val="20"/>
          <w:shd w:val="clear" w:color="auto" w:fill="FFFF99"/>
          <w:rtl/>
        </w:rPr>
        <w:t>1954</w:t>
      </w:r>
      <w:r w:rsidR="009B0BF6" w:rsidRPr="00E453EE">
        <w:rPr>
          <w:rFonts w:cs="FrankRuehl" w:hint="cs"/>
          <w:vanish/>
          <w:szCs w:val="20"/>
          <w:shd w:val="clear" w:color="auto" w:fill="FFFF99"/>
          <w:rtl/>
        </w:rPr>
        <w:t xml:space="preserve"> עמ' </w:t>
      </w:r>
      <w:r w:rsidRPr="00E453EE">
        <w:rPr>
          <w:rFonts w:cs="FrankRuehl" w:hint="cs"/>
          <w:vanish/>
          <w:szCs w:val="20"/>
          <w:shd w:val="clear" w:color="auto" w:fill="FFFF99"/>
          <w:rtl/>
        </w:rPr>
        <w:t>86</w:t>
      </w:r>
      <w:r w:rsidR="009B0BF6" w:rsidRPr="00E453EE">
        <w:rPr>
          <w:rFonts w:cs="FrankRuehl" w:hint="cs"/>
          <w:vanish/>
          <w:szCs w:val="20"/>
          <w:shd w:val="clear" w:color="auto" w:fill="FFFF99"/>
          <w:rtl/>
        </w:rPr>
        <w:t xml:space="preserve"> (</w:t>
      </w:r>
      <w:hyperlink r:id="rId7" w:history="1">
        <w:r w:rsidRPr="00E453EE">
          <w:rPr>
            <w:rStyle w:val="Hyperlink"/>
            <w:rFonts w:cs="FrankRuehl" w:hint="cs"/>
            <w:vanish/>
            <w:szCs w:val="20"/>
            <w:shd w:val="clear" w:color="auto" w:fill="FFFF99"/>
            <w:rtl/>
          </w:rPr>
          <w:t>ה"ח 194</w:t>
        </w:r>
      </w:hyperlink>
      <w:r w:rsidR="009B0BF6" w:rsidRPr="00E453EE">
        <w:rPr>
          <w:rFonts w:cs="FrankRuehl" w:hint="cs"/>
          <w:vanish/>
          <w:szCs w:val="20"/>
          <w:shd w:val="clear" w:color="auto" w:fill="FFFF99"/>
          <w:rtl/>
        </w:rPr>
        <w:t>)</w:t>
      </w:r>
    </w:p>
    <w:p w:rsidR="00877ADF" w:rsidRPr="00E453EE" w:rsidRDefault="00877ADF" w:rsidP="009553E4">
      <w:pPr>
        <w:pStyle w:val="P00"/>
        <w:tabs>
          <w:tab w:val="clear" w:pos="6259"/>
        </w:tabs>
        <w:spacing w:before="0"/>
        <w:ind w:left="0" w:right="1134"/>
        <w:rPr>
          <w:rFonts w:cs="FrankRuehl" w:hint="cs"/>
          <w:b/>
          <w:bCs/>
          <w:vanish/>
          <w:szCs w:val="20"/>
          <w:shd w:val="clear" w:color="auto" w:fill="FFFF99"/>
          <w:rtl/>
        </w:rPr>
      </w:pPr>
      <w:r w:rsidRPr="00E453EE">
        <w:rPr>
          <w:rFonts w:cs="FrankRuehl" w:hint="cs"/>
          <w:b/>
          <w:bCs/>
          <w:vanish/>
          <w:szCs w:val="20"/>
          <w:shd w:val="clear" w:color="auto" w:fill="FFFF99"/>
          <w:rtl/>
        </w:rPr>
        <w:t>החלפת סעיף 9</w:t>
      </w:r>
    </w:p>
    <w:p w:rsidR="00877ADF" w:rsidRPr="00E453EE" w:rsidRDefault="00877ADF" w:rsidP="002538F5">
      <w:pPr>
        <w:pStyle w:val="P00"/>
        <w:tabs>
          <w:tab w:val="clear" w:pos="6259"/>
        </w:tabs>
        <w:ind w:left="0" w:right="1134"/>
        <w:rPr>
          <w:rFonts w:cs="FrankRuehl" w:hint="cs"/>
          <w:vanish/>
          <w:szCs w:val="20"/>
          <w:shd w:val="clear" w:color="auto" w:fill="FFFF99"/>
          <w:rtl/>
        </w:rPr>
      </w:pPr>
      <w:r w:rsidRPr="00E453EE">
        <w:rPr>
          <w:rFonts w:cs="FrankRuehl" w:hint="cs"/>
          <w:vanish/>
          <w:szCs w:val="20"/>
          <w:shd w:val="clear" w:color="auto" w:fill="FFFF99"/>
          <w:rtl/>
        </w:rPr>
        <w:t>הנוסח הקודם:</w:t>
      </w:r>
    </w:p>
    <w:p w:rsidR="00B17DF3" w:rsidRPr="00E453EE" w:rsidRDefault="00B17DF3" w:rsidP="00BB1C55">
      <w:pPr>
        <w:pStyle w:val="P00"/>
        <w:tabs>
          <w:tab w:val="clear" w:pos="6259"/>
        </w:tabs>
        <w:spacing w:before="0"/>
        <w:ind w:left="0" w:right="1134"/>
        <w:rPr>
          <w:rFonts w:cs="Miriam" w:hint="cs"/>
          <w:strike/>
          <w:vanish/>
          <w:sz w:val="16"/>
          <w:szCs w:val="16"/>
          <w:shd w:val="clear" w:color="auto" w:fill="FFFF99"/>
          <w:rtl/>
        </w:rPr>
      </w:pPr>
      <w:r w:rsidRPr="00E453EE">
        <w:rPr>
          <w:rFonts w:cs="Miriam" w:hint="cs"/>
          <w:strike/>
          <w:vanish/>
          <w:sz w:val="16"/>
          <w:szCs w:val="16"/>
          <w:shd w:val="clear" w:color="auto" w:fill="FFFF99"/>
          <w:rtl/>
        </w:rPr>
        <w:t>מקום מגורים אחר</w:t>
      </w:r>
    </w:p>
    <w:p w:rsidR="002538F5" w:rsidRPr="00E453EE" w:rsidRDefault="002538F5" w:rsidP="009553E4">
      <w:pPr>
        <w:pStyle w:val="P00"/>
        <w:tabs>
          <w:tab w:val="clear" w:pos="6259"/>
        </w:tabs>
        <w:spacing w:before="0"/>
        <w:ind w:left="0" w:right="1134"/>
        <w:rPr>
          <w:rFonts w:cs="FrankRuehl" w:hint="cs"/>
          <w:strike/>
          <w:vanish/>
          <w:sz w:val="22"/>
          <w:szCs w:val="22"/>
          <w:shd w:val="clear" w:color="auto" w:fill="FFFF99"/>
          <w:rtl/>
        </w:rPr>
      </w:pPr>
      <w:r w:rsidRPr="00E453EE">
        <w:rPr>
          <w:rFonts w:cs="FrankRuehl" w:hint="cs"/>
          <w:strike/>
          <w:vanish/>
          <w:sz w:val="22"/>
          <w:szCs w:val="22"/>
          <w:shd w:val="clear" w:color="auto" w:fill="FFFF99"/>
          <w:rtl/>
        </w:rPr>
        <w:t>9.</w:t>
      </w:r>
      <w:r w:rsidRPr="00E453EE">
        <w:rPr>
          <w:rFonts w:cs="FrankRuehl" w:hint="cs"/>
          <w:strike/>
          <w:vanish/>
          <w:sz w:val="22"/>
          <w:szCs w:val="22"/>
          <w:shd w:val="clear" w:color="auto" w:fill="FFFF99"/>
          <w:rtl/>
        </w:rPr>
        <w:tab/>
      </w:r>
      <w:r w:rsidR="00B17DF3" w:rsidRPr="00E453EE">
        <w:rPr>
          <w:rFonts w:cs="FrankRuehl" w:hint="cs"/>
          <w:strike/>
          <w:vanish/>
          <w:sz w:val="22"/>
          <w:szCs w:val="22"/>
          <w:shd w:val="clear" w:color="auto" w:fill="FFFF99"/>
          <w:rtl/>
        </w:rPr>
        <w:t>לא יינתן צו יציאה אלא אם הועמד</w:t>
      </w:r>
      <w:r w:rsidR="00BB1C55" w:rsidRPr="00E453EE">
        <w:rPr>
          <w:rFonts w:cs="FrankRuehl" w:hint="cs"/>
          <w:strike/>
          <w:vanish/>
          <w:sz w:val="22"/>
          <w:szCs w:val="22"/>
          <w:shd w:val="clear" w:color="auto" w:fill="FFFF99"/>
          <w:rtl/>
        </w:rPr>
        <w:t xml:space="preserve"> לרשות האדם שנגדו מכוון צו היציאה מקום מגורים אחר, אם לא היה לו מקום מגורים אחר מחוץ לשטח המוסד ונתקיים בו אחד מאלה:</w:t>
      </w:r>
    </w:p>
    <w:p w:rsidR="00BB1C55" w:rsidRPr="00E453EE" w:rsidRDefault="00880A78" w:rsidP="009553E4">
      <w:pPr>
        <w:pStyle w:val="P00"/>
        <w:tabs>
          <w:tab w:val="clear" w:pos="6259"/>
        </w:tabs>
        <w:spacing w:before="0"/>
        <w:ind w:left="0" w:right="1134"/>
        <w:rPr>
          <w:rFonts w:cs="FrankRuehl" w:hint="cs"/>
          <w:strike/>
          <w:vanish/>
          <w:sz w:val="22"/>
          <w:szCs w:val="22"/>
          <w:shd w:val="clear" w:color="auto" w:fill="FFFF99"/>
          <w:rtl/>
        </w:rPr>
      </w:pPr>
      <w:r w:rsidRPr="00E453EE">
        <w:rPr>
          <w:rFonts w:cs="FrankRuehl" w:hint="cs"/>
          <w:vanish/>
          <w:sz w:val="22"/>
          <w:szCs w:val="22"/>
          <w:shd w:val="clear" w:color="auto" w:fill="FFFF99"/>
          <w:rtl/>
        </w:rPr>
        <w:tab/>
      </w:r>
      <w:r w:rsidRPr="00E453EE">
        <w:rPr>
          <w:rFonts w:cs="FrankRuehl" w:hint="cs"/>
          <w:strike/>
          <w:vanish/>
          <w:sz w:val="22"/>
          <w:szCs w:val="22"/>
          <w:shd w:val="clear" w:color="auto" w:fill="FFFF99"/>
          <w:rtl/>
        </w:rPr>
        <w:t>(א)</w:t>
      </w:r>
      <w:r w:rsidRPr="00E453EE">
        <w:rPr>
          <w:rFonts w:cs="FrankRuehl" w:hint="cs"/>
          <w:strike/>
          <w:vanish/>
          <w:sz w:val="22"/>
          <w:szCs w:val="22"/>
          <w:shd w:val="clear" w:color="auto" w:fill="FFFF99"/>
          <w:rtl/>
        </w:rPr>
        <w:tab/>
        <w:t>הוא היה, לגבי מקום מגוריו בשטח המוסד, מוגן מפני צו פינוי לפי פקודת הגבלת שכר דירה (דירות), 1940, או לפי פקודת ההגבלות על שכר דירה (בתי עסק), 1941</w:t>
      </w:r>
      <w:r w:rsidR="00A40D9B" w:rsidRPr="00E453EE">
        <w:rPr>
          <w:rFonts w:cs="FrankRuehl" w:hint="cs"/>
          <w:strike/>
          <w:vanish/>
          <w:sz w:val="22"/>
          <w:szCs w:val="22"/>
          <w:shd w:val="clear" w:color="auto" w:fill="FFFF99"/>
          <w:rtl/>
        </w:rPr>
        <w:t>, או</w:t>
      </w:r>
    </w:p>
    <w:p w:rsidR="00A40D9B" w:rsidRPr="005427A3" w:rsidRDefault="00A40D9B" w:rsidP="005427A3">
      <w:pPr>
        <w:pStyle w:val="P00"/>
        <w:tabs>
          <w:tab w:val="clear" w:pos="6259"/>
        </w:tabs>
        <w:spacing w:before="0"/>
        <w:ind w:left="0" w:right="1134"/>
        <w:rPr>
          <w:rFonts w:cs="FrankRuehl" w:hint="cs"/>
          <w:strike/>
          <w:sz w:val="2"/>
          <w:szCs w:val="2"/>
          <w:rtl/>
        </w:rPr>
      </w:pPr>
      <w:r w:rsidRPr="00E453EE">
        <w:rPr>
          <w:rFonts w:cs="FrankRuehl" w:hint="cs"/>
          <w:vanish/>
          <w:sz w:val="22"/>
          <w:szCs w:val="22"/>
          <w:shd w:val="clear" w:color="auto" w:fill="FFFF99"/>
          <w:rtl/>
        </w:rPr>
        <w:tab/>
      </w:r>
      <w:r w:rsidRPr="00E453EE">
        <w:rPr>
          <w:rFonts w:cs="FrankRuehl" w:hint="cs"/>
          <w:strike/>
          <w:vanish/>
          <w:sz w:val="22"/>
          <w:szCs w:val="22"/>
          <w:shd w:val="clear" w:color="auto" w:fill="FFFF99"/>
          <w:rtl/>
        </w:rPr>
        <w:t>(ב)</w:t>
      </w:r>
      <w:r w:rsidR="004A318C" w:rsidRPr="00E453EE">
        <w:rPr>
          <w:rFonts w:cs="FrankRuehl" w:hint="cs"/>
          <w:strike/>
          <w:vanish/>
          <w:sz w:val="22"/>
          <w:szCs w:val="22"/>
          <w:shd w:val="clear" w:color="auto" w:fill="FFFF99"/>
          <w:rtl/>
        </w:rPr>
        <w:tab/>
        <w:t>הוא היה, מפאת גילו, מומו, או מצב בריאותו, מחוסר יכולת להשיג לעצמו מקום מגורים אחר.</w:t>
      </w:r>
      <w:bookmarkEnd w:id="9"/>
    </w:p>
    <w:p w:rsidR="00780138" w:rsidRDefault="00780138">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34.4pt;z-index:251659776" o:allowincell="f" filled="f" stroked="f" strokecolor="lime" strokeweight=".25pt">
            <v:textbox style="mso-next-textbox:#_x0000_s1035" inset="0,0,0,0">
              <w:txbxContent>
                <w:p w:rsidR="00780138" w:rsidRDefault="00780138" w:rsidP="00BA208A">
                  <w:pPr>
                    <w:spacing w:line="160" w:lineRule="exact"/>
                    <w:jc w:val="left"/>
                    <w:rPr>
                      <w:rFonts w:cs="Miriam"/>
                      <w:noProof/>
                      <w:sz w:val="18"/>
                      <w:szCs w:val="18"/>
                      <w:rtl/>
                    </w:rPr>
                  </w:pPr>
                  <w:r>
                    <w:rPr>
                      <w:rFonts w:cs="Miriam"/>
                      <w:sz w:val="18"/>
                      <w:szCs w:val="18"/>
                      <w:rtl/>
                    </w:rPr>
                    <w:t>מק</w:t>
                  </w:r>
                  <w:r>
                    <w:rPr>
                      <w:rFonts w:cs="Miriam" w:hint="cs"/>
                      <w:sz w:val="18"/>
                      <w:szCs w:val="18"/>
                      <w:rtl/>
                    </w:rPr>
                    <w:t>בל צו יציאה ש</w:t>
                  </w:r>
                  <w:r>
                    <w:rPr>
                      <w:rFonts w:cs="Miriam"/>
                      <w:sz w:val="18"/>
                      <w:szCs w:val="18"/>
                      <w:rtl/>
                    </w:rPr>
                    <w:t>ה</w:t>
                  </w:r>
                  <w:r>
                    <w:rPr>
                      <w:rFonts w:cs="Miriam" w:hint="cs"/>
                      <w:sz w:val="18"/>
                      <w:szCs w:val="18"/>
                      <w:rtl/>
                    </w:rPr>
                    <w:t>וא למטה</w:t>
                  </w:r>
                  <w:r w:rsidR="00BA208A">
                    <w:rPr>
                      <w:rFonts w:cs="Miriam" w:hint="cs"/>
                      <w:noProof/>
                      <w:sz w:val="18"/>
                      <w:szCs w:val="18"/>
                      <w:rtl/>
                    </w:rPr>
                    <w:t xml:space="preserve"> </w:t>
                  </w:r>
                  <w:r>
                    <w:rPr>
                      <w:rFonts w:cs="Miriam"/>
                      <w:sz w:val="18"/>
                      <w:szCs w:val="18"/>
                      <w:rtl/>
                    </w:rPr>
                    <w:t>מג</w:t>
                  </w:r>
                  <w:r>
                    <w:rPr>
                      <w:rFonts w:cs="Miriam" w:hint="cs"/>
                      <w:sz w:val="18"/>
                      <w:szCs w:val="18"/>
                      <w:rtl/>
                    </w:rPr>
                    <w:t>יל 21</w:t>
                  </w:r>
                </w:p>
                <w:p w:rsidR="00780138" w:rsidRDefault="00BA208A">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780138">
                    <w:rPr>
                      <w:rFonts w:cs="Miriam" w:hint="cs"/>
                      <w:sz w:val="18"/>
                      <w:szCs w:val="18"/>
                      <w:rtl/>
                    </w:rPr>
                    <w:t>תשי"ד</w:t>
                  </w:r>
                  <w:r>
                    <w:rPr>
                      <w:rFonts w:cs="Miriam" w:hint="cs"/>
                      <w:sz w:val="18"/>
                      <w:szCs w:val="18"/>
                      <w:rtl/>
                    </w:rPr>
                    <w:t>-</w:t>
                  </w:r>
                  <w:r w:rsidR="00780138">
                    <w:rPr>
                      <w:rFonts w:cs="Miriam"/>
                      <w:sz w:val="18"/>
                      <w:szCs w:val="18"/>
                      <w:rtl/>
                    </w:rPr>
                    <w:t>1954</w:t>
                  </w:r>
                </w:p>
              </w:txbxContent>
            </v:textbox>
            <w10:anchorlock/>
          </v:rect>
        </w:pict>
      </w:r>
      <w:r>
        <w:rPr>
          <w:rStyle w:val="big-number"/>
          <w:rFonts w:cs="Miriam"/>
          <w:rtl/>
        </w:rPr>
        <w:t>9</w:t>
      </w:r>
      <w:r>
        <w:rPr>
          <w:rStyle w:val="default"/>
          <w:rFonts w:cs="FrankRuehl"/>
          <w:rtl/>
        </w:rPr>
        <w:t>א.</w:t>
      </w:r>
      <w:r>
        <w:rPr>
          <w:rStyle w:val="default"/>
          <w:rFonts w:cs="FrankRuehl"/>
          <w:rtl/>
        </w:rPr>
        <w:tab/>
        <w:t>ה</w:t>
      </w:r>
      <w:r>
        <w:rPr>
          <w:rStyle w:val="default"/>
          <w:rFonts w:cs="FrankRuehl" w:hint="cs"/>
          <w:rtl/>
        </w:rPr>
        <w:t>וראות סעיף 9 לא יחולו על צו יציאה נגד אדם שנתמלאו בו שלוש אלה:</w:t>
      </w:r>
    </w:p>
    <w:p w:rsidR="00780138" w:rsidRDefault="00780138" w:rsidP="00E453E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דיין לא מלאו לו 21 שנה;</w:t>
      </w:r>
    </w:p>
    <w:p w:rsidR="00780138" w:rsidRDefault="00780138" w:rsidP="00E453E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הוריו או לאפוטרופסיו יש מקום מגורים</w:t>
      </w:r>
      <w:r>
        <w:rPr>
          <w:rStyle w:val="default"/>
          <w:rFonts w:cs="FrankRuehl"/>
          <w:rtl/>
        </w:rPr>
        <w:t>;</w:t>
      </w:r>
    </w:p>
    <w:p w:rsidR="00780138" w:rsidRDefault="00780138" w:rsidP="00E453EE">
      <w:pPr>
        <w:pStyle w:val="P22"/>
        <w:tabs>
          <w:tab w:val="left" w:pos="624"/>
          <w:tab w:val="left" w:pos="1021"/>
        </w:tabs>
        <w:spacing w:before="72"/>
        <w:ind w:left="624"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יה גר עם הוריו או עם אפוטרופסיו לפני כניסתו למוסד.</w:t>
      </w:r>
    </w:p>
    <w:p w:rsidR="00966836" w:rsidRPr="00E453EE" w:rsidRDefault="00966836" w:rsidP="00966836">
      <w:pPr>
        <w:pStyle w:val="P00"/>
        <w:spacing w:before="0"/>
        <w:ind w:left="0" w:right="1134"/>
        <w:rPr>
          <w:rFonts w:cs="FrankRuehl" w:hint="cs"/>
          <w:b/>
          <w:bCs/>
          <w:vanish/>
          <w:szCs w:val="20"/>
          <w:shd w:val="clear" w:color="auto" w:fill="FFFF99"/>
          <w:rtl/>
        </w:rPr>
      </w:pPr>
      <w:bookmarkStart w:id="11" w:name="Rov18"/>
      <w:r w:rsidRPr="00E453EE">
        <w:rPr>
          <w:rFonts w:cs="FrankRuehl" w:hint="cs"/>
          <w:vanish/>
          <w:color w:val="FF0000"/>
          <w:szCs w:val="20"/>
          <w:shd w:val="clear" w:color="auto" w:fill="FFFF99"/>
          <w:rtl/>
        </w:rPr>
        <w:t>מיום 14.4.1954</w:t>
      </w:r>
    </w:p>
    <w:p w:rsidR="00966836" w:rsidRPr="00E453EE" w:rsidRDefault="00966836" w:rsidP="00966836">
      <w:pPr>
        <w:pStyle w:val="P00"/>
        <w:spacing w:before="0"/>
        <w:ind w:left="0" w:right="1134"/>
        <w:rPr>
          <w:rFonts w:cs="FrankRuehl" w:hint="cs"/>
          <w:b/>
          <w:bCs/>
          <w:vanish/>
          <w:szCs w:val="20"/>
          <w:shd w:val="clear" w:color="auto" w:fill="FFFF99"/>
          <w:rtl/>
        </w:rPr>
      </w:pPr>
      <w:r w:rsidRPr="00E453EE">
        <w:rPr>
          <w:rFonts w:cs="FrankRuehl" w:hint="cs"/>
          <w:b/>
          <w:bCs/>
          <w:vanish/>
          <w:szCs w:val="20"/>
          <w:shd w:val="clear" w:color="auto" w:fill="FFFF99"/>
          <w:rtl/>
        </w:rPr>
        <w:t>תיקון מס' 1</w:t>
      </w:r>
    </w:p>
    <w:p w:rsidR="00966836" w:rsidRPr="00E453EE" w:rsidRDefault="00966836" w:rsidP="00966836">
      <w:pPr>
        <w:pStyle w:val="P00"/>
        <w:tabs>
          <w:tab w:val="clear" w:pos="6259"/>
        </w:tabs>
        <w:spacing w:before="0"/>
        <w:ind w:left="0" w:right="1134"/>
        <w:rPr>
          <w:rFonts w:cs="FrankRuehl" w:hint="cs"/>
          <w:vanish/>
          <w:szCs w:val="20"/>
          <w:shd w:val="clear" w:color="auto" w:fill="FFFF99"/>
          <w:rtl/>
        </w:rPr>
      </w:pPr>
      <w:hyperlink r:id="rId8" w:history="1">
        <w:r w:rsidRPr="00E453EE">
          <w:rPr>
            <w:rStyle w:val="Hyperlink"/>
            <w:rFonts w:cs="FrankRuehl" w:hint="cs"/>
            <w:vanish/>
            <w:szCs w:val="20"/>
            <w:shd w:val="clear" w:color="auto" w:fill="FFFF99"/>
            <w:rtl/>
          </w:rPr>
          <w:t>ס"ח תשי"ד מס' 150</w:t>
        </w:r>
      </w:hyperlink>
      <w:r w:rsidRPr="00E453EE">
        <w:rPr>
          <w:rFonts w:cs="FrankRuehl" w:hint="cs"/>
          <w:vanish/>
          <w:szCs w:val="20"/>
          <w:shd w:val="clear" w:color="auto" w:fill="FFFF99"/>
          <w:rtl/>
        </w:rPr>
        <w:t xml:space="preserve"> מיום 14.4.1954 עמ' 86 (</w:t>
      </w:r>
      <w:hyperlink r:id="rId9" w:history="1">
        <w:r w:rsidRPr="00E453EE">
          <w:rPr>
            <w:rStyle w:val="Hyperlink"/>
            <w:rFonts w:cs="FrankRuehl" w:hint="cs"/>
            <w:vanish/>
            <w:szCs w:val="20"/>
            <w:shd w:val="clear" w:color="auto" w:fill="FFFF99"/>
            <w:rtl/>
          </w:rPr>
          <w:t>ה"ח 194</w:t>
        </w:r>
      </w:hyperlink>
      <w:r w:rsidRPr="00E453EE">
        <w:rPr>
          <w:rFonts w:cs="FrankRuehl" w:hint="cs"/>
          <w:vanish/>
          <w:szCs w:val="20"/>
          <w:shd w:val="clear" w:color="auto" w:fill="FFFF99"/>
          <w:rtl/>
        </w:rPr>
        <w:t>)</w:t>
      </w:r>
    </w:p>
    <w:p w:rsidR="00966836" w:rsidRPr="005427A3" w:rsidRDefault="00966836" w:rsidP="005427A3">
      <w:pPr>
        <w:pStyle w:val="P00"/>
        <w:tabs>
          <w:tab w:val="clear" w:pos="6259"/>
        </w:tabs>
        <w:spacing w:before="0"/>
        <w:ind w:left="0" w:right="1134"/>
        <w:rPr>
          <w:rFonts w:cs="FrankRuehl" w:hint="cs"/>
          <w:b/>
          <w:bCs/>
          <w:sz w:val="2"/>
          <w:szCs w:val="2"/>
          <w:rtl/>
        </w:rPr>
      </w:pPr>
      <w:r w:rsidRPr="00E453EE">
        <w:rPr>
          <w:rFonts w:cs="FrankRuehl" w:hint="cs"/>
          <w:b/>
          <w:bCs/>
          <w:vanish/>
          <w:szCs w:val="20"/>
          <w:shd w:val="clear" w:color="auto" w:fill="FFFF99"/>
          <w:rtl/>
        </w:rPr>
        <w:t>הוספת סעיף 9א</w:t>
      </w:r>
      <w:bookmarkEnd w:id="11"/>
    </w:p>
    <w:p w:rsidR="00780138" w:rsidRDefault="00780138">
      <w:pPr>
        <w:pStyle w:val="P00"/>
        <w:spacing w:before="72"/>
        <w:ind w:left="0" w:right="1134"/>
        <w:rPr>
          <w:rStyle w:val="default"/>
          <w:rFonts w:cs="FrankRuehl"/>
          <w:rtl/>
        </w:rPr>
      </w:pPr>
      <w:bookmarkStart w:id="12" w:name="Seif10"/>
      <w:bookmarkEnd w:id="12"/>
      <w:r>
        <w:rPr>
          <w:lang w:val="he-IL"/>
        </w:rPr>
        <w:pict>
          <v:rect id="_x0000_s1036" style="position:absolute;left:0;text-align:left;margin-left:464.5pt;margin-top:8.05pt;width:75.05pt;height:19.85pt;z-index:251660800" o:allowincell="f" filled="f" stroked="f" strokecolor="lime" strokeweight=".25pt">
            <v:textbox style="mso-next-textbox:#_x0000_s1036" inset="0,0,0,0">
              <w:txbxContent>
                <w:p w:rsidR="00780138" w:rsidRDefault="00780138" w:rsidP="00BA208A">
                  <w:pPr>
                    <w:spacing w:line="160" w:lineRule="exact"/>
                    <w:jc w:val="left"/>
                    <w:rPr>
                      <w:rFonts w:cs="Miriam"/>
                      <w:noProof/>
                      <w:sz w:val="18"/>
                      <w:szCs w:val="18"/>
                      <w:rtl/>
                    </w:rPr>
                  </w:pPr>
                  <w:r>
                    <w:rPr>
                      <w:rFonts w:cs="Miriam"/>
                      <w:sz w:val="18"/>
                      <w:szCs w:val="18"/>
                      <w:rtl/>
                    </w:rPr>
                    <w:t>חו</w:t>
                  </w:r>
                  <w:r>
                    <w:rPr>
                      <w:rFonts w:cs="Miriam" w:hint="cs"/>
                      <w:sz w:val="18"/>
                      <w:szCs w:val="18"/>
                      <w:rtl/>
                    </w:rPr>
                    <w:t>בתו של מקבל צ</w:t>
                  </w:r>
                  <w:r>
                    <w:rPr>
                      <w:rFonts w:cs="Miriam"/>
                      <w:sz w:val="18"/>
                      <w:szCs w:val="18"/>
                      <w:rtl/>
                    </w:rPr>
                    <w:t>ו</w:t>
                  </w:r>
                  <w:r>
                    <w:rPr>
                      <w:rFonts w:cs="Miriam" w:hint="cs"/>
                      <w:sz w:val="18"/>
                      <w:szCs w:val="18"/>
                      <w:rtl/>
                    </w:rPr>
                    <w:t xml:space="preserve"> יציאה</w:t>
                  </w:r>
                </w:p>
              </w:txbxContent>
            </v:textbox>
            <w10:anchorlock/>
          </v:rect>
        </w:pict>
      </w:r>
      <w:r>
        <w:rPr>
          <w:rStyle w:val="big-number"/>
          <w:rFonts w:cs="Miriam"/>
          <w:rtl/>
        </w:rPr>
        <w:t>10.</w:t>
      </w:r>
      <w:r>
        <w:rPr>
          <w:rStyle w:val="big-number"/>
          <w:rFonts w:cs="Miriam"/>
          <w:rtl/>
        </w:rPr>
        <w:tab/>
      </w:r>
      <w:r>
        <w:rPr>
          <w:rStyle w:val="default"/>
          <w:rFonts w:cs="FrankRuehl"/>
          <w:rtl/>
        </w:rPr>
        <w:t>מי</w:t>
      </w:r>
      <w:r>
        <w:rPr>
          <w:rStyle w:val="default"/>
          <w:rFonts w:cs="FrankRuehl" w:hint="cs"/>
          <w:rtl/>
        </w:rPr>
        <w:t xml:space="preserve"> שנצטו</w:t>
      </w:r>
      <w:r>
        <w:rPr>
          <w:rStyle w:val="default"/>
          <w:rFonts w:cs="FrankRuehl"/>
          <w:rtl/>
        </w:rPr>
        <w:t>וה</w:t>
      </w:r>
      <w:r>
        <w:rPr>
          <w:rStyle w:val="default"/>
          <w:rFonts w:cs="FrankRuehl" w:hint="cs"/>
          <w:rtl/>
        </w:rPr>
        <w:t xml:space="preserve"> לצאת שטח מוסד כאמור בסעיף 8(א), חייב למלא אחר הוראות צו היציאה תוך 48 שעות מזמן שהובא הצו לידיעתו כאמור בסעיף 8(ה).</w:t>
      </w:r>
    </w:p>
    <w:p w:rsidR="00780138" w:rsidRDefault="00780138">
      <w:pPr>
        <w:pStyle w:val="P00"/>
        <w:spacing w:before="72"/>
        <w:ind w:left="0" w:right="1134"/>
        <w:rPr>
          <w:rStyle w:val="default"/>
          <w:rFonts w:cs="FrankRuehl"/>
          <w:rtl/>
        </w:rPr>
      </w:pPr>
      <w:bookmarkStart w:id="13" w:name="Seif11"/>
      <w:bookmarkEnd w:id="13"/>
      <w:r>
        <w:rPr>
          <w:lang w:val="he-IL"/>
        </w:rPr>
        <w:pict>
          <v:rect id="_x0000_s1037" style="position:absolute;left:0;text-align:left;margin-left:464.5pt;margin-top:8.05pt;width:75.05pt;height:14.95pt;z-index:251661824" o:allowincell="f" filled="f" stroked="f" strokecolor="lime" strokeweight=".25pt">
            <v:textbox style="mso-next-textbox:#_x0000_s1037" inset="0,0,0,0">
              <w:txbxContent>
                <w:p w:rsidR="00780138" w:rsidRDefault="00780138">
                  <w:pPr>
                    <w:spacing w:line="160" w:lineRule="exact"/>
                    <w:jc w:val="left"/>
                    <w:rPr>
                      <w:rFonts w:cs="Miriam"/>
                      <w:noProof/>
                      <w:sz w:val="18"/>
                      <w:szCs w:val="18"/>
                      <w:rtl/>
                    </w:rPr>
                  </w:pPr>
                  <w:r>
                    <w:rPr>
                      <w:rFonts w:cs="Miriam"/>
                      <w:sz w:val="18"/>
                      <w:szCs w:val="18"/>
                      <w:rtl/>
                    </w:rPr>
                    <w:t>בי</w:t>
                  </w:r>
                  <w:r>
                    <w:rPr>
                      <w:rFonts w:cs="Miriam" w:hint="cs"/>
                      <w:sz w:val="18"/>
                      <w:szCs w:val="18"/>
                      <w:rtl/>
                    </w:rPr>
                    <w:t>צוע צווים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פי דרישת הנאמן חייב קצין משטרה בדרגת מפקח ראשון או למעלה מזה, להשתמש בכוח במידה הדרושה כדי לבצע כל צו שניתן לפי חוק זה.</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w:t>
      </w:r>
      <w:r>
        <w:rPr>
          <w:rStyle w:val="default"/>
          <w:rFonts w:cs="FrankRuehl"/>
          <w:rtl/>
        </w:rPr>
        <w:t xml:space="preserve"> י</w:t>
      </w:r>
      <w:r>
        <w:rPr>
          <w:rStyle w:val="default"/>
          <w:rFonts w:cs="FrankRuehl" w:hint="cs"/>
          <w:rtl/>
        </w:rPr>
        <w:t>דרוש הנאמן שימוש בכוח לביצוע צו יציאה לפני תום 48 שעות מזמן בו הובא הצו לידיעת האדם שעליו ניתן, כאמור בסעיף 8(א).</w:t>
      </w:r>
    </w:p>
    <w:p w:rsidR="00780138" w:rsidRDefault="00780138">
      <w:pPr>
        <w:pStyle w:val="P00"/>
        <w:spacing w:before="72"/>
        <w:ind w:left="0" w:right="1134"/>
        <w:rPr>
          <w:rStyle w:val="default"/>
          <w:rFonts w:cs="FrankRuehl"/>
          <w:rtl/>
        </w:rPr>
      </w:pPr>
      <w:bookmarkStart w:id="14" w:name="Seif12"/>
      <w:bookmarkEnd w:id="14"/>
      <w:r>
        <w:rPr>
          <w:lang w:val="he-IL"/>
        </w:rPr>
        <w:pict>
          <v:rect id="_x0000_s1038" style="position:absolute;left:0;text-align:left;margin-left:464.5pt;margin-top:8.05pt;width:75.05pt;height:25.2pt;z-index:251662848" o:allowincell="f" filled="f" stroked="f" strokecolor="lime" strokeweight=".25pt">
            <v:textbox style="mso-next-textbox:#_x0000_s1038" inset="0,0,0,0">
              <w:txbxContent>
                <w:p w:rsidR="00780138" w:rsidRDefault="00780138">
                  <w:pPr>
                    <w:spacing w:line="160" w:lineRule="exact"/>
                    <w:jc w:val="left"/>
                    <w:rPr>
                      <w:rFonts w:cs="Miriam"/>
                      <w:noProof/>
                      <w:sz w:val="18"/>
                      <w:szCs w:val="18"/>
                      <w:rtl/>
                    </w:rPr>
                  </w:pPr>
                  <w:r>
                    <w:rPr>
                      <w:rFonts w:cs="Miriam"/>
                      <w:sz w:val="18"/>
                      <w:szCs w:val="18"/>
                      <w:rtl/>
                    </w:rPr>
                    <w:t>תש</w:t>
                  </w:r>
                  <w:r>
                    <w:rPr>
                      <w:rFonts w:cs="Miriam" w:hint="cs"/>
                      <w:sz w:val="18"/>
                      <w:szCs w:val="18"/>
                      <w:rtl/>
                    </w:rPr>
                    <w:t>לום רווחים לבעלים</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וסד שהיה משמש או נועד לשמש, ערב מתן צו הנהלה, מקור הכנסה לבעליו, רשאים הבעלים לתבוע את הריווח הנקי שבא למוסד בהנהלתו החדשה.</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 xml:space="preserve">שר </w:t>
      </w:r>
      <w:r>
        <w:rPr>
          <w:rStyle w:val="default"/>
          <w:rFonts w:cs="FrankRuehl" w:hint="cs"/>
          <w:rtl/>
        </w:rPr>
        <w:t>המשפטים ימנה, בהודעה ברשומות, ועדה המורכבת משופט, שישמש יושב ראש, ומשני חברים נוספים.</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ביעה לפי סעיף זה תוגש, לפי בח</w:t>
      </w:r>
      <w:r>
        <w:rPr>
          <w:rStyle w:val="default"/>
          <w:rFonts w:cs="FrankRuehl"/>
          <w:rtl/>
        </w:rPr>
        <w:t>י</w:t>
      </w:r>
      <w:r>
        <w:rPr>
          <w:rStyle w:val="default"/>
          <w:rFonts w:cs="FrankRuehl" w:hint="cs"/>
          <w:rtl/>
        </w:rPr>
        <w:t>רת הבעלים, לבית המשפט המוסמך או לועדה.</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חליט בית המשפט או הועדה על תשלום רווחים לבעלים, ישלם הנאמן כפי שהוחלט.</w:t>
      </w:r>
    </w:p>
    <w:p w:rsidR="00780138" w:rsidRDefault="0078013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ש</w:t>
      </w:r>
      <w:r>
        <w:rPr>
          <w:rStyle w:val="default"/>
          <w:rFonts w:cs="FrankRuehl" w:hint="cs"/>
          <w:rtl/>
        </w:rPr>
        <w:t xml:space="preserve">ר המשפטים </w:t>
      </w:r>
      <w:r>
        <w:rPr>
          <w:rStyle w:val="default"/>
          <w:rFonts w:cs="FrankRuehl"/>
          <w:rtl/>
        </w:rPr>
        <w:t>יק</w:t>
      </w:r>
      <w:r>
        <w:rPr>
          <w:rStyle w:val="default"/>
          <w:rFonts w:cs="FrankRuehl" w:hint="cs"/>
          <w:rtl/>
        </w:rPr>
        <w:t>בע את סדרי הדין בפני הועדה.</w:t>
      </w:r>
    </w:p>
    <w:p w:rsidR="00780138" w:rsidRDefault="00780138" w:rsidP="00BA208A">
      <w:pPr>
        <w:pStyle w:val="P00"/>
        <w:spacing w:before="72"/>
        <w:ind w:left="0" w:right="1134"/>
        <w:rPr>
          <w:rStyle w:val="default"/>
          <w:rFonts w:cs="FrankRuehl"/>
          <w:rtl/>
        </w:rPr>
      </w:pPr>
      <w:bookmarkStart w:id="15" w:name="Seif13"/>
      <w:bookmarkEnd w:id="15"/>
      <w:r>
        <w:rPr>
          <w:lang w:val="he-IL"/>
        </w:rPr>
        <w:pict>
          <v:rect id="_x0000_s1039" style="position:absolute;left:0;text-align:left;margin-left:464.5pt;margin-top:8.05pt;width:75.05pt;height:11.9pt;z-index:251663872" o:allowincell="f" filled="f" stroked="f" strokecolor="lime" strokeweight=".25pt">
            <v:textbox style="mso-next-textbox:#_x0000_s1039" inset="0,0,0,0">
              <w:txbxContent>
                <w:p w:rsidR="00780138" w:rsidRDefault="00780138">
                  <w:pPr>
                    <w:spacing w:line="160" w:lineRule="exact"/>
                    <w:jc w:val="left"/>
                    <w:rPr>
                      <w:rFonts w:cs="Miriam"/>
                      <w:noProof/>
                      <w:sz w:val="18"/>
                      <w:szCs w:val="18"/>
                      <w:rtl/>
                    </w:rPr>
                  </w:pPr>
                  <w:r>
                    <w:rPr>
                      <w:rFonts w:cs="Miriam"/>
                      <w:sz w:val="18"/>
                      <w:szCs w:val="18"/>
                      <w:rtl/>
                    </w:rPr>
                    <w:t>ענ</w:t>
                  </w:r>
                  <w:r>
                    <w:rPr>
                      <w:rFonts w:cs="Miriam" w:hint="cs"/>
                      <w:sz w:val="18"/>
                      <w:szCs w:val="18"/>
                      <w:rtl/>
                    </w:rPr>
                    <w:t>שים</w:t>
                  </w:r>
                </w:p>
              </w:txbxContent>
            </v:textbox>
            <w10:anchorlock/>
          </v:rect>
        </w:pict>
      </w:r>
      <w:r>
        <w:rPr>
          <w:rStyle w:val="big-number"/>
          <w:rFonts w:cs="Miriam"/>
          <w:rtl/>
        </w:rPr>
        <w:t>13.</w:t>
      </w:r>
      <w:r>
        <w:rPr>
          <w:rStyle w:val="big-number"/>
          <w:rFonts w:cs="Miriam"/>
          <w:rtl/>
        </w:rPr>
        <w:tab/>
      </w:r>
      <w:r>
        <w:rPr>
          <w:rStyle w:val="default"/>
          <w:rFonts w:cs="FrankRuehl"/>
          <w:rtl/>
        </w:rPr>
        <w:t>הע</w:t>
      </w:r>
      <w:r>
        <w:rPr>
          <w:rStyle w:val="default"/>
          <w:rFonts w:cs="FrankRuehl" w:hint="cs"/>
          <w:rtl/>
        </w:rPr>
        <w:t xml:space="preserve">ושה מעשה כדי להפריע או למנוע בעד הנאמן, או בעד מנהל או מינהלה שמונו על ידיו, מלהשתמש בסמכותם לפי חוק זה, או כדי להפריע או למנוע ביצועו של צו יציאה, דינו </w:t>
      </w:r>
      <w:r w:rsidR="00BA208A">
        <w:rPr>
          <w:rStyle w:val="default"/>
          <w:rFonts w:cs="FrankRuehl" w:hint="cs"/>
          <w:rtl/>
        </w:rPr>
        <w:t>-</w:t>
      </w:r>
      <w:r>
        <w:rPr>
          <w:rStyle w:val="default"/>
          <w:rFonts w:cs="FrankRuehl"/>
          <w:rtl/>
        </w:rPr>
        <w:t xml:space="preserve"> </w:t>
      </w:r>
      <w:r>
        <w:rPr>
          <w:rStyle w:val="default"/>
          <w:rFonts w:cs="FrankRuehl" w:hint="cs"/>
          <w:rtl/>
        </w:rPr>
        <w:t>מאסר עד שנה אחת או קנס עד אלפיים לירו</w:t>
      </w:r>
      <w:r>
        <w:rPr>
          <w:rStyle w:val="default"/>
          <w:rFonts w:cs="FrankRuehl"/>
          <w:rtl/>
        </w:rPr>
        <w:t xml:space="preserve">ת </w:t>
      </w:r>
      <w:r>
        <w:rPr>
          <w:rStyle w:val="default"/>
          <w:rFonts w:cs="FrankRuehl" w:hint="cs"/>
          <w:rtl/>
        </w:rPr>
        <w:t>או שני הענשים כאחד.</w:t>
      </w:r>
    </w:p>
    <w:p w:rsidR="00780138" w:rsidRDefault="00780138">
      <w:pPr>
        <w:pStyle w:val="P00"/>
        <w:spacing w:before="72"/>
        <w:ind w:left="0" w:right="1134"/>
        <w:rPr>
          <w:rStyle w:val="default"/>
          <w:rFonts w:cs="FrankRuehl"/>
          <w:rtl/>
        </w:rPr>
      </w:pPr>
      <w:bookmarkStart w:id="16" w:name="Seif14"/>
      <w:bookmarkEnd w:id="16"/>
      <w:r>
        <w:rPr>
          <w:lang w:val="he-IL"/>
        </w:rPr>
        <w:pict>
          <v:rect id="_x0000_s1040" style="position:absolute;left:0;text-align:left;margin-left:464.5pt;margin-top:8.05pt;width:75.05pt;height:14.45pt;z-index:251664896" o:allowincell="f" filled="f" stroked="f" strokecolor="lime" strokeweight=".25pt">
            <v:textbox style="mso-next-textbox:#_x0000_s1040" inset="0,0,0,0">
              <w:txbxContent>
                <w:p w:rsidR="00780138" w:rsidRDefault="00780138">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14.</w:t>
      </w:r>
      <w:r>
        <w:rPr>
          <w:rStyle w:val="big-number"/>
          <w:rFonts w:cs="Miriam"/>
          <w:rtl/>
        </w:rPr>
        <w:tab/>
      </w:r>
      <w:r>
        <w:rPr>
          <w:rStyle w:val="default"/>
          <w:rFonts w:cs="FrankRuehl"/>
          <w:rtl/>
        </w:rPr>
        <w:t>שר</w:t>
      </w:r>
      <w:r>
        <w:rPr>
          <w:rStyle w:val="default"/>
          <w:rFonts w:cs="FrankRuehl" w:hint="cs"/>
          <w:rtl/>
        </w:rPr>
        <w:t xml:space="preserve"> המשפטים רשאי להתקין תקנות בכל דבר הנוגע לביצוע חוק  זה.</w:t>
      </w:r>
    </w:p>
    <w:p w:rsidR="00780138" w:rsidRDefault="00780138">
      <w:pPr>
        <w:pStyle w:val="P00"/>
        <w:spacing w:before="72"/>
        <w:ind w:left="0" w:right="1134"/>
        <w:rPr>
          <w:rStyle w:val="default"/>
          <w:rFonts w:cs="FrankRuehl" w:hint="cs"/>
          <w:rtl/>
        </w:rPr>
      </w:pPr>
    </w:p>
    <w:p w:rsidR="00BA208A" w:rsidRDefault="00BA208A">
      <w:pPr>
        <w:pStyle w:val="P00"/>
        <w:spacing w:before="72"/>
        <w:ind w:left="0" w:right="1134"/>
        <w:rPr>
          <w:rStyle w:val="default"/>
          <w:rFonts w:cs="FrankRuehl" w:hint="cs"/>
          <w:rtl/>
        </w:rPr>
      </w:pPr>
    </w:p>
    <w:p w:rsidR="00780138" w:rsidRPr="00BA208A" w:rsidRDefault="00780138" w:rsidP="00E453EE">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sidRPr="00BA208A">
        <w:rPr>
          <w:rFonts w:cs="FrankRuehl"/>
          <w:sz w:val="26"/>
          <w:szCs w:val="26"/>
          <w:rtl/>
        </w:rPr>
        <w:tab/>
      </w:r>
      <w:r w:rsidRPr="00BA208A">
        <w:rPr>
          <w:rFonts w:cs="FrankRuehl"/>
          <w:sz w:val="26"/>
          <w:szCs w:val="26"/>
          <w:rtl/>
        </w:rPr>
        <w:tab/>
        <w:t>ד</w:t>
      </w:r>
      <w:r w:rsidRPr="00BA208A">
        <w:rPr>
          <w:rFonts w:cs="FrankRuehl" w:hint="cs"/>
          <w:sz w:val="26"/>
          <w:szCs w:val="26"/>
          <w:rtl/>
        </w:rPr>
        <w:t>וד בן-גוריון</w:t>
      </w:r>
      <w:r w:rsidR="00BA208A" w:rsidRPr="00BA208A">
        <w:rPr>
          <w:rFonts w:cs="FrankRuehl"/>
          <w:sz w:val="26"/>
          <w:szCs w:val="26"/>
          <w:rtl/>
        </w:rPr>
        <w:tab/>
        <w:t>ח</w:t>
      </w:r>
      <w:r w:rsidR="00BA208A" w:rsidRPr="00BA208A">
        <w:rPr>
          <w:rFonts w:cs="FrankRuehl" w:hint="cs"/>
          <w:sz w:val="26"/>
          <w:szCs w:val="26"/>
          <w:rtl/>
        </w:rPr>
        <w:t>יים כהן</w:t>
      </w:r>
    </w:p>
    <w:p w:rsidR="00780138" w:rsidRDefault="00780138" w:rsidP="00E453EE">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sidR="00BA208A">
        <w:rPr>
          <w:rFonts w:cs="FrankRuehl"/>
          <w:sz w:val="22"/>
          <w:rtl/>
        </w:rPr>
        <w:tab/>
        <w:t>ש</w:t>
      </w:r>
      <w:r w:rsidR="00BA208A">
        <w:rPr>
          <w:rFonts w:cs="FrankRuehl" w:hint="cs"/>
          <w:sz w:val="22"/>
          <w:rtl/>
        </w:rPr>
        <w:t>ר המשפטים</w:t>
      </w:r>
    </w:p>
    <w:p w:rsidR="00780138" w:rsidRPr="00BA208A" w:rsidRDefault="00780138" w:rsidP="00E453EE">
      <w:pPr>
        <w:pStyle w:val="sig-1"/>
        <w:widowControl/>
        <w:tabs>
          <w:tab w:val="clear" w:pos="851"/>
          <w:tab w:val="clear" w:pos="2835"/>
          <w:tab w:val="clear" w:pos="4820"/>
          <w:tab w:val="center" w:pos="1701"/>
          <w:tab w:val="center" w:pos="3969"/>
          <w:tab w:val="center" w:pos="6237"/>
        </w:tabs>
        <w:spacing w:before="60"/>
        <w:ind w:left="0" w:right="1134"/>
        <w:rPr>
          <w:rFonts w:cs="FrankRuehl" w:hint="cs"/>
          <w:sz w:val="26"/>
          <w:szCs w:val="26"/>
          <w:rtl/>
        </w:rPr>
      </w:pPr>
      <w:r w:rsidRPr="00BA208A">
        <w:rPr>
          <w:rFonts w:cs="FrankRuehl"/>
          <w:sz w:val="26"/>
          <w:szCs w:val="26"/>
          <w:rtl/>
        </w:rPr>
        <w:tab/>
        <w:t>י</w:t>
      </w:r>
      <w:r w:rsidRPr="00BA208A">
        <w:rPr>
          <w:rFonts w:cs="FrankRuehl" w:hint="cs"/>
          <w:sz w:val="26"/>
          <w:szCs w:val="26"/>
          <w:rtl/>
        </w:rPr>
        <w:t>וסף שפרינצק</w:t>
      </w:r>
    </w:p>
    <w:p w:rsidR="00780138" w:rsidRDefault="00780138" w:rsidP="00E453EE">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י</w:t>
      </w:r>
      <w:r>
        <w:rPr>
          <w:rFonts w:cs="FrankRuehl" w:hint="cs"/>
          <w:sz w:val="22"/>
          <w:rtl/>
        </w:rPr>
        <w:t>ושב ראש הכנסת</w:t>
      </w:r>
    </w:p>
    <w:p w:rsidR="00780138" w:rsidRDefault="00780138" w:rsidP="00E453EE">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מ</w:t>
      </w:r>
      <w:r>
        <w:rPr>
          <w:rFonts w:cs="FrankRuehl" w:hint="cs"/>
          <w:sz w:val="22"/>
          <w:rtl/>
        </w:rPr>
        <w:t>מלא מקום נשיא המדינה</w:t>
      </w:r>
    </w:p>
    <w:p w:rsidR="00780138" w:rsidRPr="00BA208A" w:rsidRDefault="00780138" w:rsidP="00BA208A">
      <w:pPr>
        <w:pStyle w:val="P00"/>
        <w:spacing w:before="72"/>
        <w:ind w:left="0" w:right="1134"/>
        <w:rPr>
          <w:rStyle w:val="default"/>
          <w:rFonts w:cs="FrankRuehl"/>
          <w:rtl/>
        </w:rPr>
      </w:pPr>
    </w:p>
    <w:p w:rsidR="00780138" w:rsidRPr="00BA208A" w:rsidRDefault="00780138" w:rsidP="00BA208A">
      <w:pPr>
        <w:pStyle w:val="P00"/>
        <w:spacing w:before="72"/>
        <w:ind w:left="0" w:right="1134"/>
        <w:rPr>
          <w:rStyle w:val="default"/>
          <w:rFonts w:cs="FrankRuehl"/>
          <w:rtl/>
        </w:rPr>
      </w:pPr>
    </w:p>
    <w:p w:rsidR="00780138" w:rsidRPr="00BA208A" w:rsidRDefault="00780138" w:rsidP="00BA208A">
      <w:pPr>
        <w:pStyle w:val="P00"/>
        <w:spacing w:before="72"/>
        <w:ind w:left="0" w:right="1134"/>
        <w:rPr>
          <w:rStyle w:val="default"/>
          <w:rFonts w:cs="FrankRuehl"/>
          <w:rtl/>
        </w:rPr>
      </w:pPr>
      <w:bookmarkStart w:id="17" w:name="LawPartEnd"/>
    </w:p>
    <w:bookmarkEnd w:id="17"/>
    <w:p w:rsidR="00780138" w:rsidRPr="00BA208A" w:rsidRDefault="00780138" w:rsidP="00BA208A">
      <w:pPr>
        <w:pStyle w:val="P00"/>
        <w:spacing w:before="72"/>
        <w:ind w:left="0" w:right="1134"/>
        <w:rPr>
          <w:rStyle w:val="default"/>
          <w:rFonts w:cs="FrankRuehl"/>
          <w:rtl/>
        </w:rPr>
      </w:pPr>
    </w:p>
    <w:sectPr w:rsidR="00780138" w:rsidRPr="00BA208A">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0F22" w:rsidRDefault="00570F22">
      <w:r>
        <w:separator/>
      </w:r>
    </w:p>
  </w:endnote>
  <w:endnote w:type="continuationSeparator" w:id="0">
    <w:p w:rsidR="00570F22" w:rsidRDefault="0057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138" w:rsidRDefault="0078013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80138" w:rsidRDefault="0078013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80138" w:rsidRDefault="0078013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208A">
      <w:rPr>
        <w:rFonts w:cs="TopType Jerushalmi"/>
        <w:noProof/>
        <w:color w:val="000000"/>
        <w:sz w:val="14"/>
        <w:szCs w:val="14"/>
      </w:rPr>
      <w:t>D:\Yael\hakika\Revadim\307_001.doc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138" w:rsidRDefault="0078013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86CCB">
      <w:rPr>
        <w:rFonts w:hAnsi="FrankRuehl" w:cs="FrankRuehl"/>
        <w:noProof/>
        <w:sz w:val="24"/>
        <w:szCs w:val="24"/>
        <w:rtl/>
      </w:rPr>
      <w:t>2</w:t>
    </w:r>
    <w:r>
      <w:rPr>
        <w:rFonts w:hAnsi="FrankRuehl" w:cs="FrankRuehl"/>
        <w:sz w:val="24"/>
        <w:szCs w:val="24"/>
        <w:rtl/>
      </w:rPr>
      <w:fldChar w:fldCharType="end"/>
    </w:r>
  </w:p>
  <w:p w:rsidR="00780138" w:rsidRDefault="0078013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780138" w:rsidRDefault="0078013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A208A">
      <w:rPr>
        <w:rFonts w:cs="TopType Jerushalmi"/>
        <w:noProof/>
        <w:color w:val="000000"/>
        <w:sz w:val="14"/>
        <w:szCs w:val="14"/>
      </w:rPr>
      <w:t>D:\Yael\hakika\Revadim\307_001.doc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0F22" w:rsidRDefault="00570F22" w:rsidP="00BA208A">
      <w:pPr>
        <w:spacing w:before="60" w:line="240" w:lineRule="auto"/>
        <w:ind w:right="1134"/>
      </w:pPr>
      <w:r>
        <w:separator/>
      </w:r>
    </w:p>
  </w:footnote>
  <w:footnote w:type="continuationSeparator" w:id="0">
    <w:p w:rsidR="00570F22" w:rsidRDefault="00570F22">
      <w:r>
        <w:continuationSeparator/>
      </w:r>
    </w:p>
  </w:footnote>
  <w:footnote w:id="1">
    <w:p w:rsidR="00BA208A" w:rsidRDefault="00BA208A" w:rsidP="00BA20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A208A">
        <w:rPr>
          <w:rFonts w:cs="FrankRuehl"/>
          <w:rtl/>
        </w:rPr>
        <w:t xml:space="preserve">* </w:t>
      </w:r>
      <w:r>
        <w:rPr>
          <w:rFonts w:cs="FrankRuehl"/>
          <w:rtl/>
        </w:rPr>
        <w:t>פו</w:t>
      </w:r>
      <w:r>
        <w:rPr>
          <w:rFonts w:cs="FrankRuehl" w:hint="cs"/>
          <w:rtl/>
        </w:rPr>
        <w:t xml:space="preserve">רסם </w:t>
      </w:r>
      <w:hyperlink r:id="rId1" w:history="1">
        <w:r w:rsidRPr="000E03A2">
          <w:rPr>
            <w:rStyle w:val="Hyperlink"/>
            <w:rFonts w:cs="FrankRuehl" w:hint="cs"/>
            <w:rtl/>
          </w:rPr>
          <w:t>ס"ח תשי"ב מ</w:t>
        </w:r>
        <w:r w:rsidRPr="000E03A2">
          <w:rPr>
            <w:rStyle w:val="Hyperlink"/>
            <w:rFonts w:cs="FrankRuehl" w:hint="cs"/>
            <w:rtl/>
          </w:rPr>
          <w:t>ס</w:t>
        </w:r>
        <w:r w:rsidRPr="000E03A2">
          <w:rPr>
            <w:rStyle w:val="Hyperlink"/>
            <w:rFonts w:cs="FrankRuehl" w:hint="cs"/>
            <w:rtl/>
          </w:rPr>
          <w:t>' 105</w:t>
        </w:r>
      </w:hyperlink>
      <w:r>
        <w:rPr>
          <w:rFonts w:cs="FrankRuehl" w:hint="cs"/>
          <w:rtl/>
        </w:rPr>
        <w:t xml:space="preserve"> מיום 20.8.1952 עמ' 277 (</w:t>
      </w:r>
      <w:hyperlink r:id="rId2" w:history="1">
        <w:r w:rsidRPr="00EE6140">
          <w:rPr>
            <w:rStyle w:val="Hyperlink"/>
            <w:rFonts w:cs="FrankRuehl" w:hint="cs"/>
            <w:rtl/>
          </w:rPr>
          <w:t>ה"ח תשי"</w:t>
        </w:r>
        <w:r>
          <w:rPr>
            <w:rStyle w:val="Hyperlink"/>
            <w:rFonts w:cs="FrankRuehl" w:hint="cs"/>
            <w:rtl/>
          </w:rPr>
          <w:t>ב</w:t>
        </w:r>
        <w:r w:rsidRPr="00EE6140">
          <w:rPr>
            <w:rStyle w:val="Hyperlink"/>
            <w:rFonts w:cs="FrankRuehl" w:hint="cs"/>
            <w:rtl/>
          </w:rPr>
          <w:t xml:space="preserve"> מס' 95</w:t>
        </w:r>
      </w:hyperlink>
      <w:r>
        <w:rPr>
          <w:rFonts w:cs="FrankRuehl" w:hint="cs"/>
          <w:rtl/>
        </w:rPr>
        <w:t xml:space="preserve"> עמ' 32).</w:t>
      </w:r>
    </w:p>
    <w:p w:rsidR="00BA208A" w:rsidRPr="00BA208A" w:rsidRDefault="00BA208A" w:rsidP="00BA208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קן </w:t>
      </w:r>
      <w:hyperlink r:id="rId3" w:history="1">
        <w:r w:rsidRPr="00DC5F5B">
          <w:rPr>
            <w:rStyle w:val="Hyperlink"/>
            <w:rFonts w:cs="FrankRuehl" w:hint="cs"/>
            <w:rtl/>
          </w:rPr>
          <w:t>ס"ח תשי"ד מס' 150</w:t>
        </w:r>
      </w:hyperlink>
      <w:r>
        <w:rPr>
          <w:rFonts w:cs="FrankRuehl" w:hint="cs"/>
          <w:rtl/>
        </w:rPr>
        <w:t xml:space="preserve"> מיו</w:t>
      </w:r>
      <w:r>
        <w:rPr>
          <w:rFonts w:cs="FrankRuehl"/>
          <w:rtl/>
        </w:rPr>
        <w:t xml:space="preserve">ם </w:t>
      </w:r>
      <w:r>
        <w:rPr>
          <w:rFonts w:cs="FrankRuehl" w:hint="cs"/>
          <w:rtl/>
        </w:rPr>
        <w:t>14.4.1954 עמ' 86 (</w:t>
      </w:r>
      <w:hyperlink r:id="rId4" w:history="1">
        <w:r w:rsidRPr="009553E4">
          <w:rPr>
            <w:rStyle w:val="Hyperlink"/>
            <w:rFonts w:cs="FrankRuehl" w:hint="cs"/>
            <w:rtl/>
          </w:rPr>
          <w:t>ה"ח תשי"ד מס' 194</w:t>
        </w:r>
      </w:hyperlink>
      <w:r>
        <w:rPr>
          <w:rFonts w:cs="FrankRuehl" w:hint="cs"/>
          <w:rtl/>
        </w:rPr>
        <w:t xml:space="preserve"> עמ' 92) </w:t>
      </w:r>
      <w:r>
        <w:rPr>
          <w:rFonts w:cs="FrankRuehl"/>
          <w:rtl/>
        </w:rPr>
        <w:t>–</w:t>
      </w:r>
      <w:r>
        <w:rPr>
          <w:rFonts w:cs="FrankRuehl" w:hint="cs"/>
          <w:rtl/>
        </w:rPr>
        <w:t xml:space="preserve"> תיקון מס'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138" w:rsidRDefault="0078013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לניהול מוסדות (מקרים מיוחדים), תשי"ב–1952</w:t>
    </w:r>
  </w:p>
  <w:p w:rsidR="00780138" w:rsidRDefault="0078013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80138" w:rsidRDefault="0078013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80138" w:rsidRDefault="00780138" w:rsidP="00BA208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לניהול מוסדות (מקרים מיוחדים), תשי"ב</w:t>
    </w:r>
    <w:r w:rsidR="00BA208A">
      <w:rPr>
        <w:rFonts w:hAnsi="FrankRuehl" w:cs="FrankRuehl" w:hint="cs"/>
        <w:color w:val="000000"/>
        <w:sz w:val="28"/>
        <w:szCs w:val="28"/>
        <w:rtl/>
      </w:rPr>
      <w:t>-</w:t>
    </w:r>
    <w:r>
      <w:rPr>
        <w:rFonts w:hAnsi="FrankRuehl" w:cs="FrankRuehl"/>
        <w:color w:val="000000"/>
        <w:sz w:val="28"/>
        <w:szCs w:val="28"/>
        <w:rtl/>
      </w:rPr>
      <w:t>1952</w:t>
    </w:r>
  </w:p>
  <w:p w:rsidR="00780138" w:rsidRDefault="0078013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80138" w:rsidRDefault="0078013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0138"/>
    <w:rsid w:val="000E03A2"/>
    <w:rsid w:val="000F085C"/>
    <w:rsid w:val="00153D1C"/>
    <w:rsid w:val="00215AF8"/>
    <w:rsid w:val="002407F1"/>
    <w:rsid w:val="002538F5"/>
    <w:rsid w:val="002A105F"/>
    <w:rsid w:val="00450503"/>
    <w:rsid w:val="00451863"/>
    <w:rsid w:val="004A318C"/>
    <w:rsid w:val="005427A3"/>
    <w:rsid w:val="00565997"/>
    <w:rsid w:val="00570F22"/>
    <w:rsid w:val="006048C6"/>
    <w:rsid w:val="006D6361"/>
    <w:rsid w:val="0073598F"/>
    <w:rsid w:val="00780138"/>
    <w:rsid w:val="00784273"/>
    <w:rsid w:val="00877ADF"/>
    <w:rsid w:val="00880A78"/>
    <w:rsid w:val="008B7DEC"/>
    <w:rsid w:val="008C6900"/>
    <w:rsid w:val="009553E4"/>
    <w:rsid w:val="00966836"/>
    <w:rsid w:val="009B0BF6"/>
    <w:rsid w:val="00A40D9B"/>
    <w:rsid w:val="00B17DF3"/>
    <w:rsid w:val="00B93CAE"/>
    <w:rsid w:val="00BA208A"/>
    <w:rsid w:val="00BB1C55"/>
    <w:rsid w:val="00C51B19"/>
    <w:rsid w:val="00CC5630"/>
    <w:rsid w:val="00D44074"/>
    <w:rsid w:val="00DC5F5B"/>
    <w:rsid w:val="00DE04C7"/>
    <w:rsid w:val="00E453EE"/>
    <w:rsid w:val="00EE6140"/>
    <w:rsid w:val="00F7472F"/>
    <w:rsid w:val="00F86C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8881D5D-A9E4-422D-A46A-990C9A40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DC5F5B"/>
    <w:rPr>
      <w:color w:val="800080"/>
      <w:u w:val="single"/>
    </w:rPr>
  </w:style>
  <w:style w:type="paragraph" w:styleId="a5">
    <w:name w:val="footnote text"/>
    <w:basedOn w:val="a"/>
    <w:semiHidden/>
    <w:rsid w:val="00BA208A"/>
    <w:rPr>
      <w:sz w:val="20"/>
      <w:szCs w:val="20"/>
    </w:rPr>
  </w:style>
  <w:style w:type="character" w:styleId="a6">
    <w:name w:val="footnote reference"/>
    <w:basedOn w:val="a0"/>
    <w:semiHidden/>
    <w:rsid w:val="00BA20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150.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17/PROP-0194.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150.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7/PROP-0194.pdf"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150.pdf" TargetMode="External"/><Relationship Id="rId2" Type="http://schemas.openxmlformats.org/officeDocument/2006/relationships/hyperlink" Target="http://www.nevo.co.il/Law_word/law17/PROP-0095.pdf" TargetMode="External"/><Relationship Id="rId1" Type="http://schemas.openxmlformats.org/officeDocument/2006/relationships/hyperlink" Target="http://www.nevo.co.il/Law_word/law14/LAW-0105.pdf" TargetMode="External"/><Relationship Id="rId4" Type="http://schemas.openxmlformats.org/officeDocument/2006/relationships/hyperlink" Target="http://www.nevo.co.il/Law_word/law17/PROP-01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307</vt:lpstr>
    </vt:vector>
  </TitlesOfParts>
  <Company/>
  <LinksUpToDate>false</LinksUpToDate>
  <CharactersWithSpaces>6758</CharactersWithSpaces>
  <SharedDoc>false</SharedDoc>
  <HLinks>
    <vt:vector size="138" baseType="variant">
      <vt:variant>
        <vt:i4>786548</vt:i4>
      </vt:variant>
      <vt:variant>
        <vt:i4>99</vt:i4>
      </vt:variant>
      <vt:variant>
        <vt:i4>0</vt:i4>
      </vt:variant>
      <vt:variant>
        <vt:i4>5</vt:i4>
      </vt:variant>
      <vt:variant>
        <vt:lpwstr>http://www.nevo.co.il/Law_word/law17/PROP-0194.pdf</vt:lpwstr>
      </vt:variant>
      <vt:variant>
        <vt:lpwstr/>
      </vt:variant>
      <vt:variant>
        <vt:i4>7995400</vt:i4>
      </vt:variant>
      <vt:variant>
        <vt:i4>96</vt:i4>
      </vt:variant>
      <vt:variant>
        <vt:i4>0</vt:i4>
      </vt:variant>
      <vt:variant>
        <vt:i4>5</vt:i4>
      </vt:variant>
      <vt:variant>
        <vt:lpwstr>http://www.nevo.co.il/Law_word/law14/LAW-0150.pdf</vt:lpwstr>
      </vt:variant>
      <vt:variant>
        <vt:lpwstr/>
      </vt:variant>
      <vt:variant>
        <vt:i4>786548</vt:i4>
      </vt:variant>
      <vt:variant>
        <vt:i4>93</vt:i4>
      </vt:variant>
      <vt:variant>
        <vt:i4>0</vt:i4>
      </vt:variant>
      <vt:variant>
        <vt:i4>5</vt:i4>
      </vt:variant>
      <vt:variant>
        <vt:lpwstr>http://www.nevo.co.il/Law_word/law17/PROP-0194.pdf</vt:lpwstr>
      </vt:variant>
      <vt:variant>
        <vt:lpwstr/>
      </vt:variant>
      <vt:variant>
        <vt:i4>7995400</vt:i4>
      </vt:variant>
      <vt:variant>
        <vt:i4>90</vt:i4>
      </vt:variant>
      <vt:variant>
        <vt:i4>0</vt:i4>
      </vt:variant>
      <vt:variant>
        <vt:i4>5</vt:i4>
      </vt:variant>
      <vt:variant>
        <vt:lpwstr>http://www.nevo.co.il/Law_word/law14/LAW-0150.pdf</vt:lpwstr>
      </vt:variant>
      <vt:variant>
        <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786548</vt:i4>
      </vt:variant>
      <vt:variant>
        <vt:i4>9</vt:i4>
      </vt:variant>
      <vt:variant>
        <vt:i4>0</vt:i4>
      </vt:variant>
      <vt:variant>
        <vt:i4>5</vt:i4>
      </vt:variant>
      <vt:variant>
        <vt:lpwstr>http://www.nevo.co.il/Law_word/law17/PROP-0194.pdf</vt:lpwstr>
      </vt:variant>
      <vt:variant>
        <vt:lpwstr/>
      </vt:variant>
      <vt:variant>
        <vt:i4>7995400</vt:i4>
      </vt:variant>
      <vt:variant>
        <vt:i4>6</vt:i4>
      </vt:variant>
      <vt:variant>
        <vt:i4>0</vt:i4>
      </vt:variant>
      <vt:variant>
        <vt:i4>5</vt:i4>
      </vt:variant>
      <vt:variant>
        <vt:lpwstr>http://www.nevo.co.il/Law_word/law14/LAW-0150.pdf</vt:lpwstr>
      </vt:variant>
      <vt:variant>
        <vt:lpwstr/>
      </vt:variant>
      <vt:variant>
        <vt:i4>786548</vt:i4>
      </vt:variant>
      <vt:variant>
        <vt:i4>3</vt:i4>
      </vt:variant>
      <vt:variant>
        <vt:i4>0</vt:i4>
      </vt:variant>
      <vt:variant>
        <vt:i4>5</vt:i4>
      </vt:variant>
      <vt:variant>
        <vt:lpwstr>http://www.nevo.co.il/Law_word/law17/PROP-0095.pdf</vt:lpwstr>
      </vt:variant>
      <vt:variant>
        <vt:lpwstr/>
      </vt:variant>
      <vt:variant>
        <vt:i4>8323085</vt:i4>
      </vt:variant>
      <vt:variant>
        <vt:i4>0</vt:i4>
      </vt:variant>
      <vt:variant>
        <vt:i4>0</vt:i4>
      </vt:variant>
      <vt:variant>
        <vt:i4>5</vt:i4>
      </vt:variant>
      <vt:variant>
        <vt:lpwstr>http://www.nevo.co.il/Law_word/law14/LAW-0105.pdf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307</dc:title>
  <dc:subject/>
  <dc:creator>Liat</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0307</vt:lpwstr>
  </property>
  <property fmtid="{D5CDD505-2E9C-101B-9397-08002B2CF9AE}" pid="3" name="CHNAME">
    <vt:lpwstr>ניהול מוסדות</vt:lpwstr>
  </property>
  <property fmtid="{D5CDD505-2E9C-101B-9397-08002B2CF9AE}" pid="4" name="LAWNAME">
    <vt:lpwstr>חוק לניהול מוסדות (מקרים מיוחדים), תשי"ב-1952</vt:lpwstr>
  </property>
  <property fmtid="{D5CDD505-2E9C-101B-9397-08002B2CF9AE}" pid="5" name="LAWNUMBER">
    <vt:lpwstr>0001</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מוסדות  </vt:lpwstr>
  </property>
  <property fmtid="{D5CDD505-2E9C-101B-9397-08002B2CF9AE}" pid="9" name="NOSE31">
    <vt:lpwstr>ניהול מוסדות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