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EAAF" w14:textId="77777777" w:rsidR="00FA4571" w:rsidRDefault="00FA4571">
      <w:pPr>
        <w:pStyle w:val="big-header"/>
        <w:ind w:left="0" w:right="1134"/>
        <w:rPr>
          <w:rFonts w:cs="FrankRuehl" w:hint="cs"/>
          <w:sz w:val="32"/>
          <w:rtl/>
        </w:rPr>
      </w:pPr>
      <w:r>
        <w:rPr>
          <w:rFonts w:cs="FrankRuehl" w:hint="cs"/>
          <w:sz w:val="32"/>
          <w:rtl/>
        </w:rPr>
        <w:t>חוק לעידוד בניית דירות להשכרה, תשס"ז-2007</w:t>
      </w:r>
    </w:p>
    <w:p w14:paraId="2807393B" w14:textId="77777777" w:rsidR="005A0791" w:rsidRPr="005A0791" w:rsidRDefault="005A0791" w:rsidP="005A0791">
      <w:pPr>
        <w:spacing w:line="320" w:lineRule="auto"/>
        <w:rPr>
          <w:rStyle w:val="default"/>
          <w:rFonts w:cs="FrankRuehl"/>
          <w:rtl/>
        </w:rPr>
      </w:pPr>
    </w:p>
    <w:p w14:paraId="382B5770" w14:textId="77777777" w:rsidR="005A0791" w:rsidRDefault="005A0791" w:rsidP="005A0791">
      <w:pPr>
        <w:spacing w:line="320" w:lineRule="auto"/>
        <w:rPr>
          <w:rStyle w:val="default"/>
          <w:rFonts w:cs="FrankRuehl"/>
          <w:rtl/>
        </w:rPr>
      </w:pPr>
    </w:p>
    <w:p w14:paraId="71C636B5" w14:textId="77777777" w:rsidR="005A0791" w:rsidRDefault="005A0791" w:rsidP="005A0791">
      <w:pPr>
        <w:spacing w:line="320" w:lineRule="auto"/>
        <w:rPr>
          <w:rStyle w:val="default"/>
          <w:rFonts w:cs="Miriam"/>
          <w:szCs w:val="22"/>
          <w:rtl/>
        </w:rPr>
      </w:pPr>
      <w:r w:rsidRPr="005A0791">
        <w:rPr>
          <w:rStyle w:val="default"/>
          <w:rFonts w:cs="Miriam"/>
          <w:szCs w:val="22"/>
          <w:rtl/>
        </w:rPr>
        <w:t>משפט פרטי וכלכלה</w:t>
      </w:r>
      <w:r w:rsidRPr="005A0791">
        <w:rPr>
          <w:rStyle w:val="default"/>
          <w:rFonts w:cs="FrankRuehl"/>
          <w:rtl/>
        </w:rPr>
        <w:t xml:space="preserve"> – קניין – מקרקעין</w:t>
      </w:r>
    </w:p>
    <w:p w14:paraId="5C2DA17B" w14:textId="77777777" w:rsidR="005A0791" w:rsidRPr="005A0791" w:rsidRDefault="005A0791" w:rsidP="005A0791">
      <w:pPr>
        <w:spacing w:line="320" w:lineRule="auto"/>
        <w:rPr>
          <w:rStyle w:val="default"/>
          <w:rFonts w:cs="Miriam" w:hint="cs"/>
          <w:szCs w:val="22"/>
          <w:rtl/>
        </w:rPr>
      </w:pPr>
      <w:r w:rsidRPr="005A0791">
        <w:rPr>
          <w:rStyle w:val="default"/>
          <w:rFonts w:cs="Miriam"/>
          <w:szCs w:val="22"/>
          <w:rtl/>
        </w:rPr>
        <w:t>משפט פרטי וכלכלה</w:t>
      </w:r>
      <w:r w:rsidRPr="005A0791">
        <w:rPr>
          <w:rStyle w:val="default"/>
          <w:rFonts w:cs="FrankRuehl"/>
          <w:rtl/>
        </w:rPr>
        <w:t xml:space="preserve"> – קניין – שכירות והגנת הדייר</w:t>
      </w:r>
    </w:p>
    <w:p w14:paraId="5D98E2E5" w14:textId="77777777" w:rsidR="00FA4571" w:rsidRDefault="00FA4571">
      <w:pPr>
        <w:pStyle w:val="big-header"/>
        <w:ind w:left="0" w:right="1134"/>
        <w:rPr>
          <w:rFonts w:cs="FrankRuehl" w:hint="cs"/>
          <w:sz w:val="32"/>
          <w:rtl/>
        </w:rPr>
      </w:pPr>
      <w:r>
        <w:rPr>
          <w:rFonts w:cs="FrankRuehl" w:hint="cs"/>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A4571" w14:paraId="5883AD62" w14:textId="77777777">
        <w:tblPrEx>
          <w:tblCellMar>
            <w:top w:w="0" w:type="dxa"/>
            <w:bottom w:w="0" w:type="dxa"/>
          </w:tblCellMar>
        </w:tblPrEx>
        <w:trPr>
          <w:jc w:val="right"/>
        </w:trPr>
        <w:tc>
          <w:tcPr>
            <w:tcW w:w="850" w:type="dxa"/>
          </w:tcPr>
          <w:p w14:paraId="4D4544A8" w14:textId="77777777" w:rsidR="00FA4571" w:rsidRDefault="00FA4571">
            <w:pPr>
              <w:rPr>
                <w:rFonts w:hint="cs"/>
              </w:rPr>
            </w:pPr>
            <w:r>
              <w:rPr>
                <w:rtl/>
              </w:rPr>
              <w:fldChar w:fldCharType="begin"/>
            </w:r>
            <w:r>
              <w:rPr>
                <w:rtl/>
              </w:rPr>
              <w:instrText xml:space="preserve"> </w:instrText>
            </w:r>
            <w:r>
              <w:instrText>PAGEREF Seif0</w:instrText>
            </w:r>
            <w:r>
              <w:rPr>
                <w:rtl/>
              </w:rPr>
              <w:instrText xml:space="preserve"> </w:instrText>
            </w:r>
            <w:r>
              <w:rPr>
                <w:rtl/>
              </w:rPr>
              <w:fldChar w:fldCharType="separate"/>
            </w:r>
            <w:r w:rsidR="001B1015">
              <w:rPr>
                <w:noProof/>
                <w:rtl/>
              </w:rPr>
              <w:t>2</w:t>
            </w:r>
            <w:r>
              <w:rPr>
                <w:rtl/>
              </w:rPr>
              <w:fldChar w:fldCharType="end"/>
            </w:r>
          </w:p>
        </w:tc>
        <w:tc>
          <w:tcPr>
            <w:tcW w:w="567" w:type="dxa"/>
          </w:tcPr>
          <w:p w14:paraId="7567B639" w14:textId="77777777" w:rsidR="00FA4571" w:rsidRDefault="00FA4571">
            <w:pPr>
              <w:rPr>
                <w:rFonts w:hint="cs"/>
              </w:rPr>
            </w:pPr>
            <w:hyperlink w:anchor="Seif0" w:tooltip="הגדרות" w:history="1">
              <w:r>
                <w:rPr>
                  <w:rStyle w:val="Hyperlink"/>
                </w:rPr>
                <w:t>Go</w:t>
              </w:r>
            </w:hyperlink>
          </w:p>
        </w:tc>
        <w:tc>
          <w:tcPr>
            <w:tcW w:w="5669" w:type="dxa"/>
          </w:tcPr>
          <w:p w14:paraId="26C696B4" w14:textId="77777777" w:rsidR="00FA4571" w:rsidRDefault="00FA4571">
            <w:pPr>
              <w:rPr>
                <w:rtl/>
              </w:rPr>
            </w:pPr>
            <w:r>
              <w:rPr>
                <w:rtl/>
              </w:rPr>
              <w:t>הגדרות</w:t>
            </w:r>
          </w:p>
        </w:tc>
        <w:tc>
          <w:tcPr>
            <w:tcW w:w="1247" w:type="dxa"/>
          </w:tcPr>
          <w:p w14:paraId="2B9043BE" w14:textId="77777777" w:rsidR="00FA4571" w:rsidRDefault="00FA4571">
            <w:pPr>
              <w:rPr>
                <w:rFonts w:hint="cs"/>
              </w:rPr>
            </w:pPr>
            <w:r>
              <w:rPr>
                <w:rtl/>
              </w:rPr>
              <w:t xml:space="preserve">סעיף 1 </w:t>
            </w:r>
          </w:p>
        </w:tc>
      </w:tr>
      <w:tr w:rsidR="00FA4571" w14:paraId="5BFACB34" w14:textId="77777777">
        <w:tblPrEx>
          <w:tblCellMar>
            <w:top w:w="0" w:type="dxa"/>
            <w:bottom w:w="0" w:type="dxa"/>
          </w:tblCellMar>
        </w:tblPrEx>
        <w:trPr>
          <w:jc w:val="right"/>
        </w:trPr>
        <w:tc>
          <w:tcPr>
            <w:tcW w:w="850" w:type="dxa"/>
          </w:tcPr>
          <w:p w14:paraId="4E9F6EE1" w14:textId="77777777" w:rsidR="00FA4571" w:rsidRDefault="00FA4571">
            <w:pPr>
              <w:rPr>
                <w:rFonts w:hint="cs"/>
              </w:rPr>
            </w:pPr>
            <w:r>
              <w:rPr>
                <w:rtl/>
              </w:rPr>
              <w:fldChar w:fldCharType="begin"/>
            </w:r>
            <w:r>
              <w:rPr>
                <w:rtl/>
              </w:rPr>
              <w:instrText xml:space="preserve"> </w:instrText>
            </w:r>
            <w:r>
              <w:instrText>PAGEREF Seif1</w:instrText>
            </w:r>
            <w:r>
              <w:rPr>
                <w:rtl/>
              </w:rPr>
              <w:instrText xml:space="preserve"> </w:instrText>
            </w:r>
            <w:r>
              <w:rPr>
                <w:rtl/>
              </w:rPr>
              <w:fldChar w:fldCharType="separate"/>
            </w:r>
            <w:r w:rsidR="001B1015">
              <w:rPr>
                <w:noProof/>
                <w:rtl/>
              </w:rPr>
              <w:t>3</w:t>
            </w:r>
            <w:r>
              <w:rPr>
                <w:rtl/>
              </w:rPr>
              <w:fldChar w:fldCharType="end"/>
            </w:r>
          </w:p>
        </w:tc>
        <w:tc>
          <w:tcPr>
            <w:tcW w:w="567" w:type="dxa"/>
          </w:tcPr>
          <w:p w14:paraId="556D8541" w14:textId="77777777" w:rsidR="00FA4571" w:rsidRDefault="00FA4571">
            <w:pPr>
              <w:rPr>
                <w:rFonts w:hint="cs"/>
              </w:rPr>
            </w:pPr>
            <w:hyperlink w:anchor="Seif1" w:tooltip="שלילת הקלה או הטבה נוספת" w:history="1">
              <w:r>
                <w:rPr>
                  <w:rStyle w:val="Hyperlink"/>
                </w:rPr>
                <w:t>Go</w:t>
              </w:r>
            </w:hyperlink>
          </w:p>
        </w:tc>
        <w:tc>
          <w:tcPr>
            <w:tcW w:w="5669" w:type="dxa"/>
          </w:tcPr>
          <w:p w14:paraId="659DEE72" w14:textId="77777777" w:rsidR="00FA4571" w:rsidRDefault="00FA4571">
            <w:pPr>
              <w:rPr>
                <w:rtl/>
              </w:rPr>
            </w:pPr>
            <w:r>
              <w:rPr>
                <w:rtl/>
              </w:rPr>
              <w:t>שלילת הקלה או הטבה נוספת</w:t>
            </w:r>
          </w:p>
        </w:tc>
        <w:tc>
          <w:tcPr>
            <w:tcW w:w="1247" w:type="dxa"/>
          </w:tcPr>
          <w:p w14:paraId="76D17177" w14:textId="77777777" w:rsidR="00FA4571" w:rsidRDefault="00FA4571">
            <w:pPr>
              <w:rPr>
                <w:rFonts w:hint="cs"/>
              </w:rPr>
            </w:pPr>
            <w:r>
              <w:rPr>
                <w:rtl/>
              </w:rPr>
              <w:t xml:space="preserve">סעיף 2 </w:t>
            </w:r>
          </w:p>
        </w:tc>
      </w:tr>
      <w:tr w:rsidR="00FA4571" w14:paraId="3426EC24" w14:textId="77777777">
        <w:tblPrEx>
          <w:tblCellMar>
            <w:top w:w="0" w:type="dxa"/>
            <w:bottom w:w="0" w:type="dxa"/>
          </w:tblCellMar>
        </w:tblPrEx>
        <w:trPr>
          <w:jc w:val="right"/>
        </w:trPr>
        <w:tc>
          <w:tcPr>
            <w:tcW w:w="850" w:type="dxa"/>
          </w:tcPr>
          <w:p w14:paraId="3F52762A" w14:textId="77777777" w:rsidR="00FA4571" w:rsidRDefault="00FA4571">
            <w:pPr>
              <w:rPr>
                <w:rFonts w:hint="cs"/>
              </w:rPr>
            </w:pPr>
            <w:r>
              <w:rPr>
                <w:rtl/>
              </w:rPr>
              <w:fldChar w:fldCharType="begin"/>
            </w:r>
            <w:r>
              <w:rPr>
                <w:rtl/>
              </w:rPr>
              <w:instrText xml:space="preserve"> </w:instrText>
            </w:r>
            <w:r>
              <w:instrText>PAGEREF Seif2</w:instrText>
            </w:r>
            <w:r>
              <w:rPr>
                <w:rtl/>
              </w:rPr>
              <w:instrText xml:space="preserve"> </w:instrText>
            </w:r>
            <w:r>
              <w:rPr>
                <w:rtl/>
              </w:rPr>
              <w:fldChar w:fldCharType="separate"/>
            </w:r>
            <w:r w:rsidR="001B1015">
              <w:rPr>
                <w:noProof/>
                <w:rtl/>
              </w:rPr>
              <w:t>3</w:t>
            </w:r>
            <w:r>
              <w:rPr>
                <w:rtl/>
              </w:rPr>
              <w:fldChar w:fldCharType="end"/>
            </w:r>
          </w:p>
        </w:tc>
        <w:tc>
          <w:tcPr>
            <w:tcW w:w="567" w:type="dxa"/>
          </w:tcPr>
          <w:p w14:paraId="598BEECA" w14:textId="77777777" w:rsidR="00FA4571" w:rsidRDefault="00FA4571">
            <w:pPr>
              <w:rPr>
                <w:rFonts w:hint="cs"/>
              </w:rPr>
            </w:pPr>
            <w:hyperlink w:anchor="Seif2" w:tooltip="פחת" w:history="1">
              <w:r>
                <w:rPr>
                  <w:rStyle w:val="Hyperlink"/>
                </w:rPr>
                <w:t>Go</w:t>
              </w:r>
            </w:hyperlink>
          </w:p>
        </w:tc>
        <w:tc>
          <w:tcPr>
            <w:tcW w:w="5669" w:type="dxa"/>
          </w:tcPr>
          <w:p w14:paraId="6854AACD" w14:textId="77777777" w:rsidR="00FA4571" w:rsidRDefault="00FA4571">
            <w:pPr>
              <w:rPr>
                <w:rtl/>
              </w:rPr>
            </w:pPr>
            <w:r>
              <w:rPr>
                <w:rtl/>
              </w:rPr>
              <w:t>פחת</w:t>
            </w:r>
          </w:p>
        </w:tc>
        <w:tc>
          <w:tcPr>
            <w:tcW w:w="1247" w:type="dxa"/>
          </w:tcPr>
          <w:p w14:paraId="13295823" w14:textId="77777777" w:rsidR="00FA4571" w:rsidRDefault="00FA4571">
            <w:pPr>
              <w:rPr>
                <w:rFonts w:hint="cs"/>
              </w:rPr>
            </w:pPr>
            <w:r>
              <w:rPr>
                <w:rtl/>
              </w:rPr>
              <w:t xml:space="preserve">סעיף 3 </w:t>
            </w:r>
          </w:p>
        </w:tc>
      </w:tr>
      <w:tr w:rsidR="00FA4571" w14:paraId="320F8BF0" w14:textId="77777777">
        <w:tblPrEx>
          <w:tblCellMar>
            <w:top w:w="0" w:type="dxa"/>
            <w:bottom w:w="0" w:type="dxa"/>
          </w:tblCellMar>
        </w:tblPrEx>
        <w:trPr>
          <w:jc w:val="right"/>
        </w:trPr>
        <w:tc>
          <w:tcPr>
            <w:tcW w:w="850" w:type="dxa"/>
          </w:tcPr>
          <w:p w14:paraId="543DE81C" w14:textId="77777777" w:rsidR="00FA4571" w:rsidRDefault="00FA4571">
            <w:pPr>
              <w:rPr>
                <w:rFonts w:hint="cs"/>
              </w:rPr>
            </w:pPr>
            <w:r>
              <w:rPr>
                <w:rtl/>
              </w:rPr>
              <w:fldChar w:fldCharType="begin"/>
            </w:r>
            <w:r>
              <w:rPr>
                <w:rtl/>
              </w:rPr>
              <w:instrText xml:space="preserve"> </w:instrText>
            </w:r>
            <w:r>
              <w:instrText>PAGEREF Seif3</w:instrText>
            </w:r>
            <w:r>
              <w:rPr>
                <w:rtl/>
              </w:rPr>
              <w:instrText xml:space="preserve"> </w:instrText>
            </w:r>
            <w:r>
              <w:rPr>
                <w:rtl/>
              </w:rPr>
              <w:fldChar w:fldCharType="separate"/>
            </w:r>
            <w:r w:rsidR="001B1015">
              <w:rPr>
                <w:noProof/>
                <w:rtl/>
              </w:rPr>
              <w:t>3</w:t>
            </w:r>
            <w:r>
              <w:rPr>
                <w:rtl/>
              </w:rPr>
              <w:fldChar w:fldCharType="end"/>
            </w:r>
          </w:p>
        </w:tc>
        <w:tc>
          <w:tcPr>
            <w:tcW w:w="567" w:type="dxa"/>
          </w:tcPr>
          <w:p w14:paraId="65FE5B80" w14:textId="77777777" w:rsidR="00FA4571" w:rsidRDefault="00FA4571">
            <w:pPr>
              <w:rPr>
                <w:rFonts w:hint="cs"/>
              </w:rPr>
            </w:pPr>
            <w:hyperlink w:anchor="Seif3" w:tooltip="פטור ממס שבח" w:history="1">
              <w:r>
                <w:rPr>
                  <w:rStyle w:val="Hyperlink"/>
                </w:rPr>
                <w:t>Go</w:t>
              </w:r>
            </w:hyperlink>
          </w:p>
        </w:tc>
        <w:tc>
          <w:tcPr>
            <w:tcW w:w="5669" w:type="dxa"/>
          </w:tcPr>
          <w:p w14:paraId="6A093BD4" w14:textId="77777777" w:rsidR="00FA4571" w:rsidRDefault="00FA4571">
            <w:pPr>
              <w:rPr>
                <w:rtl/>
              </w:rPr>
            </w:pPr>
            <w:r>
              <w:rPr>
                <w:rtl/>
              </w:rPr>
              <w:t>פטור ממס שבח</w:t>
            </w:r>
          </w:p>
        </w:tc>
        <w:tc>
          <w:tcPr>
            <w:tcW w:w="1247" w:type="dxa"/>
          </w:tcPr>
          <w:p w14:paraId="7F49174B" w14:textId="77777777" w:rsidR="00FA4571" w:rsidRDefault="00FA4571">
            <w:pPr>
              <w:rPr>
                <w:rFonts w:hint="cs"/>
              </w:rPr>
            </w:pPr>
            <w:r>
              <w:rPr>
                <w:rtl/>
              </w:rPr>
              <w:t xml:space="preserve">סעיף 4 </w:t>
            </w:r>
          </w:p>
        </w:tc>
      </w:tr>
      <w:tr w:rsidR="00FA4571" w14:paraId="4034E618" w14:textId="77777777">
        <w:tblPrEx>
          <w:tblCellMar>
            <w:top w:w="0" w:type="dxa"/>
            <w:bottom w:w="0" w:type="dxa"/>
          </w:tblCellMar>
        </w:tblPrEx>
        <w:trPr>
          <w:jc w:val="right"/>
        </w:trPr>
        <w:tc>
          <w:tcPr>
            <w:tcW w:w="850" w:type="dxa"/>
          </w:tcPr>
          <w:p w14:paraId="19783B0D" w14:textId="77777777" w:rsidR="00FA4571" w:rsidRDefault="00FA4571">
            <w:pPr>
              <w:rPr>
                <w:rFonts w:hint="cs"/>
              </w:rPr>
            </w:pPr>
            <w:r>
              <w:rPr>
                <w:rtl/>
              </w:rPr>
              <w:fldChar w:fldCharType="begin"/>
            </w:r>
            <w:r>
              <w:rPr>
                <w:rtl/>
              </w:rPr>
              <w:instrText xml:space="preserve"> </w:instrText>
            </w:r>
            <w:r>
              <w:instrText>PAGEREF Seif4</w:instrText>
            </w:r>
            <w:r>
              <w:rPr>
                <w:rtl/>
              </w:rPr>
              <w:instrText xml:space="preserve"> </w:instrText>
            </w:r>
            <w:r>
              <w:rPr>
                <w:rtl/>
              </w:rPr>
              <w:fldChar w:fldCharType="separate"/>
            </w:r>
            <w:r w:rsidR="001B1015">
              <w:rPr>
                <w:noProof/>
                <w:rtl/>
              </w:rPr>
              <w:t>4</w:t>
            </w:r>
            <w:r>
              <w:rPr>
                <w:rtl/>
              </w:rPr>
              <w:fldChar w:fldCharType="end"/>
            </w:r>
          </w:p>
        </w:tc>
        <w:tc>
          <w:tcPr>
            <w:tcW w:w="567" w:type="dxa"/>
          </w:tcPr>
          <w:p w14:paraId="347E126D" w14:textId="77777777" w:rsidR="00FA4571" w:rsidRDefault="00FA4571">
            <w:pPr>
              <w:rPr>
                <w:rFonts w:hint="cs"/>
              </w:rPr>
            </w:pPr>
            <w:hyperlink w:anchor="Seif4" w:tooltip="דרישת אישורים והודעות" w:history="1">
              <w:r>
                <w:rPr>
                  <w:rStyle w:val="Hyperlink"/>
                </w:rPr>
                <w:t>Go</w:t>
              </w:r>
            </w:hyperlink>
          </w:p>
        </w:tc>
        <w:tc>
          <w:tcPr>
            <w:tcW w:w="5669" w:type="dxa"/>
          </w:tcPr>
          <w:p w14:paraId="6395BBFB" w14:textId="77777777" w:rsidR="00FA4571" w:rsidRDefault="00FA4571">
            <w:pPr>
              <w:rPr>
                <w:rtl/>
              </w:rPr>
            </w:pPr>
            <w:r>
              <w:rPr>
                <w:rtl/>
              </w:rPr>
              <w:t>דרישת אישורים והודעות</w:t>
            </w:r>
          </w:p>
        </w:tc>
        <w:tc>
          <w:tcPr>
            <w:tcW w:w="1247" w:type="dxa"/>
          </w:tcPr>
          <w:p w14:paraId="02598AF7" w14:textId="77777777" w:rsidR="00FA4571" w:rsidRDefault="00FA4571">
            <w:pPr>
              <w:rPr>
                <w:rFonts w:hint="cs"/>
              </w:rPr>
            </w:pPr>
            <w:r>
              <w:rPr>
                <w:rtl/>
              </w:rPr>
              <w:t xml:space="preserve">סעיף 5 </w:t>
            </w:r>
          </w:p>
        </w:tc>
      </w:tr>
      <w:tr w:rsidR="00FA4571" w14:paraId="4E0DF919" w14:textId="77777777">
        <w:tblPrEx>
          <w:tblCellMar>
            <w:top w:w="0" w:type="dxa"/>
            <w:bottom w:w="0" w:type="dxa"/>
          </w:tblCellMar>
        </w:tblPrEx>
        <w:trPr>
          <w:jc w:val="right"/>
        </w:trPr>
        <w:tc>
          <w:tcPr>
            <w:tcW w:w="850" w:type="dxa"/>
          </w:tcPr>
          <w:p w14:paraId="486C01AF" w14:textId="77777777" w:rsidR="00FA4571" w:rsidRDefault="00FA4571">
            <w:pPr>
              <w:rPr>
                <w:rFonts w:hint="cs"/>
              </w:rPr>
            </w:pPr>
            <w:r>
              <w:rPr>
                <w:rtl/>
              </w:rPr>
              <w:fldChar w:fldCharType="begin"/>
            </w:r>
            <w:r>
              <w:rPr>
                <w:rtl/>
              </w:rPr>
              <w:instrText xml:space="preserve"> </w:instrText>
            </w:r>
            <w:r>
              <w:instrText>PAGEREF Seif5</w:instrText>
            </w:r>
            <w:r>
              <w:rPr>
                <w:rtl/>
              </w:rPr>
              <w:instrText xml:space="preserve"> </w:instrText>
            </w:r>
            <w:r>
              <w:rPr>
                <w:rtl/>
              </w:rPr>
              <w:fldChar w:fldCharType="separate"/>
            </w:r>
            <w:r w:rsidR="001B1015">
              <w:rPr>
                <w:noProof/>
                <w:rtl/>
              </w:rPr>
              <w:t>4</w:t>
            </w:r>
            <w:r>
              <w:rPr>
                <w:rtl/>
              </w:rPr>
              <w:fldChar w:fldCharType="end"/>
            </w:r>
          </w:p>
        </w:tc>
        <w:tc>
          <w:tcPr>
            <w:tcW w:w="567" w:type="dxa"/>
          </w:tcPr>
          <w:p w14:paraId="728974AE" w14:textId="77777777" w:rsidR="00FA4571" w:rsidRDefault="00FA4571">
            <w:pPr>
              <w:rPr>
                <w:rFonts w:hint="cs"/>
              </w:rPr>
            </w:pPr>
            <w:hyperlink w:anchor="Seif5" w:tooltip="רישום הערה או מסירת הודעה כתנאי להטבות" w:history="1">
              <w:r>
                <w:rPr>
                  <w:rStyle w:val="Hyperlink"/>
                </w:rPr>
                <w:t>Go</w:t>
              </w:r>
            </w:hyperlink>
          </w:p>
        </w:tc>
        <w:tc>
          <w:tcPr>
            <w:tcW w:w="5669" w:type="dxa"/>
          </w:tcPr>
          <w:p w14:paraId="1E4E3CCF" w14:textId="77777777" w:rsidR="00FA4571" w:rsidRDefault="00FA4571">
            <w:pPr>
              <w:rPr>
                <w:rtl/>
              </w:rPr>
            </w:pPr>
            <w:r>
              <w:rPr>
                <w:rtl/>
              </w:rPr>
              <w:t>רישום הערה או מסירת הודעה כתנאי להטבות</w:t>
            </w:r>
          </w:p>
        </w:tc>
        <w:tc>
          <w:tcPr>
            <w:tcW w:w="1247" w:type="dxa"/>
          </w:tcPr>
          <w:p w14:paraId="3A7FA5F2" w14:textId="77777777" w:rsidR="00FA4571" w:rsidRDefault="00FA4571">
            <w:pPr>
              <w:rPr>
                <w:rFonts w:hint="cs"/>
              </w:rPr>
            </w:pPr>
            <w:r>
              <w:rPr>
                <w:rtl/>
              </w:rPr>
              <w:t xml:space="preserve">סעיף 6 </w:t>
            </w:r>
          </w:p>
        </w:tc>
      </w:tr>
      <w:tr w:rsidR="00FA4571" w14:paraId="3FF1D1B8" w14:textId="77777777">
        <w:tblPrEx>
          <w:tblCellMar>
            <w:top w:w="0" w:type="dxa"/>
            <w:bottom w:w="0" w:type="dxa"/>
          </w:tblCellMar>
        </w:tblPrEx>
        <w:trPr>
          <w:jc w:val="right"/>
        </w:trPr>
        <w:tc>
          <w:tcPr>
            <w:tcW w:w="850" w:type="dxa"/>
          </w:tcPr>
          <w:p w14:paraId="091A192A" w14:textId="77777777" w:rsidR="00FA4571" w:rsidRDefault="00FA4571">
            <w:pPr>
              <w:rPr>
                <w:rFonts w:hint="cs"/>
              </w:rPr>
            </w:pPr>
            <w:r>
              <w:rPr>
                <w:rtl/>
              </w:rPr>
              <w:fldChar w:fldCharType="begin"/>
            </w:r>
            <w:r>
              <w:rPr>
                <w:rtl/>
              </w:rPr>
              <w:instrText xml:space="preserve"> </w:instrText>
            </w:r>
            <w:r>
              <w:instrText>PAGEREF Seif6</w:instrText>
            </w:r>
            <w:r>
              <w:rPr>
                <w:rtl/>
              </w:rPr>
              <w:instrText xml:space="preserve"> </w:instrText>
            </w:r>
            <w:r>
              <w:rPr>
                <w:rtl/>
              </w:rPr>
              <w:fldChar w:fldCharType="separate"/>
            </w:r>
            <w:r w:rsidR="001B1015">
              <w:rPr>
                <w:noProof/>
                <w:rtl/>
              </w:rPr>
              <w:t>4</w:t>
            </w:r>
            <w:r>
              <w:rPr>
                <w:rtl/>
              </w:rPr>
              <w:fldChar w:fldCharType="end"/>
            </w:r>
          </w:p>
        </w:tc>
        <w:tc>
          <w:tcPr>
            <w:tcW w:w="567" w:type="dxa"/>
          </w:tcPr>
          <w:p w14:paraId="49441502" w14:textId="77777777" w:rsidR="00FA4571" w:rsidRDefault="00FA4571">
            <w:pPr>
              <w:rPr>
                <w:rFonts w:hint="cs"/>
              </w:rPr>
            </w:pPr>
            <w:hyperlink w:anchor="Seif6" w:tooltip="חובת ניהול ואחזקה" w:history="1">
              <w:r>
                <w:rPr>
                  <w:rStyle w:val="Hyperlink"/>
                </w:rPr>
                <w:t>Go</w:t>
              </w:r>
            </w:hyperlink>
          </w:p>
        </w:tc>
        <w:tc>
          <w:tcPr>
            <w:tcW w:w="5669" w:type="dxa"/>
          </w:tcPr>
          <w:p w14:paraId="53E6C2C5" w14:textId="77777777" w:rsidR="00FA4571" w:rsidRDefault="00FA4571">
            <w:pPr>
              <w:rPr>
                <w:rtl/>
              </w:rPr>
            </w:pPr>
            <w:r>
              <w:rPr>
                <w:rtl/>
              </w:rPr>
              <w:t>חובת ניהול ואחזקה</w:t>
            </w:r>
          </w:p>
        </w:tc>
        <w:tc>
          <w:tcPr>
            <w:tcW w:w="1247" w:type="dxa"/>
          </w:tcPr>
          <w:p w14:paraId="56CADFA0" w14:textId="77777777" w:rsidR="00FA4571" w:rsidRDefault="00FA4571">
            <w:pPr>
              <w:rPr>
                <w:rFonts w:hint="cs"/>
              </w:rPr>
            </w:pPr>
            <w:r>
              <w:rPr>
                <w:rtl/>
              </w:rPr>
              <w:t xml:space="preserve">סעיף 7 </w:t>
            </w:r>
          </w:p>
        </w:tc>
      </w:tr>
      <w:tr w:rsidR="00FA4571" w14:paraId="31091039" w14:textId="77777777">
        <w:tblPrEx>
          <w:tblCellMar>
            <w:top w:w="0" w:type="dxa"/>
            <w:bottom w:w="0" w:type="dxa"/>
          </w:tblCellMar>
        </w:tblPrEx>
        <w:trPr>
          <w:jc w:val="right"/>
        </w:trPr>
        <w:tc>
          <w:tcPr>
            <w:tcW w:w="850" w:type="dxa"/>
          </w:tcPr>
          <w:p w14:paraId="3B075C75" w14:textId="77777777" w:rsidR="00FA4571" w:rsidRDefault="00FA4571">
            <w:pPr>
              <w:rPr>
                <w:rFonts w:hint="cs"/>
              </w:rPr>
            </w:pPr>
            <w:r>
              <w:rPr>
                <w:rtl/>
              </w:rPr>
              <w:fldChar w:fldCharType="begin"/>
            </w:r>
            <w:r>
              <w:rPr>
                <w:rtl/>
              </w:rPr>
              <w:instrText xml:space="preserve"> </w:instrText>
            </w:r>
            <w:r>
              <w:instrText>PAGEREF Seif7</w:instrText>
            </w:r>
            <w:r>
              <w:rPr>
                <w:rtl/>
              </w:rPr>
              <w:instrText xml:space="preserve"> </w:instrText>
            </w:r>
            <w:r>
              <w:rPr>
                <w:rtl/>
              </w:rPr>
              <w:fldChar w:fldCharType="separate"/>
            </w:r>
            <w:r w:rsidR="001B1015">
              <w:rPr>
                <w:noProof/>
                <w:rtl/>
              </w:rPr>
              <w:t>5</w:t>
            </w:r>
            <w:r>
              <w:rPr>
                <w:rtl/>
              </w:rPr>
              <w:fldChar w:fldCharType="end"/>
            </w:r>
          </w:p>
        </w:tc>
        <w:tc>
          <w:tcPr>
            <w:tcW w:w="567" w:type="dxa"/>
          </w:tcPr>
          <w:p w14:paraId="2472BB77" w14:textId="77777777" w:rsidR="00FA4571" w:rsidRDefault="00FA4571">
            <w:pPr>
              <w:rPr>
                <w:rFonts w:hint="cs"/>
              </w:rPr>
            </w:pPr>
            <w:hyperlink w:anchor="Seif7" w:tooltip="ביצוע ותקנות" w:history="1">
              <w:r>
                <w:rPr>
                  <w:rStyle w:val="Hyperlink"/>
                </w:rPr>
                <w:t>Go</w:t>
              </w:r>
            </w:hyperlink>
          </w:p>
        </w:tc>
        <w:tc>
          <w:tcPr>
            <w:tcW w:w="5669" w:type="dxa"/>
          </w:tcPr>
          <w:p w14:paraId="608E783B" w14:textId="77777777" w:rsidR="00FA4571" w:rsidRDefault="00FA4571">
            <w:pPr>
              <w:rPr>
                <w:rtl/>
              </w:rPr>
            </w:pPr>
            <w:r>
              <w:rPr>
                <w:rtl/>
              </w:rPr>
              <w:t>ביצוע ותקנות</w:t>
            </w:r>
          </w:p>
        </w:tc>
        <w:tc>
          <w:tcPr>
            <w:tcW w:w="1247" w:type="dxa"/>
          </w:tcPr>
          <w:p w14:paraId="54A74B85" w14:textId="77777777" w:rsidR="00FA4571" w:rsidRDefault="00FA4571">
            <w:pPr>
              <w:rPr>
                <w:rFonts w:hint="cs"/>
              </w:rPr>
            </w:pPr>
            <w:r>
              <w:rPr>
                <w:rtl/>
              </w:rPr>
              <w:t xml:space="preserve">סעיף 8 </w:t>
            </w:r>
          </w:p>
        </w:tc>
      </w:tr>
    </w:tbl>
    <w:p w14:paraId="43C02B8E" w14:textId="77777777" w:rsidR="00FA4571" w:rsidRDefault="00FA4571">
      <w:pPr>
        <w:pStyle w:val="big-header"/>
        <w:ind w:left="0" w:right="1134"/>
        <w:rPr>
          <w:rFonts w:cs="FrankRuehl" w:hint="cs"/>
          <w:sz w:val="32"/>
          <w:rtl/>
        </w:rPr>
      </w:pPr>
    </w:p>
    <w:p w14:paraId="3E53C00D" w14:textId="77777777" w:rsidR="00FA4571" w:rsidRDefault="00FA4571" w:rsidP="005A0791">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לעידוד בניית דירות להשכרה, תשס"ז-2007</w:t>
      </w:r>
      <w:r>
        <w:rPr>
          <w:rStyle w:val="default"/>
          <w:sz w:val="22"/>
          <w:szCs w:val="22"/>
          <w:rtl/>
        </w:rPr>
        <w:footnoteReference w:customMarkFollows="1" w:id="1"/>
        <w:t>*</w:t>
      </w:r>
    </w:p>
    <w:p w14:paraId="2DFB87EB" w14:textId="77777777" w:rsidR="00FA4571" w:rsidRDefault="00FA4571">
      <w:pPr>
        <w:pStyle w:val="P00"/>
        <w:spacing w:before="72"/>
        <w:ind w:left="0" w:right="1134"/>
        <w:rPr>
          <w:rStyle w:val="default"/>
          <w:rFonts w:cs="FrankRuehl" w:hint="cs"/>
          <w:rtl/>
        </w:rPr>
      </w:pPr>
      <w:bookmarkStart w:id="1" w:name="Seif0"/>
      <w:bookmarkEnd w:id="1"/>
      <w:r>
        <w:rPr>
          <w:rFonts w:cs="Miriam"/>
          <w:lang w:val="he-IL"/>
        </w:rPr>
        <w:pict w14:anchorId="0443A974">
          <v:rect id="_x0000_s2050" style="position:absolute;left:0;text-align:left;margin-left:464.35pt;margin-top:7.1pt;width:75.05pt;height:8.95pt;z-index:251653120" o:allowincell="f" filled="f" stroked="f" strokecolor="lime" strokeweight=".25pt">
            <v:textbox style="mso-next-textbox:#_x0000_s2050" inset="0,0,0,0">
              <w:txbxContent>
                <w:p w14:paraId="6EB93E95" w14:textId="77777777" w:rsidR="00FA4571" w:rsidRDefault="00FA457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בחוק זה –</w:t>
      </w:r>
    </w:p>
    <w:p w14:paraId="259A0A01"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"בנין להשכרה" – בנין, למעט חלק מבנין, שמתקיימים בו כל אלה:</w:t>
      </w:r>
    </w:p>
    <w:p w14:paraId="217E94B8"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מבנה של קבע;</w:t>
      </w:r>
    </w:p>
    <w:p w14:paraId="101C0DD8"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התכנית החלה עליו מייעדת אותו למגורים;</w:t>
      </w:r>
    </w:p>
    <w:p w14:paraId="1F4BD763" w14:textId="77777777" w:rsidR="00FA4571" w:rsidRDefault="00FA457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יש בו לפחות שש עשרה דירות בארבע קומות לפחות, שהשטח העיקרי הממוצע שלהן אינו עולה על 100 מ"ר;</w:t>
      </w:r>
    </w:p>
    <w:p w14:paraId="3B92A21E" w14:textId="77777777" w:rsidR="00FA4571" w:rsidRDefault="00FA4571">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בנייתו הסתיימה אחרי יום י' בטבת התשס"ז (31 בדצמבר 2006); לענין זה,</w:t>
      </w:r>
      <w:r>
        <w:rPr>
          <w:rStyle w:val="default"/>
          <w:rFonts w:cs="FrankRuehl" w:hint="cs"/>
          <w:rtl/>
        </w:rPr>
        <w:t xml:space="preserve"> </w:t>
      </w:r>
      <w:r>
        <w:rPr>
          <w:rStyle w:val="default"/>
          <w:rFonts w:cs="FrankRuehl"/>
          <w:rtl/>
        </w:rPr>
        <w:t>יראו את המועד שבו התקבל אישור להספקת חשמל, מים או חיבור של טלפון לבנין, לפי סעיף 265 לחוק התכנון והבניה, כמועד סיום הבניה;</w:t>
      </w:r>
    </w:p>
    <w:p w14:paraId="036238BC" w14:textId="77777777" w:rsidR="00FA4571" w:rsidRDefault="00FA4571">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70% לפחות מהדירות בו מושכרות למגורים, ובשאר הדירות לא נעשה שימוש שאינו השכרה כאמור;</w:t>
      </w:r>
    </w:p>
    <w:p w14:paraId="6A2743FC"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"דירה" – כהגדרתה בסעיף 1 לחוק מס הכנסה (תיקוני חקיקה והוראות שונות), התשנ"ב</w:t>
      </w:r>
      <w:r>
        <w:rPr>
          <w:rStyle w:val="default"/>
          <w:rFonts w:cs="FrankRuehl" w:hint="cs"/>
          <w:rtl/>
        </w:rPr>
        <w:t>-1992</w:t>
      </w:r>
      <w:r>
        <w:rPr>
          <w:rStyle w:val="default"/>
          <w:rFonts w:cs="FrankRuehl"/>
          <w:rtl/>
        </w:rPr>
        <w:t>;</w:t>
      </w:r>
    </w:p>
    <w:p w14:paraId="7F680385"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"הכנסה" – כהגדרתה בפקודה, לרבות שבח כמשמעותו בחוק מיסוי מקרקעין;</w:t>
      </w:r>
    </w:p>
    <w:p w14:paraId="545BF183"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"השכרה", לענין דירה בבנין להשכרה – השכרה על פי חוזה שכירות שלפיו דמי</w:t>
      </w:r>
      <w:r>
        <w:rPr>
          <w:rStyle w:val="default"/>
          <w:rFonts w:cs="FrankRuehl" w:hint="cs"/>
          <w:rtl/>
        </w:rPr>
        <w:t xml:space="preserve"> </w:t>
      </w:r>
      <w:r>
        <w:rPr>
          <w:rStyle w:val="default"/>
          <w:rFonts w:cs="FrankRuehl"/>
          <w:rtl/>
        </w:rPr>
        <w:t>השכירות, לרבות חלק מהם, אינם ניתנים להיוון, והם משולמים בתשלומים</w:t>
      </w:r>
      <w:r>
        <w:rPr>
          <w:rStyle w:val="default"/>
          <w:rFonts w:cs="FrankRuehl" w:hint="cs"/>
          <w:rtl/>
        </w:rPr>
        <w:t xml:space="preserve"> </w:t>
      </w:r>
      <w:r>
        <w:rPr>
          <w:rStyle w:val="default"/>
          <w:rFonts w:cs="FrankRuehl"/>
          <w:rtl/>
        </w:rPr>
        <w:t>עתיים, לתקופות קצובות שכל אחת מהן אינה עולה על שנה, למעט השכרה כמפורט להלן:</w:t>
      </w:r>
    </w:p>
    <w:p w14:paraId="664D1384"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השכרה לקרוב;</w:t>
      </w:r>
    </w:p>
    <w:p w14:paraId="35F2A27E"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השכרה למשרד לקליטת העליה או למי מטעמו, לצורך אכלוסם של עולים</w:t>
      </w:r>
      <w:r>
        <w:rPr>
          <w:rStyle w:val="default"/>
          <w:rFonts w:cs="FrankRuehl" w:hint="cs"/>
          <w:rtl/>
        </w:rPr>
        <w:t>;</w:t>
      </w:r>
    </w:p>
    <w:p w14:paraId="3850990F" w14:textId="77777777" w:rsidR="00FA4571" w:rsidRDefault="00FA457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השכרה למשרד הבינוי והשיכון או למי מטעמו, לצורך אכלוסם של זכאים על פי נוהלי משרד הבינוי והשיכון;</w:t>
      </w:r>
    </w:p>
    <w:p w14:paraId="070CB3C3"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"זכויות", בבנין להשכרה – זכות בעלות, זכות חכירה לדורות, או זכות חוזית לקבל אחת מהזכויות האמורות;</w:t>
      </w:r>
    </w:p>
    <w:p w14:paraId="0D58F51E"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"זכות במקרקעין", "יום מכירה", "יום רכישה", "מכירה", "מס שבח", "מקרקעין" – כמשמעותם בחוק מיסוי מקרקעין;</w:t>
      </w:r>
    </w:p>
    <w:p w14:paraId="28C038FF"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"חברה", "מדד", "מנהל", "תושב ישראל" – כהגדרתם בפקודה;</w:t>
      </w:r>
    </w:p>
    <w:p w14:paraId="715751D8"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"חברה בעלת בנין להשכרה" – חברה שהיא בעלת מלוא הזכויות בבנין להשכרה, שמתקיימים בה כל אלה:</w:t>
      </w:r>
    </w:p>
    <w:p w14:paraId="3DEBC90D"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היא תושבת ישראל;</w:t>
      </w:r>
    </w:p>
    <w:p w14:paraId="198CBBAF"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היא אינה חברת בית כמשמעותה בסעיף 64 לפקודה, חברה משפחתית כמשמעותה בסעיף 64א לפקודה או חברה שקופה כהגדרתה בסעיף 64א1(א) לפקודה;</w:t>
      </w:r>
    </w:p>
    <w:p w14:paraId="4708F8BF"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התכנון והבניה" – חוק התכנון והבניה, התשכ"ה</w:t>
      </w:r>
      <w:r>
        <w:rPr>
          <w:rStyle w:val="default"/>
          <w:rFonts w:cs="FrankRuehl" w:hint="cs"/>
          <w:rtl/>
        </w:rPr>
        <w:t>-1965</w:t>
      </w:r>
      <w:r>
        <w:rPr>
          <w:rStyle w:val="default"/>
          <w:rFonts w:cs="FrankRuehl"/>
          <w:rtl/>
        </w:rPr>
        <w:t>;</w:t>
      </w:r>
    </w:p>
    <w:p w14:paraId="3E3B9EDD"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לעידוד השקעות הון" – חוק לעידוד השקעות הון, התשי"ט</w:t>
      </w:r>
      <w:r>
        <w:rPr>
          <w:rStyle w:val="default"/>
          <w:rFonts w:cs="FrankRuehl" w:hint="cs"/>
          <w:rtl/>
        </w:rPr>
        <w:t>-1959</w:t>
      </w:r>
      <w:r>
        <w:rPr>
          <w:rStyle w:val="default"/>
          <w:rFonts w:cs="FrankRuehl"/>
          <w:rtl/>
        </w:rPr>
        <w:t>;</w:t>
      </w:r>
    </w:p>
    <w:p w14:paraId="104A5835"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מיסוי מקרקעין" – חוק מיסוי מקרקעין (שבח, מכירה ורכישה), התשכ"ג</w:t>
      </w:r>
      <w:r>
        <w:rPr>
          <w:rStyle w:val="default"/>
          <w:rFonts w:cs="FrankRuehl" w:hint="cs"/>
          <w:rtl/>
        </w:rPr>
        <w:t>-1963</w:t>
      </w:r>
      <w:r>
        <w:rPr>
          <w:rStyle w:val="default"/>
          <w:rFonts w:cs="FrankRuehl"/>
          <w:rtl/>
        </w:rPr>
        <w:t>;</w:t>
      </w:r>
    </w:p>
    <w:p w14:paraId="0F26AD84"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"חלק השבח הריאלי מהמועד הקובע" – החלק מהשבח הריאלי שיחסו לכלל השבח</w:t>
      </w:r>
      <w:r>
        <w:rPr>
          <w:rStyle w:val="default"/>
          <w:rFonts w:cs="FrankRuehl" w:hint="cs"/>
          <w:rtl/>
        </w:rPr>
        <w:t xml:space="preserve"> </w:t>
      </w:r>
      <w:r>
        <w:rPr>
          <w:rStyle w:val="default"/>
          <w:rFonts w:cs="FrankRuehl"/>
          <w:rtl/>
        </w:rPr>
        <w:lastRenderedPageBreak/>
        <w:t>הריאלי הוא כיחס שבין התקופה שמהמועד הקובע עד ליום המכירה לבין התקופה שמיום הרכישה עד ליום המכירה;</w:t>
      </w:r>
    </w:p>
    <w:p w14:paraId="59DB66A3"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"המועד הקובע" – המאוחר מבין אלה:</w:t>
      </w:r>
    </w:p>
    <w:p w14:paraId="50FD5235"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יום י"א בטבת התשס"ז (1 בינואר 2007);</w:t>
      </w:r>
    </w:p>
    <w:p w14:paraId="214790AD"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יום רכישת הזכות במקרקעין;</w:t>
      </w:r>
    </w:p>
    <w:p w14:paraId="5185F305" w14:textId="77777777" w:rsidR="00FA4571" w:rsidRDefault="00FA457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המועד שבו התקבל היתר בניה, לפי חוק התכנון והבניה, לבניית הבנין</w:t>
      </w:r>
      <w:r>
        <w:rPr>
          <w:rStyle w:val="default"/>
          <w:rFonts w:cs="FrankRuehl" w:hint="cs"/>
          <w:rtl/>
        </w:rPr>
        <w:t xml:space="preserve"> </w:t>
      </w:r>
      <w:r>
        <w:rPr>
          <w:rStyle w:val="default"/>
          <w:rFonts w:cs="FrankRuehl"/>
          <w:rtl/>
        </w:rPr>
        <w:t>להשכרה, ולענין בנין שהיה לראשונה בנין להשכרה לאחר שחלפו למעלה משלוש</w:t>
      </w:r>
      <w:r>
        <w:rPr>
          <w:rStyle w:val="default"/>
          <w:rFonts w:cs="FrankRuehl" w:hint="cs"/>
          <w:rtl/>
        </w:rPr>
        <w:t xml:space="preserve"> </w:t>
      </w:r>
      <w:r>
        <w:rPr>
          <w:rStyle w:val="default"/>
          <w:rFonts w:cs="FrankRuehl"/>
          <w:rtl/>
        </w:rPr>
        <w:t>שנים ממועד קבלת ההיתר כאמור - המועד שחל שלוש שנים לפני המועד שבו הבנין היה לראשונה בנין להשכרה;</w:t>
      </w:r>
    </w:p>
    <w:p w14:paraId="1AC8ED2C"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"עסקה", "פנקסי המקרקעין", "רכוש משותף", "רשם" – כמשמעותם בחוק המקרקעין, התשכ"ט</w:t>
      </w:r>
      <w:r>
        <w:rPr>
          <w:rStyle w:val="default"/>
          <w:rFonts w:cs="FrankRuehl" w:hint="cs"/>
          <w:rtl/>
        </w:rPr>
        <w:t>-1969</w:t>
      </w:r>
      <w:r>
        <w:rPr>
          <w:rStyle w:val="default"/>
          <w:rFonts w:cs="FrankRuehl"/>
          <w:rtl/>
        </w:rPr>
        <w:t>;</w:t>
      </w:r>
    </w:p>
    <w:p w14:paraId="293F691B"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"הפקודה" – פקודת מס הכנסה;</w:t>
      </w:r>
    </w:p>
    <w:p w14:paraId="00B00C86"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"קרוב" – כהגדרתו בסעיף 88 לפקודה;</w:t>
      </w:r>
    </w:p>
    <w:p w14:paraId="7CDD30BD"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"שבח ריאלי" – כהגדרתו בסעיף 47 לחוק מיסוי מקרקעין;</w:t>
      </w:r>
    </w:p>
    <w:p w14:paraId="4CA3CE7A"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"שטח עיקרי" – שטח למטרה עיקרית, כמשמעותו לפי חוק התכנון והבניה;</w:t>
      </w:r>
    </w:p>
    <w:p w14:paraId="43350173"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"תכנית" – כהגדרתה בחוק התכנון והבניה;</w:t>
      </w:r>
    </w:p>
    <w:p w14:paraId="63857E87"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הבינוי והשיכון.</w:t>
      </w:r>
    </w:p>
    <w:p w14:paraId="1353F483" w14:textId="77777777" w:rsidR="00FA4571" w:rsidRDefault="00FA4571">
      <w:pPr>
        <w:pStyle w:val="P00"/>
        <w:spacing w:before="72"/>
        <w:ind w:left="0" w:right="1134"/>
        <w:rPr>
          <w:rStyle w:val="default"/>
          <w:rFonts w:cs="FrankRuehl" w:hint="cs"/>
          <w:rtl/>
        </w:rPr>
      </w:pPr>
      <w:bookmarkStart w:id="2" w:name="Seif1"/>
      <w:bookmarkEnd w:id="2"/>
      <w:r>
        <w:rPr>
          <w:rFonts w:cs="Miriam"/>
          <w:lang w:val="he-IL"/>
        </w:rPr>
        <w:pict w14:anchorId="32C86ABC">
          <v:rect id="_x0000_s2238" style="position:absolute;left:0;text-align:left;margin-left:464.35pt;margin-top:7.1pt;width:75.05pt;height:15.35pt;z-index:251654144" o:allowincell="f" filled="f" stroked="f" strokecolor="lime" strokeweight=".25pt">
            <v:textbox style="mso-next-textbox:#_x0000_s2238" inset="0,0,0,0">
              <w:txbxContent>
                <w:p w14:paraId="282071E7" w14:textId="77777777" w:rsidR="00FA4571" w:rsidRDefault="00FA4571">
                  <w:pPr>
                    <w:spacing w:line="160" w:lineRule="exact"/>
                    <w:rPr>
                      <w:rFonts w:cs="Miriam" w:hint="cs"/>
                      <w:noProof/>
                      <w:sz w:val="18"/>
                      <w:szCs w:val="18"/>
                      <w:rtl/>
                    </w:rPr>
                  </w:pPr>
                  <w:r>
                    <w:rPr>
                      <w:rFonts w:cs="Miriam" w:hint="cs"/>
                      <w:sz w:val="18"/>
                      <w:szCs w:val="18"/>
                      <w:rtl/>
                    </w:rPr>
                    <w:t>שלילת הקלה או הטבה נוספת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rtl/>
        </w:rPr>
        <w:t>חברה בעלת בנין להשכרה רשאית לבחור לפי הוראות חוק זה בהטבות הקבועות בו,</w:t>
      </w:r>
      <w:r>
        <w:rPr>
          <w:rStyle w:val="default"/>
          <w:rFonts w:cs="FrankRuehl" w:hint="cs"/>
          <w:rtl/>
        </w:rPr>
        <w:t xml:space="preserve"> </w:t>
      </w:r>
      <w:r>
        <w:rPr>
          <w:rStyle w:val="default"/>
          <w:rFonts w:cs="FrankRuehl"/>
          <w:rtl/>
        </w:rPr>
        <w:t>כולן או חלקן; בחרה כאמור, לא תוכל לחזור בה מבחירתה, ולא יחולו על כל הכנסה או הוצאה הנובעת מהבנין להשכרה הוראות פרק שני 1 שבחלק ד' לפקודה, הוראות חלק ה'2 לפקודה והוראות פרק שביעי 1 לחוק לעידוד השקעות הון.</w:t>
      </w:r>
    </w:p>
    <w:p w14:paraId="16D7F58C" w14:textId="77777777" w:rsidR="00FA4571" w:rsidRDefault="00FA4571">
      <w:pPr>
        <w:pStyle w:val="P00"/>
        <w:spacing w:before="72"/>
        <w:ind w:left="0" w:right="1134"/>
        <w:rPr>
          <w:rStyle w:val="default"/>
          <w:rFonts w:cs="FrankRuehl" w:hint="cs"/>
          <w:rtl/>
        </w:rPr>
      </w:pPr>
      <w:bookmarkStart w:id="3" w:name="Seif2"/>
      <w:bookmarkEnd w:id="3"/>
      <w:r>
        <w:rPr>
          <w:rFonts w:cs="Miriam"/>
          <w:lang w:val="he-IL"/>
        </w:rPr>
        <w:pict w14:anchorId="4DB36C7D">
          <v:rect id="_x0000_s2239" style="position:absolute;left:0;text-align:left;margin-left:464.35pt;margin-top:7.1pt;width:75.05pt;height:13.7pt;z-index:251655168" o:allowincell="f" filled="f" stroked="f" strokecolor="lime" strokeweight=".25pt">
            <v:textbox style="mso-next-textbox:#_x0000_s2239" inset="0,0,0,0">
              <w:txbxContent>
                <w:p w14:paraId="48E41013" w14:textId="77777777" w:rsidR="00FA4571" w:rsidRDefault="00FA4571">
                  <w:pPr>
                    <w:spacing w:line="160" w:lineRule="exact"/>
                    <w:rPr>
                      <w:rFonts w:cs="Miriam" w:hint="cs"/>
                      <w:noProof/>
                      <w:sz w:val="18"/>
                      <w:szCs w:val="18"/>
                      <w:rtl/>
                    </w:rPr>
                  </w:pPr>
                  <w:r>
                    <w:rPr>
                      <w:rFonts w:cs="Miriam" w:hint="cs"/>
                      <w:sz w:val="18"/>
                      <w:szCs w:val="18"/>
                      <w:rtl/>
                    </w:rPr>
                    <w:t>פחת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שיעור הפחת שיותר בניכוי, לפי סעיף 21 לפקודה, לחברה בעלת בנין להשכרה, בעד בנין שהיה בשנת המס בנין להשכרה, יהיה 20%, ובלבד שהבנין יהיה בנין להשכרה, בידי אותה חברה, במשך תקופה כוללת של עשר שנים רצופות לפחות;</w:t>
      </w:r>
      <w:r>
        <w:rPr>
          <w:rStyle w:val="default"/>
          <w:rFonts w:cs="FrankRuehl" w:hint="cs"/>
          <w:rtl/>
        </w:rPr>
        <w:t xml:space="preserve"> </w:t>
      </w:r>
      <w:r>
        <w:rPr>
          <w:rStyle w:val="default"/>
          <w:rFonts w:cs="FrankRuehl"/>
          <w:rtl/>
        </w:rPr>
        <w:t>החלה התקופה האמורה במהלך שנת המס, תהא החברה בעלת הבנין להשכרה זכאית באותה שנת מס לחלק יחסי מהפחת כאמור.</w:t>
      </w:r>
    </w:p>
    <w:p w14:paraId="75F3B8EC"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על אף הוראות סעיף קטן (א), רשאית חברה בעלת בנין להשכרה לבחור בשיעור פחת נמוך יותר מהשיעור הנקוב בסעיף קטן (א), בדוח שהיא מגישה לפי סעיף 131 לפקודה בשנה הראשונה שבה הבנין היה בנין להשכרה; בחרה החברה כאמור, לא תוכל לחזור בה מבחירתה.</w:t>
      </w:r>
    </w:p>
    <w:p w14:paraId="220A375D"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הפסד שנוצר בשל פחת לפי סעיף זה, יראהו כהפסד לפי סעיף 28(א) או (ח) לפקודה, לפי בחירת החברה בעלת הבנין להשכרה.</w:t>
      </w:r>
    </w:p>
    <w:p w14:paraId="7CFAA78C"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הותר לחברה בעלת בנין להשכרה פחת לפי הוראות סעיף קטן (א) או (ב), והבנין</w:t>
      </w:r>
      <w:r>
        <w:rPr>
          <w:rStyle w:val="default"/>
          <w:rFonts w:cs="FrankRuehl" w:hint="cs"/>
          <w:rtl/>
        </w:rPr>
        <w:t xml:space="preserve"> </w:t>
      </w:r>
      <w:r>
        <w:rPr>
          <w:rStyle w:val="default"/>
          <w:rFonts w:cs="FrankRuehl"/>
          <w:rtl/>
        </w:rPr>
        <w:t>לא היה בנין להשכרה, בידי אותה חברה, במשך עשר שנים רצופות לפחות, ייווסף</w:t>
      </w:r>
      <w:r>
        <w:rPr>
          <w:rStyle w:val="default"/>
          <w:rFonts w:cs="FrankRuehl" w:hint="cs"/>
          <w:rtl/>
        </w:rPr>
        <w:t xml:space="preserve"> </w:t>
      </w:r>
      <w:r>
        <w:rPr>
          <w:rStyle w:val="default"/>
          <w:rFonts w:cs="FrankRuehl"/>
          <w:rtl/>
        </w:rPr>
        <w:t>להכנסתה של החברה בשנה הראשונה שבה חדל הבנין להיות בנין להשכרה (בסעיף</w:t>
      </w:r>
      <w:r>
        <w:rPr>
          <w:rStyle w:val="default"/>
          <w:rFonts w:cs="FrankRuehl" w:hint="cs"/>
          <w:rtl/>
        </w:rPr>
        <w:t xml:space="preserve"> </w:t>
      </w:r>
      <w:r>
        <w:rPr>
          <w:rStyle w:val="default"/>
          <w:rFonts w:cs="FrankRuehl"/>
          <w:rtl/>
        </w:rPr>
        <w:t>קטן זה – שנת ההפרה), ההפרש שבין הפחת שנוכה לפי סעיף קטן (א) או (ב), לפי</w:t>
      </w:r>
      <w:r>
        <w:rPr>
          <w:rStyle w:val="default"/>
          <w:rFonts w:cs="FrankRuehl" w:hint="cs"/>
          <w:rtl/>
        </w:rPr>
        <w:t xml:space="preserve"> </w:t>
      </w:r>
      <w:r>
        <w:rPr>
          <w:rStyle w:val="default"/>
          <w:rFonts w:cs="FrankRuehl"/>
          <w:rtl/>
        </w:rPr>
        <w:t>הענין, לבין הפחת שהיה ניתן לניכוי אילולא בחרה החברה בהטבה לפי סעיף זה,</w:t>
      </w:r>
      <w:r>
        <w:rPr>
          <w:rStyle w:val="default"/>
          <w:rFonts w:cs="FrankRuehl" w:hint="cs"/>
          <w:rtl/>
        </w:rPr>
        <w:t xml:space="preserve"> </w:t>
      </w:r>
      <w:r>
        <w:rPr>
          <w:rStyle w:val="default"/>
          <w:rFonts w:cs="FrankRuehl"/>
          <w:rtl/>
        </w:rPr>
        <w:t>כשהוא מוכפל במדד שפורסם לאחרונה לפני תום שנת ההפרה ומחולק במדד שפורסם לאחרונה לפני תום השנה שבה נוכה הפחת, בתוספת ריבית בשיעור של 4% לשנה.</w:t>
      </w:r>
    </w:p>
    <w:p w14:paraId="36FAB1FA" w14:textId="77777777" w:rsidR="00FA4571" w:rsidRDefault="00FA4571">
      <w:pPr>
        <w:pStyle w:val="P00"/>
        <w:spacing w:before="72"/>
        <w:ind w:left="0" w:right="1134"/>
        <w:rPr>
          <w:rStyle w:val="default"/>
          <w:rFonts w:cs="FrankRuehl" w:hint="cs"/>
          <w:rtl/>
        </w:rPr>
      </w:pPr>
      <w:bookmarkStart w:id="4" w:name="Seif3"/>
      <w:bookmarkEnd w:id="4"/>
      <w:r>
        <w:rPr>
          <w:rFonts w:cs="Miriam"/>
          <w:lang w:val="he-IL"/>
        </w:rPr>
        <w:pict w14:anchorId="7755C81B">
          <v:rect id="_x0000_s2240" style="position:absolute;left:0;text-align:left;margin-left:464.35pt;margin-top:7.1pt;width:75.05pt;height:9.7pt;z-index:251656192" o:allowincell="f" filled="f" stroked="f" strokecolor="lime" strokeweight=".25pt">
            <v:textbox style="mso-next-textbox:#_x0000_s2240" inset="0,0,0,0">
              <w:txbxContent>
                <w:p w14:paraId="4E604DBF" w14:textId="77777777" w:rsidR="00FA4571" w:rsidRDefault="00FA4571">
                  <w:pPr>
                    <w:pStyle w:val="a7"/>
                    <w:rPr>
                      <w:rFonts w:hint="cs"/>
                      <w:noProof/>
                      <w:rtl/>
                    </w:rPr>
                  </w:pPr>
                  <w:r>
                    <w:rPr>
                      <w:rFonts w:hint="cs"/>
                      <w:rtl/>
                    </w:rPr>
                    <w:t>פטור ממס שבח</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במכירת זכות במקרקעין, במקרקעין שהם בנין להשכרה, תהא החברה בעלת</w:t>
      </w:r>
      <w:r>
        <w:rPr>
          <w:rStyle w:val="default"/>
          <w:rFonts w:cs="FrankRuehl" w:hint="cs"/>
          <w:rtl/>
        </w:rPr>
        <w:t xml:space="preserve"> </w:t>
      </w:r>
      <w:r>
        <w:rPr>
          <w:rStyle w:val="default"/>
          <w:rFonts w:cs="FrankRuehl"/>
          <w:rtl/>
        </w:rPr>
        <w:t>הבנין להשכרה פטורה ממס השבח החל על חלק השבח הריאלי מהמועד הקובע, ובלבד שהתקיימו כל אלה:</w:t>
      </w:r>
    </w:p>
    <w:p w14:paraId="4A8A9112"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זכויותיה של החברה נמכרו במלואן;</w:t>
      </w:r>
    </w:p>
    <w:p w14:paraId="40EC43CB"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הבנין להשכרה נמכר בשלמותו;</w:t>
      </w:r>
    </w:p>
    <w:p w14:paraId="42F19DEF" w14:textId="77777777" w:rsidR="00FA4571" w:rsidRDefault="00FA457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המכירה אינה לקרוב;</w:t>
      </w:r>
    </w:p>
    <w:p w14:paraId="4A44B5D6" w14:textId="77777777" w:rsidR="00FA4571" w:rsidRDefault="00FA4571">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הבנין היה בנין להשכרה, בידי החברה המוכרת, במשך עשר שנים רצופות לפחות;</w:t>
      </w:r>
    </w:p>
    <w:p w14:paraId="4900AEAE" w14:textId="77777777" w:rsidR="00FA4571" w:rsidRDefault="00FA4571">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הרוכשת היא חברה שמתקיימים בה התנאים המפורטים בפסקאות (1)</w:t>
      </w:r>
      <w:r>
        <w:rPr>
          <w:rStyle w:val="default"/>
          <w:rFonts w:cs="FrankRuehl" w:hint="cs"/>
          <w:rtl/>
        </w:rPr>
        <w:t xml:space="preserve"> </w:t>
      </w:r>
      <w:r>
        <w:rPr>
          <w:rStyle w:val="default"/>
          <w:rFonts w:cs="FrankRuehl"/>
          <w:rtl/>
        </w:rPr>
        <w:t>ו</w:t>
      </w:r>
      <w:r>
        <w:rPr>
          <w:rStyle w:val="default"/>
          <w:rFonts w:cs="FrankRuehl" w:hint="cs"/>
          <w:rtl/>
        </w:rPr>
        <w:t>-</w:t>
      </w:r>
      <w:r>
        <w:rPr>
          <w:rStyle w:val="default"/>
          <w:rFonts w:cs="FrankRuehl"/>
          <w:rtl/>
        </w:rPr>
        <w:t>(2) להגדרה "חברה בעלת בנין להשכרה", והיא התחייבה שהבנין ימשיך ויהיה</w:t>
      </w:r>
      <w:r>
        <w:rPr>
          <w:rStyle w:val="default"/>
          <w:rFonts w:cs="FrankRuehl" w:hint="cs"/>
          <w:rtl/>
        </w:rPr>
        <w:t xml:space="preserve"> </w:t>
      </w:r>
      <w:r>
        <w:rPr>
          <w:rStyle w:val="default"/>
          <w:rFonts w:cs="FrankRuehl"/>
          <w:rtl/>
        </w:rPr>
        <w:t>בנין להשכרה, בידיה, למשך תקופה נוספת (בסעיף זה – התקופה הנוספת), כך</w:t>
      </w:r>
      <w:r>
        <w:rPr>
          <w:rStyle w:val="default"/>
          <w:rFonts w:cs="FrankRuehl" w:hint="cs"/>
          <w:rtl/>
        </w:rPr>
        <w:t xml:space="preserve"> </w:t>
      </w:r>
      <w:r>
        <w:rPr>
          <w:rStyle w:val="default"/>
          <w:rFonts w:cs="FrankRuehl"/>
          <w:rtl/>
        </w:rPr>
        <w:t>שהתקופה הכוללת שבה הבנין יהיה בנין להשכרה בידי החברה המוכרת ובידיה, תהא 25 שנים רצופות.</w:t>
      </w:r>
    </w:p>
    <w:p w14:paraId="3A3A1E2E" w14:textId="77777777" w:rsidR="00FA4571" w:rsidRDefault="00FA4571">
      <w:pPr>
        <w:pStyle w:val="P00"/>
        <w:spacing w:before="72"/>
        <w:ind w:left="1021" w:right="1134" w:hanging="1021"/>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ניתן פטור לפי הוראות סעיף קטן (א) לחברה המוכרת, והבנין לא היה בנין</w:t>
      </w:r>
      <w:r>
        <w:rPr>
          <w:rStyle w:val="default"/>
          <w:rFonts w:cs="FrankRuehl" w:hint="cs"/>
          <w:rtl/>
        </w:rPr>
        <w:t xml:space="preserve"> </w:t>
      </w:r>
      <w:r>
        <w:rPr>
          <w:rStyle w:val="default"/>
          <w:rFonts w:cs="FrankRuehl"/>
          <w:rtl/>
        </w:rPr>
        <w:t>להשכרה בידי החברה הרוכשת במשך כל התקופה הנוספת, תהא החברה</w:t>
      </w:r>
      <w:r>
        <w:rPr>
          <w:rStyle w:val="default"/>
          <w:rFonts w:cs="FrankRuehl" w:hint="cs"/>
          <w:rtl/>
        </w:rPr>
        <w:t xml:space="preserve"> </w:t>
      </w:r>
      <w:r>
        <w:rPr>
          <w:rStyle w:val="default"/>
          <w:rFonts w:cs="FrankRuehl"/>
          <w:rtl/>
        </w:rPr>
        <w:t>הרוכשת חייבת בתשלום המס שהיתה חייבת בו החברה המוכרת אילולא</w:t>
      </w:r>
      <w:r>
        <w:rPr>
          <w:rStyle w:val="default"/>
          <w:rFonts w:cs="FrankRuehl" w:hint="cs"/>
          <w:rtl/>
        </w:rPr>
        <w:t xml:space="preserve"> </w:t>
      </w:r>
      <w:r>
        <w:rPr>
          <w:rStyle w:val="default"/>
          <w:rFonts w:cs="FrankRuehl"/>
          <w:rtl/>
        </w:rPr>
        <w:t>הופטרה ממנו לפי סעיף קטן (א), בתוספת הפרשי הצמדה וריבית בשיעור של 4% מתום שנת המס שבה ניתן הפטור; ואולם בשל כל שנה שבה הבנין היה בנין להשכרה בידי החברה הרוכשת, יופחת המס בסכום המתקבל מהכפלתו בשיעור תקופת ההשכרה בפועל; לענין זה, "שיעור תקופת ההשכרה בפועל" – היחס שבין התקופה שבה הבנין היה בנין להשכרה, בידי החברה הרוכשת, לבין התקופה הנוספת, או שיעור של 10%, לפי הגבוה מביניהם.</w:t>
      </w:r>
    </w:p>
    <w:p w14:paraId="62A4A3CD"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הודעה על חיוב במס לפי פסקה (1) יראוה כהודעת שומה כמשמעותה בסעיף 86 לחוק מיסוי מקרקעין, ויחולו על החיוב הוראות הפרק השמיני לחוק האמור ופקודת המסים (גביה).</w:t>
      </w:r>
    </w:p>
    <w:p w14:paraId="612CC830"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המנהל יתנה את מתן הפטור לפי הוראות סעיף קטן (א) במתן ערובות מאת החברה</w:t>
      </w:r>
      <w:r>
        <w:rPr>
          <w:rStyle w:val="default"/>
          <w:rFonts w:cs="FrankRuehl" w:hint="cs"/>
          <w:rtl/>
        </w:rPr>
        <w:t xml:space="preserve"> </w:t>
      </w:r>
      <w:r>
        <w:rPr>
          <w:rStyle w:val="default"/>
          <w:rFonts w:cs="FrankRuehl"/>
          <w:rtl/>
        </w:rPr>
        <w:t>הרוכשת, לתשלום המס שהופטרה ממנו החברה המוכרת והפרשי ההצמדה והריבית, כאמור בסעיף קטן (ב).</w:t>
      </w:r>
    </w:p>
    <w:p w14:paraId="0E08B5AD" w14:textId="77777777" w:rsidR="00FA4571" w:rsidRDefault="00FA4571">
      <w:pPr>
        <w:pStyle w:val="P00"/>
        <w:spacing w:before="72"/>
        <w:ind w:left="0" w:right="1134"/>
        <w:rPr>
          <w:rStyle w:val="default"/>
          <w:rFonts w:cs="FrankRuehl" w:hint="cs"/>
          <w:rtl/>
        </w:rPr>
      </w:pPr>
      <w:bookmarkStart w:id="5" w:name="Seif4"/>
      <w:bookmarkEnd w:id="5"/>
      <w:r>
        <w:rPr>
          <w:rFonts w:cs="Miriam"/>
          <w:lang w:val="he-IL"/>
        </w:rPr>
        <w:pict w14:anchorId="30EAA5B3">
          <v:rect id="_x0000_s2241" style="position:absolute;left:0;text-align:left;margin-left:464.35pt;margin-top:7.1pt;width:75.05pt;height:23.15pt;z-index:251657216" o:allowincell="f" filled="f" stroked="f" strokecolor="lime" strokeweight=".25pt">
            <v:textbox style="mso-next-textbox:#_x0000_s2241" inset="0,0,0,0">
              <w:txbxContent>
                <w:p w14:paraId="397D4B1E" w14:textId="77777777" w:rsidR="00FA4571" w:rsidRDefault="00FA4571">
                  <w:pPr>
                    <w:spacing w:line="160" w:lineRule="exact"/>
                    <w:rPr>
                      <w:rFonts w:cs="Miriam" w:hint="cs"/>
                      <w:noProof/>
                      <w:sz w:val="18"/>
                      <w:szCs w:val="18"/>
                      <w:rtl/>
                    </w:rPr>
                  </w:pPr>
                  <w:r>
                    <w:rPr>
                      <w:rFonts w:cs="Miriam" w:hint="cs"/>
                      <w:sz w:val="18"/>
                      <w:szCs w:val="18"/>
                      <w:rtl/>
                    </w:rPr>
                    <w:t>דרישת אישורים והודעות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המנהל רשאי להתנות את מתן ההטבות המפורטות בסעיפים 3 ו</w:t>
      </w:r>
      <w:r>
        <w:rPr>
          <w:rStyle w:val="default"/>
          <w:rFonts w:cs="FrankRuehl" w:hint="cs"/>
          <w:rtl/>
        </w:rPr>
        <w:t>-</w:t>
      </w:r>
      <w:r>
        <w:rPr>
          <w:rStyle w:val="default"/>
          <w:rFonts w:cs="FrankRuehl"/>
          <w:rtl/>
        </w:rPr>
        <w:t>4 בהמצאת אישור מאת רואה חשבון לכך שנתקיימו התנאים הקבועים בהם, וכן רשאי הוא לקבוע את</w:t>
      </w:r>
      <w:r>
        <w:rPr>
          <w:rStyle w:val="default"/>
          <w:rFonts w:cs="FrankRuehl" w:hint="cs"/>
          <w:rtl/>
        </w:rPr>
        <w:t xml:space="preserve"> </w:t>
      </w:r>
      <w:r>
        <w:rPr>
          <w:rStyle w:val="default"/>
          <w:rFonts w:cs="FrankRuehl"/>
          <w:rtl/>
        </w:rPr>
        <w:t>אופן מתן ההודעה על בחירה בהטבות לפי הסעיפים האמורים, את המועדים למתן הודעה כאמור ואת כללי הדיווח המהווים תנאי למתן ההטבות.</w:t>
      </w:r>
    </w:p>
    <w:p w14:paraId="7F2E7853" w14:textId="77777777" w:rsidR="00FA4571" w:rsidRDefault="00FA4571">
      <w:pPr>
        <w:pStyle w:val="P00"/>
        <w:spacing w:before="72"/>
        <w:ind w:left="0" w:right="1134"/>
        <w:rPr>
          <w:rStyle w:val="default"/>
          <w:rFonts w:cs="FrankRuehl" w:hint="cs"/>
          <w:rtl/>
        </w:rPr>
      </w:pPr>
      <w:bookmarkStart w:id="6" w:name="Seif5"/>
      <w:bookmarkEnd w:id="6"/>
      <w:r>
        <w:rPr>
          <w:rFonts w:cs="Miriam"/>
          <w:lang w:val="he-IL"/>
        </w:rPr>
        <w:pict w14:anchorId="34E3A177">
          <v:rect id="_x0000_s2289" style="position:absolute;left:0;text-align:left;margin-left:464.35pt;margin-top:7.1pt;width:75.05pt;height:27.25pt;z-index:251658240" o:allowincell="f" filled="f" stroked="f" strokecolor="lime" strokeweight=".25pt">
            <v:textbox style="mso-next-textbox:#_x0000_s2289" inset="0,0,0,0">
              <w:txbxContent>
                <w:p w14:paraId="1C9B3B74" w14:textId="77777777" w:rsidR="00FA4571" w:rsidRDefault="00FA4571">
                  <w:pPr>
                    <w:spacing w:line="160" w:lineRule="exact"/>
                    <w:rPr>
                      <w:rFonts w:cs="Miriam" w:hint="cs"/>
                      <w:noProof/>
                      <w:sz w:val="18"/>
                      <w:szCs w:val="18"/>
                      <w:rtl/>
                    </w:rPr>
                  </w:pPr>
                  <w:r>
                    <w:rPr>
                      <w:rFonts w:cs="Miriam" w:hint="cs"/>
                      <w:sz w:val="18"/>
                      <w:szCs w:val="18"/>
                      <w:rtl/>
                    </w:rPr>
                    <w:t>רישום הערה או מסירת הודעה כתנאי להטבות</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היו זכויותיה של חברה בעלת בנין להשכרה, בבנין להשכרה, רשומות בפנקסי המקרקעין, יחולו הוראות אלה:</w:t>
      </w:r>
    </w:p>
    <w:p w14:paraId="34CAF71F"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החברה לא תהא זכאית להטבות לפי חוק זה אלא אם כן נרשמה הערה</w:t>
      </w:r>
      <w:r>
        <w:rPr>
          <w:rStyle w:val="default"/>
          <w:rFonts w:cs="FrankRuehl" w:hint="cs"/>
          <w:rtl/>
        </w:rPr>
        <w:t xml:space="preserve"> </w:t>
      </w:r>
      <w:r>
        <w:rPr>
          <w:rStyle w:val="default"/>
          <w:rFonts w:cs="FrankRuehl"/>
          <w:rtl/>
        </w:rPr>
        <w:t>בפנקסי המקרקעין, לבקשת החברה ובאישור השר או מי שהוא הסמיכו לכך,</w:t>
      </w:r>
      <w:r>
        <w:rPr>
          <w:rStyle w:val="default"/>
          <w:rFonts w:cs="FrankRuehl" w:hint="cs"/>
          <w:rtl/>
        </w:rPr>
        <w:t xml:space="preserve"> </w:t>
      </w:r>
      <w:r>
        <w:rPr>
          <w:rStyle w:val="default"/>
          <w:rFonts w:cs="FrankRuehl"/>
          <w:rtl/>
        </w:rPr>
        <w:t>לגבי הבנין כולו או לגבי כל דירה בו, לפי הענין, בדבר היותו של הבנין, בנין להשכרה;</w:t>
      </w:r>
    </w:p>
    <w:p w14:paraId="69773A8C"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נרשמה הערה כאמור בפסקה (1), לא תירשם בפנקסי המקרקעין עסקה</w:t>
      </w:r>
      <w:r>
        <w:rPr>
          <w:rStyle w:val="default"/>
          <w:rFonts w:cs="FrankRuehl" w:hint="cs"/>
          <w:rtl/>
        </w:rPr>
        <w:t xml:space="preserve"> </w:t>
      </w:r>
      <w:r>
        <w:rPr>
          <w:rStyle w:val="default"/>
          <w:rFonts w:cs="FrankRuehl"/>
          <w:rtl/>
        </w:rPr>
        <w:t>בזכויות החברה בבנין להשכרה, אלא אם כן הומצא לרשם אישור לביצוע העסקה מאת השר או מי שהוא הסמיכו לכך.</w:t>
      </w:r>
    </w:p>
    <w:p w14:paraId="1E0E0858" w14:textId="77777777" w:rsidR="00FA4571" w:rsidRDefault="00494B74">
      <w:pPr>
        <w:pStyle w:val="P00"/>
        <w:spacing w:before="72"/>
        <w:ind w:left="0" w:right="1134"/>
        <w:rPr>
          <w:rStyle w:val="default"/>
          <w:rFonts w:cs="FrankRuehl" w:hint="cs"/>
          <w:rtl/>
        </w:rPr>
      </w:pPr>
      <w:r>
        <w:rPr>
          <w:rFonts w:cs="FrankRuehl" w:hint="cs"/>
          <w:sz w:val="26"/>
          <w:rtl/>
          <w:lang w:eastAsia="en-US"/>
        </w:rPr>
        <w:pict w14:anchorId="1BB6191D">
          <v:shapetype id="_x0000_t202" coordsize="21600,21600" o:spt="202" path="m,l,21600r21600,l21600,xe">
            <v:stroke joinstyle="miter"/>
            <v:path gradientshapeok="t" o:connecttype="rect"/>
          </v:shapetype>
          <v:shape id="_x0000_s2298" type="#_x0000_t202" style="position:absolute;left:0;text-align:left;margin-left:470.35pt;margin-top:7.1pt;width:1in;height:18pt;z-index:251661312" filled="f" stroked="f">
            <v:textbox inset="1mm,0,1mm,0">
              <w:txbxContent>
                <w:p w14:paraId="06074061" w14:textId="77777777" w:rsidR="00494B74" w:rsidRDefault="00494B74" w:rsidP="00494B74">
                  <w:pPr>
                    <w:spacing w:line="160" w:lineRule="exact"/>
                    <w:rPr>
                      <w:rFonts w:cs="Miriam"/>
                      <w:noProof/>
                      <w:sz w:val="18"/>
                      <w:szCs w:val="18"/>
                      <w:rtl/>
                    </w:rPr>
                  </w:pPr>
                  <w:r>
                    <w:rPr>
                      <w:rFonts w:cs="Miriam" w:hint="cs"/>
                      <w:sz w:val="18"/>
                      <w:szCs w:val="18"/>
                      <w:rtl/>
                    </w:rPr>
                    <w:t>(תיקון מס' 1) תשס"ט-2009</w:t>
                  </w:r>
                </w:p>
              </w:txbxContent>
            </v:textbox>
          </v:shape>
        </w:pict>
      </w:r>
      <w:r w:rsidR="00FA4571">
        <w:rPr>
          <w:rStyle w:val="default"/>
          <w:rFonts w:cs="FrankRuehl" w:hint="cs"/>
          <w:rtl/>
        </w:rPr>
        <w:tab/>
      </w:r>
      <w:r w:rsidR="00FA4571">
        <w:rPr>
          <w:rStyle w:val="default"/>
          <w:rFonts w:cs="FrankRuehl"/>
          <w:rtl/>
        </w:rPr>
        <w:t>(ב)</w:t>
      </w:r>
      <w:r w:rsidR="00FA4571">
        <w:rPr>
          <w:rStyle w:val="default"/>
          <w:rFonts w:cs="FrankRuehl" w:hint="cs"/>
          <w:rtl/>
        </w:rPr>
        <w:tab/>
      </w:r>
      <w:r w:rsidR="00FA4571">
        <w:rPr>
          <w:rStyle w:val="default"/>
          <w:rFonts w:cs="FrankRuehl"/>
          <w:rtl/>
        </w:rPr>
        <w:t>לא היו זכויותיה של חברה בעלת בנין להשכרה, בבנין להשכרה, רשומות בפנקסי</w:t>
      </w:r>
      <w:r w:rsidR="00FA4571">
        <w:rPr>
          <w:rStyle w:val="default"/>
          <w:rFonts w:cs="FrankRuehl" w:hint="cs"/>
          <w:rtl/>
        </w:rPr>
        <w:t xml:space="preserve"> </w:t>
      </w:r>
      <w:r w:rsidR="00FA4571">
        <w:rPr>
          <w:rStyle w:val="default"/>
          <w:rFonts w:cs="FrankRuehl"/>
          <w:rtl/>
        </w:rPr>
        <w:t>המקרקעין, והבנין בנוי על מקרקעי ישראל כמשמעותם בחוק</w:t>
      </w:r>
      <w:r w:rsidR="00FA4571">
        <w:rPr>
          <w:rStyle w:val="default"/>
          <w:rFonts w:cs="FrankRuehl" w:hint="cs"/>
          <w:rtl/>
        </w:rPr>
        <w:t>-</w:t>
      </w:r>
      <w:r w:rsidR="00FA4571">
        <w:rPr>
          <w:rStyle w:val="default"/>
          <w:rFonts w:cs="FrankRuehl"/>
          <w:rtl/>
        </w:rPr>
        <w:t>יסוד: מקרקעי ישראל, יחולו הוראות אלה:</w:t>
      </w:r>
    </w:p>
    <w:p w14:paraId="1B62D8A2" w14:textId="77777777" w:rsidR="00FA4571" w:rsidRDefault="00FA4571" w:rsidP="00BE5AA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 xml:space="preserve">החברה לא תהא זכאית להטבות לפי חוק זה אלא אם כן מסרה </w:t>
      </w:r>
      <w:r w:rsidR="00BE5AAC">
        <w:rPr>
          <w:rStyle w:val="default"/>
          <w:rFonts w:cs="FrankRuehl" w:hint="cs"/>
          <w:rtl/>
        </w:rPr>
        <w:t>לרשות</w:t>
      </w:r>
      <w:r>
        <w:rPr>
          <w:rStyle w:val="default"/>
          <w:rFonts w:cs="FrankRuehl" w:hint="cs"/>
          <w:rtl/>
        </w:rPr>
        <w:t xml:space="preserve"> </w:t>
      </w:r>
      <w:r>
        <w:rPr>
          <w:rStyle w:val="default"/>
          <w:rFonts w:cs="FrankRuehl"/>
          <w:rtl/>
        </w:rPr>
        <w:t>מקרקעי ישראל הודעה, באישור השר או מי שהוא הסמיכו לכך, בדבר היותו של הבנין, בנין להשכרה;</w:t>
      </w:r>
    </w:p>
    <w:p w14:paraId="3A1D8F53" w14:textId="77777777" w:rsidR="00FA4571" w:rsidRDefault="00FA4571" w:rsidP="00BE5AA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נמסרה הודעה כאמור בפסקה (1), לא </w:t>
      </w:r>
      <w:r w:rsidR="00BE5AAC">
        <w:rPr>
          <w:rStyle w:val="default"/>
          <w:rFonts w:cs="FrankRuehl" w:hint="cs"/>
          <w:rtl/>
        </w:rPr>
        <w:t>ת</w:t>
      </w:r>
      <w:r>
        <w:rPr>
          <w:rStyle w:val="default"/>
          <w:rFonts w:cs="FrankRuehl"/>
          <w:rtl/>
        </w:rPr>
        <w:t xml:space="preserve">אשר </w:t>
      </w:r>
      <w:r w:rsidR="00BE5AAC">
        <w:rPr>
          <w:rStyle w:val="default"/>
          <w:rFonts w:cs="FrankRuehl" w:hint="cs"/>
          <w:rtl/>
        </w:rPr>
        <w:t xml:space="preserve">רשות </w:t>
      </w:r>
      <w:r>
        <w:rPr>
          <w:rStyle w:val="default"/>
          <w:rFonts w:cs="FrankRuehl"/>
          <w:rtl/>
        </w:rPr>
        <w:t>מקרקעי ישראל את</w:t>
      </w:r>
      <w:r>
        <w:rPr>
          <w:rStyle w:val="default"/>
          <w:rFonts w:cs="FrankRuehl" w:hint="cs"/>
          <w:rtl/>
        </w:rPr>
        <w:t xml:space="preserve"> </w:t>
      </w:r>
      <w:r>
        <w:rPr>
          <w:rStyle w:val="default"/>
          <w:rFonts w:cs="FrankRuehl"/>
          <w:rtl/>
        </w:rPr>
        <w:t>העברת זכויותיה של החברה בבנין להשכרה, כולן או חלקן, אלא אם כן הומצא ל</w:t>
      </w:r>
      <w:r w:rsidR="00BE5AAC">
        <w:rPr>
          <w:rStyle w:val="default"/>
          <w:rFonts w:cs="FrankRuehl" w:hint="cs"/>
          <w:rtl/>
        </w:rPr>
        <w:t>ה</w:t>
      </w:r>
      <w:r>
        <w:rPr>
          <w:rStyle w:val="default"/>
          <w:rFonts w:cs="FrankRuehl" w:hint="cs"/>
          <w:rtl/>
        </w:rPr>
        <w:t xml:space="preserve"> </w:t>
      </w:r>
      <w:r>
        <w:rPr>
          <w:rStyle w:val="default"/>
          <w:rFonts w:cs="FrankRuehl"/>
          <w:rtl/>
        </w:rPr>
        <w:t xml:space="preserve">אישור לביצוע ההעברה מאת השר או מי שהוא הסמיכו לכך, ולא </w:t>
      </w:r>
      <w:r w:rsidR="00BE5AAC">
        <w:rPr>
          <w:rStyle w:val="default"/>
          <w:rFonts w:cs="FrankRuehl" w:hint="cs"/>
          <w:rtl/>
        </w:rPr>
        <w:t>ת</w:t>
      </w:r>
      <w:r>
        <w:rPr>
          <w:rStyle w:val="default"/>
          <w:rFonts w:cs="FrankRuehl"/>
          <w:rtl/>
        </w:rPr>
        <w:t>אשר את רישום הזכויות בפנקסי המקרקעין אלא אם כן תירשם הערה כאמור בסעיף קטן (א).</w:t>
      </w:r>
    </w:p>
    <w:p w14:paraId="1B104024"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ביטול או שינוי של הערה כאמור בסעיף קטן (א) או של הודעה כאמור בסעיף קטן (ב), לא ייעשה אלא באישור השר או מי שהוא הסמיכו לכך.</w:t>
      </w:r>
    </w:p>
    <w:p w14:paraId="59796883" w14:textId="77777777" w:rsidR="001B1015" w:rsidRPr="00B618EF" w:rsidRDefault="001B1015" w:rsidP="001B1015">
      <w:pPr>
        <w:pStyle w:val="P00"/>
        <w:spacing w:before="0"/>
        <w:ind w:left="0" w:right="1134"/>
        <w:rPr>
          <w:rStyle w:val="default"/>
          <w:rFonts w:cs="FrankRuehl" w:hint="cs"/>
          <w:vanish/>
          <w:color w:val="FF0000"/>
          <w:szCs w:val="20"/>
          <w:shd w:val="clear" w:color="auto" w:fill="FFFF99"/>
          <w:rtl/>
        </w:rPr>
      </w:pPr>
      <w:bookmarkStart w:id="7" w:name="Rov9"/>
      <w:r w:rsidRPr="00B618EF">
        <w:rPr>
          <w:rStyle w:val="default"/>
          <w:rFonts w:cs="FrankRuehl" w:hint="cs"/>
          <w:vanish/>
          <w:color w:val="FF0000"/>
          <w:szCs w:val="20"/>
          <w:shd w:val="clear" w:color="auto" w:fill="FFFF99"/>
          <w:rtl/>
        </w:rPr>
        <w:t>מיום 1.1.2010</w:t>
      </w:r>
    </w:p>
    <w:p w14:paraId="21AB55B7" w14:textId="77777777" w:rsidR="001B1015" w:rsidRPr="00B618EF" w:rsidRDefault="001B1015" w:rsidP="00494B74">
      <w:pPr>
        <w:pStyle w:val="P00"/>
        <w:spacing w:before="0"/>
        <w:ind w:left="0" w:right="1134"/>
        <w:rPr>
          <w:rStyle w:val="default"/>
          <w:rFonts w:cs="FrankRuehl" w:hint="cs"/>
          <w:vanish/>
          <w:szCs w:val="20"/>
          <w:shd w:val="clear" w:color="auto" w:fill="FFFF99"/>
          <w:rtl/>
        </w:rPr>
      </w:pPr>
      <w:r w:rsidRPr="00B618EF">
        <w:rPr>
          <w:rStyle w:val="default"/>
          <w:rFonts w:cs="FrankRuehl" w:hint="cs"/>
          <w:b/>
          <w:bCs/>
          <w:vanish/>
          <w:szCs w:val="20"/>
          <w:shd w:val="clear" w:color="auto" w:fill="FFFF99"/>
          <w:rtl/>
        </w:rPr>
        <w:t xml:space="preserve">תיקון מס' </w:t>
      </w:r>
      <w:r w:rsidR="00494B74" w:rsidRPr="00B618EF">
        <w:rPr>
          <w:rStyle w:val="default"/>
          <w:rFonts w:cs="FrankRuehl" w:hint="cs"/>
          <w:b/>
          <w:bCs/>
          <w:vanish/>
          <w:szCs w:val="20"/>
          <w:shd w:val="clear" w:color="auto" w:fill="FFFF99"/>
          <w:rtl/>
        </w:rPr>
        <w:t>1</w:t>
      </w:r>
    </w:p>
    <w:p w14:paraId="45040514" w14:textId="77777777" w:rsidR="001B1015" w:rsidRPr="00B618EF" w:rsidRDefault="001B1015" w:rsidP="001B1015">
      <w:pPr>
        <w:pStyle w:val="P00"/>
        <w:spacing w:before="0"/>
        <w:ind w:left="0" w:right="1134"/>
        <w:rPr>
          <w:rStyle w:val="default"/>
          <w:rFonts w:cs="FrankRuehl" w:hint="cs"/>
          <w:vanish/>
          <w:szCs w:val="20"/>
          <w:shd w:val="clear" w:color="auto" w:fill="FFFF99"/>
          <w:rtl/>
        </w:rPr>
      </w:pPr>
      <w:hyperlink r:id="rId7" w:history="1">
        <w:r w:rsidRPr="00B618EF">
          <w:rPr>
            <w:rStyle w:val="Hyperlink"/>
            <w:rFonts w:cs="FrankRuehl" w:hint="cs"/>
            <w:vanish/>
            <w:szCs w:val="20"/>
            <w:shd w:val="clear" w:color="auto" w:fill="FFFF99"/>
            <w:rtl/>
          </w:rPr>
          <w:t>ס"ח תשס"ט מס' 2209</w:t>
        </w:r>
      </w:hyperlink>
      <w:r w:rsidRPr="00B618EF">
        <w:rPr>
          <w:rStyle w:val="default"/>
          <w:rFonts w:cs="FrankRuehl" w:hint="cs"/>
          <w:vanish/>
          <w:szCs w:val="20"/>
          <w:shd w:val="clear" w:color="auto" w:fill="FFFF99"/>
          <w:rtl/>
        </w:rPr>
        <w:t xml:space="preserve"> מיום 10.8.2009 עמ' 329 (</w:t>
      </w:r>
      <w:hyperlink r:id="rId8" w:history="1">
        <w:r w:rsidRPr="00B618EF">
          <w:rPr>
            <w:rStyle w:val="Hyperlink"/>
            <w:rFonts w:cs="FrankRuehl" w:hint="cs"/>
            <w:vanish/>
            <w:szCs w:val="20"/>
            <w:shd w:val="clear" w:color="auto" w:fill="FFFF99"/>
            <w:rtl/>
          </w:rPr>
          <w:t>ה"ח 436</w:t>
        </w:r>
      </w:hyperlink>
      <w:r w:rsidRPr="00B618EF">
        <w:rPr>
          <w:rStyle w:val="default"/>
          <w:rFonts w:cs="FrankRuehl" w:hint="cs"/>
          <w:vanish/>
          <w:szCs w:val="20"/>
          <w:shd w:val="clear" w:color="auto" w:fill="FFFF99"/>
          <w:rtl/>
        </w:rPr>
        <w:t>)</w:t>
      </w:r>
    </w:p>
    <w:p w14:paraId="4643A190" w14:textId="77777777" w:rsidR="001B1015" w:rsidRPr="00B618EF" w:rsidRDefault="001B1015" w:rsidP="001B1015">
      <w:pPr>
        <w:pStyle w:val="P00"/>
        <w:ind w:left="0" w:right="1134"/>
        <w:rPr>
          <w:rStyle w:val="default"/>
          <w:rFonts w:cs="FrankRuehl" w:hint="cs"/>
          <w:vanish/>
          <w:sz w:val="22"/>
          <w:szCs w:val="22"/>
          <w:shd w:val="clear" w:color="auto" w:fill="FFFF99"/>
          <w:rtl/>
        </w:rPr>
      </w:pPr>
      <w:r w:rsidRPr="00B618EF">
        <w:rPr>
          <w:rStyle w:val="default"/>
          <w:rFonts w:cs="FrankRuehl" w:hint="cs"/>
          <w:vanish/>
          <w:sz w:val="22"/>
          <w:szCs w:val="22"/>
          <w:shd w:val="clear" w:color="auto" w:fill="FFFF99"/>
          <w:rtl/>
        </w:rPr>
        <w:tab/>
      </w:r>
      <w:r w:rsidRPr="00B618EF">
        <w:rPr>
          <w:rStyle w:val="default"/>
          <w:rFonts w:cs="FrankRuehl"/>
          <w:vanish/>
          <w:sz w:val="22"/>
          <w:szCs w:val="22"/>
          <w:shd w:val="clear" w:color="auto" w:fill="FFFF99"/>
          <w:rtl/>
        </w:rPr>
        <w:t>(ב)</w:t>
      </w:r>
      <w:r w:rsidRPr="00B618EF">
        <w:rPr>
          <w:rStyle w:val="default"/>
          <w:rFonts w:cs="FrankRuehl" w:hint="cs"/>
          <w:vanish/>
          <w:sz w:val="22"/>
          <w:szCs w:val="22"/>
          <w:shd w:val="clear" w:color="auto" w:fill="FFFF99"/>
          <w:rtl/>
        </w:rPr>
        <w:tab/>
      </w:r>
      <w:r w:rsidRPr="00B618EF">
        <w:rPr>
          <w:rStyle w:val="default"/>
          <w:rFonts w:cs="FrankRuehl"/>
          <w:vanish/>
          <w:sz w:val="22"/>
          <w:szCs w:val="22"/>
          <w:shd w:val="clear" w:color="auto" w:fill="FFFF99"/>
          <w:rtl/>
        </w:rPr>
        <w:t>לא היו זכויותיה של חברה בעלת בנין להשכרה, בבנין להשכרה, רשומות בפנקסי</w:t>
      </w:r>
      <w:r w:rsidRPr="00B618EF">
        <w:rPr>
          <w:rStyle w:val="default"/>
          <w:rFonts w:cs="FrankRuehl" w:hint="cs"/>
          <w:vanish/>
          <w:sz w:val="22"/>
          <w:szCs w:val="22"/>
          <w:shd w:val="clear" w:color="auto" w:fill="FFFF99"/>
          <w:rtl/>
        </w:rPr>
        <w:t xml:space="preserve"> </w:t>
      </w:r>
      <w:r w:rsidRPr="00B618EF">
        <w:rPr>
          <w:rStyle w:val="default"/>
          <w:rFonts w:cs="FrankRuehl"/>
          <w:vanish/>
          <w:sz w:val="22"/>
          <w:szCs w:val="22"/>
          <w:shd w:val="clear" w:color="auto" w:fill="FFFF99"/>
          <w:rtl/>
        </w:rPr>
        <w:t>המקרקעין, והבנין בנוי על מקרקעי ישראל כמשמעותם בחוק</w:t>
      </w:r>
      <w:r w:rsidRPr="00B618EF">
        <w:rPr>
          <w:rStyle w:val="default"/>
          <w:rFonts w:cs="FrankRuehl" w:hint="cs"/>
          <w:vanish/>
          <w:sz w:val="22"/>
          <w:szCs w:val="22"/>
          <w:shd w:val="clear" w:color="auto" w:fill="FFFF99"/>
          <w:rtl/>
        </w:rPr>
        <w:t>-</w:t>
      </w:r>
      <w:r w:rsidRPr="00B618EF">
        <w:rPr>
          <w:rStyle w:val="default"/>
          <w:rFonts w:cs="FrankRuehl"/>
          <w:vanish/>
          <w:sz w:val="22"/>
          <w:szCs w:val="22"/>
          <w:shd w:val="clear" w:color="auto" w:fill="FFFF99"/>
          <w:rtl/>
        </w:rPr>
        <w:t>יסוד: מקרקעי ישראל, יחולו הוראות אלה:</w:t>
      </w:r>
    </w:p>
    <w:p w14:paraId="2B99EE3A" w14:textId="77777777" w:rsidR="001B1015" w:rsidRPr="00B618EF" w:rsidRDefault="001B1015" w:rsidP="001B1015">
      <w:pPr>
        <w:pStyle w:val="P00"/>
        <w:spacing w:before="0"/>
        <w:ind w:left="1021" w:right="1134"/>
        <w:rPr>
          <w:rStyle w:val="default"/>
          <w:rFonts w:cs="FrankRuehl" w:hint="cs"/>
          <w:vanish/>
          <w:sz w:val="22"/>
          <w:szCs w:val="22"/>
          <w:shd w:val="clear" w:color="auto" w:fill="FFFF99"/>
          <w:rtl/>
        </w:rPr>
      </w:pPr>
      <w:r w:rsidRPr="00B618EF">
        <w:rPr>
          <w:rStyle w:val="default"/>
          <w:rFonts w:cs="FrankRuehl"/>
          <w:vanish/>
          <w:sz w:val="22"/>
          <w:szCs w:val="22"/>
          <w:shd w:val="clear" w:color="auto" w:fill="FFFF99"/>
          <w:rtl/>
        </w:rPr>
        <w:t>(1)</w:t>
      </w:r>
      <w:r w:rsidRPr="00B618EF">
        <w:rPr>
          <w:rStyle w:val="default"/>
          <w:rFonts w:cs="FrankRuehl" w:hint="cs"/>
          <w:vanish/>
          <w:sz w:val="22"/>
          <w:szCs w:val="22"/>
          <w:shd w:val="clear" w:color="auto" w:fill="FFFF99"/>
          <w:rtl/>
        </w:rPr>
        <w:tab/>
      </w:r>
      <w:r w:rsidRPr="00B618EF">
        <w:rPr>
          <w:rStyle w:val="default"/>
          <w:rFonts w:cs="FrankRuehl"/>
          <w:vanish/>
          <w:sz w:val="22"/>
          <w:szCs w:val="22"/>
          <w:shd w:val="clear" w:color="auto" w:fill="FFFF99"/>
          <w:rtl/>
        </w:rPr>
        <w:t xml:space="preserve">החברה לא תהא זכאית להטבות לפי חוק זה אלא אם כן מסרה </w:t>
      </w:r>
      <w:r w:rsidRPr="00B618EF">
        <w:rPr>
          <w:rStyle w:val="default"/>
          <w:rFonts w:cs="FrankRuehl"/>
          <w:strike/>
          <w:vanish/>
          <w:sz w:val="22"/>
          <w:szCs w:val="22"/>
          <w:shd w:val="clear" w:color="auto" w:fill="FFFF99"/>
          <w:rtl/>
        </w:rPr>
        <w:t>למינהל</w:t>
      </w:r>
      <w:r w:rsidRPr="00B618EF">
        <w:rPr>
          <w:rStyle w:val="default"/>
          <w:rFonts w:cs="FrankRuehl" w:hint="cs"/>
          <w:vanish/>
          <w:sz w:val="22"/>
          <w:szCs w:val="22"/>
          <w:shd w:val="clear" w:color="auto" w:fill="FFFF99"/>
          <w:rtl/>
        </w:rPr>
        <w:t xml:space="preserve"> </w:t>
      </w:r>
      <w:r w:rsidRPr="00B618EF">
        <w:rPr>
          <w:rStyle w:val="default"/>
          <w:rFonts w:cs="FrankRuehl" w:hint="cs"/>
          <w:vanish/>
          <w:sz w:val="22"/>
          <w:szCs w:val="22"/>
          <w:u w:val="single"/>
          <w:shd w:val="clear" w:color="auto" w:fill="FFFF99"/>
          <w:rtl/>
        </w:rPr>
        <w:t>לרשות</w:t>
      </w:r>
      <w:r w:rsidRPr="00B618EF">
        <w:rPr>
          <w:rStyle w:val="default"/>
          <w:rFonts w:cs="FrankRuehl" w:hint="cs"/>
          <w:vanish/>
          <w:sz w:val="22"/>
          <w:szCs w:val="22"/>
          <w:shd w:val="clear" w:color="auto" w:fill="FFFF99"/>
          <w:rtl/>
        </w:rPr>
        <w:t xml:space="preserve"> </w:t>
      </w:r>
      <w:r w:rsidRPr="00B618EF">
        <w:rPr>
          <w:rStyle w:val="default"/>
          <w:rFonts w:cs="FrankRuehl"/>
          <w:vanish/>
          <w:sz w:val="22"/>
          <w:szCs w:val="22"/>
          <w:shd w:val="clear" w:color="auto" w:fill="FFFF99"/>
          <w:rtl/>
        </w:rPr>
        <w:t>מקרקעי ישראל הודעה, באישור השר או מי שהוא הסמיכו לכך, בדבר היותו של הבנין, בנין להשכרה;</w:t>
      </w:r>
    </w:p>
    <w:p w14:paraId="4B54E389" w14:textId="77777777" w:rsidR="001B1015" w:rsidRPr="00494B74" w:rsidRDefault="001B1015" w:rsidP="00494B74">
      <w:pPr>
        <w:pStyle w:val="P00"/>
        <w:spacing w:before="0"/>
        <w:ind w:left="1021" w:right="1134"/>
        <w:rPr>
          <w:rStyle w:val="default"/>
          <w:rFonts w:cs="FrankRuehl" w:hint="cs"/>
          <w:sz w:val="2"/>
          <w:szCs w:val="2"/>
          <w:rtl/>
        </w:rPr>
      </w:pPr>
      <w:r w:rsidRPr="00B618EF">
        <w:rPr>
          <w:rStyle w:val="default"/>
          <w:rFonts w:cs="FrankRuehl"/>
          <w:vanish/>
          <w:sz w:val="22"/>
          <w:szCs w:val="22"/>
          <w:shd w:val="clear" w:color="auto" w:fill="FFFF99"/>
          <w:rtl/>
        </w:rPr>
        <w:t>(2)</w:t>
      </w:r>
      <w:r w:rsidRPr="00B618EF">
        <w:rPr>
          <w:rStyle w:val="default"/>
          <w:rFonts w:cs="FrankRuehl" w:hint="cs"/>
          <w:vanish/>
          <w:sz w:val="22"/>
          <w:szCs w:val="22"/>
          <w:shd w:val="clear" w:color="auto" w:fill="FFFF99"/>
          <w:rtl/>
        </w:rPr>
        <w:tab/>
      </w:r>
      <w:r w:rsidRPr="00B618EF">
        <w:rPr>
          <w:rStyle w:val="default"/>
          <w:rFonts w:cs="FrankRuehl"/>
          <w:vanish/>
          <w:sz w:val="22"/>
          <w:szCs w:val="22"/>
          <w:shd w:val="clear" w:color="auto" w:fill="FFFF99"/>
          <w:rtl/>
        </w:rPr>
        <w:t xml:space="preserve">נמסרה הודעה כאמור בפסקה (1), לא </w:t>
      </w:r>
      <w:r w:rsidRPr="00B618EF">
        <w:rPr>
          <w:rStyle w:val="default"/>
          <w:rFonts w:cs="FrankRuehl"/>
          <w:strike/>
          <w:vanish/>
          <w:sz w:val="22"/>
          <w:szCs w:val="22"/>
          <w:shd w:val="clear" w:color="auto" w:fill="FFFF99"/>
          <w:rtl/>
        </w:rPr>
        <w:t>יאשר</w:t>
      </w:r>
      <w:r w:rsidRPr="00B618EF">
        <w:rPr>
          <w:rStyle w:val="default"/>
          <w:rFonts w:cs="FrankRuehl" w:hint="cs"/>
          <w:vanish/>
          <w:sz w:val="22"/>
          <w:szCs w:val="22"/>
          <w:shd w:val="clear" w:color="auto" w:fill="FFFF99"/>
          <w:rtl/>
        </w:rPr>
        <w:t xml:space="preserve"> </w:t>
      </w:r>
      <w:r w:rsidRPr="00B618EF">
        <w:rPr>
          <w:rStyle w:val="default"/>
          <w:rFonts w:cs="FrankRuehl" w:hint="cs"/>
          <w:vanish/>
          <w:sz w:val="22"/>
          <w:szCs w:val="22"/>
          <w:u w:val="single"/>
          <w:shd w:val="clear" w:color="auto" w:fill="FFFF99"/>
          <w:rtl/>
        </w:rPr>
        <w:t>תאשר</w:t>
      </w:r>
      <w:r w:rsidRPr="00B618EF">
        <w:rPr>
          <w:rStyle w:val="default"/>
          <w:rFonts w:cs="FrankRuehl"/>
          <w:vanish/>
          <w:sz w:val="22"/>
          <w:szCs w:val="22"/>
          <w:shd w:val="clear" w:color="auto" w:fill="FFFF99"/>
          <w:rtl/>
        </w:rPr>
        <w:t xml:space="preserve"> </w:t>
      </w:r>
      <w:r w:rsidRPr="00B618EF">
        <w:rPr>
          <w:rStyle w:val="default"/>
          <w:rFonts w:cs="FrankRuehl"/>
          <w:strike/>
          <w:vanish/>
          <w:sz w:val="22"/>
          <w:szCs w:val="22"/>
          <w:shd w:val="clear" w:color="auto" w:fill="FFFF99"/>
          <w:rtl/>
        </w:rPr>
        <w:t>מינהל</w:t>
      </w:r>
      <w:r w:rsidRPr="00B618EF">
        <w:rPr>
          <w:rStyle w:val="default"/>
          <w:rFonts w:cs="FrankRuehl" w:hint="cs"/>
          <w:vanish/>
          <w:sz w:val="22"/>
          <w:szCs w:val="22"/>
          <w:shd w:val="clear" w:color="auto" w:fill="FFFF99"/>
          <w:rtl/>
        </w:rPr>
        <w:t xml:space="preserve"> </w:t>
      </w:r>
      <w:r w:rsidRPr="00B618EF">
        <w:rPr>
          <w:rStyle w:val="default"/>
          <w:rFonts w:cs="FrankRuehl" w:hint="cs"/>
          <w:vanish/>
          <w:sz w:val="22"/>
          <w:szCs w:val="22"/>
          <w:u w:val="single"/>
          <w:shd w:val="clear" w:color="auto" w:fill="FFFF99"/>
          <w:rtl/>
        </w:rPr>
        <w:t>רשות</w:t>
      </w:r>
      <w:r w:rsidRPr="00B618EF">
        <w:rPr>
          <w:rStyle w:val="default"/>
          <w:rFonts w:cs="FrankRuehl"/>
          <w:vanish/>
          <w:sz w:val="22"/>
          <w:szCs w:val="22"/>
          <w:shd w:val="clear" w:color="auto" w:fill="FFFF99"/>
          <w:rtl/>
        </w:rPr>
        <w:t xml:space="preserve"> מקרקעי ישראל את</w:t>
      </w:r>
      <w:r w:rsidRPr="00B618EF">
        <w:rPr>
          <w:rStyle w:val="default"/>
          <w:rFonts w:cs="FrankRuehl" w:hint="cs"/>
          <w:vanish/>
          <w:sz w:val="22"/>
          <w:szCs w:val="22"/>
          <w:shd w:val="clear" w:color="auto" w:fill="FFFF99"/>
          <w:rtl/>
        </w:rPr>
        <w:t xml:space="preserve"> </w:t>
      </w:r>
      <w:r w:rsidRPr="00B618EF">
        <w:rPr>
          <w:rStyle w:val="default"/>
          <w:rFonts w:cs="FrankRuehl"/>
          <w:vanish/>
          <w:sz w:val="22"/>
          <w:szCs w:val="22"/>
          <w:shd w:val="clear" w:color="auto" w:fill="FFFF99"/>
          <w:rtl/>
        </w:rPr>
        <w:t xml:space="preserve">העברת זכויותיה של החברה בבנין להשכרה, כולן או חלקן, אלא אם כן הומצא </w:t>
      </w:r>
      <w:r w:rsidRPr="00B618EF">
        <w:rPr>
          <w:rStyle w:val="default"/>
          <w:rFonts w:cs="FrankRuehl"/>
          <w:strike/>
          <w:vanish/>
          <w:sz w:val="22"/>
          <w:szCs w:val="22"/>
          <w:shd w:val="clear" w:color="auto" w:fill="FFFF99"/>
          <w:rtl/>
        </w:rPr>
        <w:t>לו</w:t>
      </w:r>
      <w:r w:rsidRPr="00B618EF">
        <w:rPr>
          <w:rStyle w:val="default"/>
          <w:rFonts w:cs="FrankRuehl" w:hint="cs"/>
          <w:vanish/>
          <w:sz w:val="22"/>
          <w:szCs w:val="22"/>
          <w:shd w:val="clear" w:color="auto" w:fill="FFFF99"/>
          <w:rtl/>
        </w:rPr>
        <w:t xml:space="preserve"> </w:t>
      </w:r>
      <w:r w:rsidRPr="00B618EF">
        <w:rPr>
          <w:rStyle w:val="default"/>
          <w:rFonts w:cs="FrankRuehl" w:hint="cs"/>
          <w:vanish/>
          <w:sz w:val="22"/>
          <w:szCs w:val="22"/>
          <w:u w:val="single"/>
          <w:shd w:val="clear" w:color="auto" w:fill="FFFF99"/>
          <w:rtl/>
        </w:rPr>
        <w:t>לה</w:t>
      </w:r>
      <w:r w:rsidRPr="00B618EF">
        <w:rPr>
          <w:rStyle w:val="default"/>
          <w:rFonts w:cs="FrankRuehl" w:hint="cs"/>
          <w:vanish/>
          <w:sz w:val="22"/>
          <w:szCs w:val="22"/>
          <w:shd w:val="clear" w:color="auto" w:fill="FFFF99"/>
          <w:rtl/>
        </w:rPr>
        <w:t xml:space="preserve"> </w:t>
      </w:r>
      <w:r w:rsidRPr="00B618EF">
        <w:rPr>
          <w:rStyle w:val="default"/>
          <w:rFonts w:cs="FrankRuehl"/>
          <w:vanish/>
          <w:sz w:val="22"/>
          <w:szCs w:val="22"/>
          <w:shd w:val="clear" w:color="auto" w:fill="FFFF99"/>
          <w:rtl/>
        </w:rPr>
        <w:t xml:space="preserve">אישור לביצוע ההעברה מאת השר או מי שהוא הסמיכו לכך, ולא </w:t>
      </w:r>
      <w:r w:rsidRPr="00B618EF">
        <w:rPr>
          <w:rStyle w:val="default"/>
          <w:rFonts w:cs="FrankRuehl"/>
          <w:strike/>
          <w:vanish/>
          <w:sz w:val="22"/>
          <w:szCs w:val="22"/>
          <w:shd w:val="clear" w:color="auto" w:fill="FFFF99"/>
          <w:rtl/>
        </w:rPr>
        <w:t>יאשר</w:t>
      </w:r>
      <w:r w:rsidRPr="00B618EF">
        <w:rPr>
          <w:rStyle w:val="default"/>
          <w:rFonts w:cs="FrankRuehl" w:hint="cs"/>
          <w:vanish/>
          <w:sz w:val="22"/>
          <w:szCs w:val="22"/>
          <w:shd w:val="clear" w:color="auto" w:fill="FFFF99"/>
          <w:rtl/>
        </w:rPr>
        <w:t xml:space="preserve"> </w:t>
      </w:r>
      <w:r w:rsidRPr="00B618EF">
        <w:rPr>
          <w:rStyle w:val="default"/>
          <w:rFonts w:cs="FrankRuehl" w:hint="cs"/>
          <w:vanish/>
          <w:sz w:val="22"/>
          <w:szCs w:val="22"/>
          <w:u w:val="single"/>
          <w:shd w:val="clear" w:color="auto" w:fill="FFFF99"/>
          <w:rtl/>
        </w:rPr>
        <w:t>תאשר</w:t>
      </w:r>
      <w:r w:rsidRPr="00B618EF">
        <w:rPr>
          <w:rStyle w:val="default"/>
          <w:rFonts w:cs="FrankRuehl"/>
          <w:vanish/>
          <w:sz w:val="22"/>
          <w:szCs w:val="22"/>
          <w:shd w:val="clear" w:color="auto" w:fill="FFFF99"/>
          <w:rtl/>
        </w:rPr>
        <w:t xml:space="preserve"> את רישום הזכויות בפנקסי המקרקעין אלא אם כן תירשם הערה כאמור בסעיף קטן (א).</w:t>
      </w:r>
      <w:bookmarkEnd w:id="7"/>
    </w:p>
    <w:p w14:paraId="12A9EF04" w14:textId="77777777" w:rsidR="00FA4571" w:rsidRDefault="00FA4571">
      <w:pPr>
        <w:pStyle w:val="P00"/>
        <w:spacing w:before="72"/>
        <w:ind w:left="0" w:right="1134"/>
        <w:rPr>
          <w:rStyle w:val="default"/>
          <w:rFonts w:cs="FrankRuehl" w:hint="cs"/>
          <w:rtl/>
        </w:rPr>
      </w:pPr>
      <w:bookmarkStart w:id="8" w:name="Seif6"/>
      <w:bookmarkEnd w:id="8"/>
      <w:r>
        <w:rPr>
          <w:rFonts w:cs="Miriam"/>
          <w:lang w:val="he-IL"/>
        </w:rPr>
        <w:pict w14:anchorId="33EE40EE">
          <v:rect id="_x0000_s2290" style="position:absolute;left:0;text-align:left;margin-left:464.35pt;margin-top:7.1pt;width:75.05pt;height:9.65pt;z-index:251659264" o:allowincell="f" filled="f" stroked="f" strokecolor="lime" strokeweight=".25pt">
            <v:textbox style="mso-next-textbox:#_x0000_s2290" inset="0,0,0,0">
              <w:txbxContent>
                <w:p w14:paraId="5434122B" w14:textId="77777777" w:rsidR="00FA4571" w:rsidRDefault="00FA4571">
                  <w:pPr>
                    <w:spacing w:line="160" w:lineRule="exact"/>
                    <w:rPr>
                      <w:rFonts w:cs="Miriam" w:hint="cs"/>
                      <w:noProof/>
                      <w:sz w:val="18"/>
                      <w:szCs w:val="18"/>
                      <w:rtl/>
                    </w:rPr>
                  </w:pPr>
                  <w:r>
                    <w:rPr>
                      <w:rFonts w:cs="Miriam" w:hint="cs"/>
                      <w:sz w:val="18"/>
                      <w:szCs w:val="18"/>
                      <w:rtl/>
                    </w:rPr>
                    <w:t>חובת ניהול ואחזקה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rtl/>
        </w:rPr>
        <w:t>בלי לגרוע מהוראות כל דין, חברה בעלת בנין להשכרה אחראית לניהולו ולאחזקתו</w:t>
      </w:r>
      <w:r>
        <w:rPr>
          <w:rStyle w:val="default"/>
          <w:rFonts w:cs="FrankRuehl" w:hint="cs"/>
          <w:rtl/>
        </w:rPr>
        <w:t xml:space="preserve"> </w:t>
      </w:r>
      <w:r>
        <w:rPr>
          <w:rStyle w:val="default"/>
          <w:rFonts w:cs="FrankRuehl"/>
          <w:rtl/>
        </w:rPr>
        <w:t>התקינה של הרכוש המשותף של הבנין להשכרה; אין להתנות על הוראת סעיף זה,</w:t>
      </w:r>
      <w:r>
        <w:rPr>
          <w:rStyle w:val="default"/>
          <w:rFonts w:cs="FrankRuehl" w:hint="cs"/>
          <w:rtl/>
        </w:rPr>
        <w:t xml:space="preserve"> </w:t>
      </w:r>
      <w:r>
        <w:rPr>
          <w:rStyle w:val="default"/>
          <w:rFonts w:cs="FrankRuehl"/>
          <w:rtl/>
        </w:rPr>
        <w:t>אלא לטובת שוכר דירה בבנין להשכרה; לענין זה, "אחזקה תקינה" – שמירה על מצבו</w:t>
      </w:r>
      <w:r>
        <w:rPr>
          <w:rStyle w:val="default"/>
          <w:rFonts w:cs="FrankRuehl" w:hint="cs"/>
          <w:rtl/>
        </w:rPr>
        <w:t xml:space="preserve"> </w:t>
      </w:r>
      <w:r>
        <w:rPr>
          <w:rStyle w:val="default"/>
          <w:rFonts w:cs="FrankRuehl"/>
          <w:rtl/>
        </w:rPr>
        <w:t>של הרכוש המשותף כפי שהיה בעת גמר הבניה, לרבות שיפורים שבוצעו בו לאחר מכן על ידי החברה בעלת בנין להשכרה או בהסכמתה.</w:t>
      </w:r>
    </w:p>
    <w:p w14:paraId="1C4323AE" w14:textId="77777777" w:rsidR="00FA4571" w:rsidRDefault="00FA4571">
      <w:pPr>
        <w:pStyle w:val="P00"/>
        <w:spacing w:before="72"/>
        <w:ind w:left="0" w:right="1134"/>
        <w:rPr>
          <w:rStyle w:val="default"/>
          <w:rFonts w:cs="FrankRuehl" w:hint="cs"/>
          <w:rtl/>
        </w:rPr>
      </w:pPr>
      <w:bookmarkStart w:id="9" w:name="Seif7"/>
      <w:bookmarkEnd w:id="9"/>
      <w:r>
        <w:rPr>
          <w:rFonts w:cs="Miriam"/>
          <w:lang w:val="he-IL"/>
        </w:rPr>
        <w:pict w14:anchorId="563DCAAB">
          <v:rect id="_x0000_s2291" style="position:absolute;left:0;text-align:left;margin-left:464.35pt;margin-top:7.1pt;width:75.05pt;height:10.95pt;z-index:251660288" o:allowincell="f" filled="f" stroked="f" strokecolor="lime" strokeweight=".25pt">
            <v:textbox style="mso-next-textbox:#_x0000_s2291" inset="0,0,0,0">
              <w:txbxContent>
                <w:p w14:paraId="4E29369A" w14:textId="77777777" w:rsidR="00FA4571" w:rsidRDefault="00FA4571">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השר ממונה על ביצוע הוראות חוק זה והוא רשאי להתקין תקנות בכל ענין הנוגע לביצועו.</w:t>
      </w:r>
    </w:p>
    <w:p w14:paraId="56BC78AA" w14:textId="77777777" w:rsidR="00FA4571" w:rsidRDefault="00CD6E8D" w:rsidP="00CD6E8D">
      <w:pPr>
        <w:pStyle w:val="P00"/>
        <w:spacing w:before="72"/>
        <w:ind w:left="0" w:right="1134"/>
        <w:rPr>
          <w:rStyle w:val="default"/>
          <w:rFonts w:cs="FrankRuehl" w:hint="cs"/>
          <w:rtl/>
        </w:rPr>
      </w:pPr>
      <w:r>
        <w:rPr>
          <w:rFonts w:cs="FrankRuehl" w:hint="cs"/>
          <w:sz w:val="26"/>
          <w:rtl/>
          <w:lang w:eastAsia="en-US"/>
        </w:rPr>
        <w:pict w14:anchorId="1B94E4A8">
          <v:shape id="_x0000_s2299" type="#_x0000_t202" style="position:absolute;left:0;text-align:left;margin-left:470.35pt;margin-top:7.1pt;width:1in;height:19.6pt;z-index:251662336" filled="f" stroked="f">
            <v:textbox inset="1mm,0,1mm,0">
              <w:txbxContent>
                <w:p w14:paraId="638259F6" w14:textId="77777777" w:rsidR="00CD6E8D" w:rsidRDefault="00CD6E8D" w:rsidP="00CD6E8D">
                  <w:pPr>
                    <w:spacing w:line="160" w:lineRule="exact"/>
                    <w:rPr>
                      <w:rFonts w:cs="Miriam" w:hint="cs"/>
                      <w:sz w:val="18"/>
                      <w:szCs w:val="18"/>
                      <w:rtl/>
                    </w:rPr>
                  </w:pPr>
                  <w:r>
                    <w:rPr>
                      <w:rFonts w:cs="Miriam" w:hint="cs"/>
                      <w:sz w:val="18"/>
                      <w:szCs w:val="18"/>
                      <w:rtl/>
                    </w:rPr>
                    <w:t>(תיקון מס' 2) תשפ"ג-2023</w:t>
                  </w:r>
                </w:p>
              </w:txbxContent>
            </v:textbox>
          </v:shape>
        </w:pict>
      </w:r>
      <w:r w:rsidRPr="009775E2">
        <w:rPr>
          <w:rStyle w:val="big-number"/>
          <w:rFonts w:cs="FrankRuehl" w:hint="cs"/>
          <w:sz w:val="26"/>
          <w:szCs w:val="26"/>
          <w:rtl/>
        </w:rPr>
        <w:tab/>
        <w:t>(</w:t>
      </w:r>
      <w:r>
        <w:rPr>
          <w:rStyle w:val="big-number"/>
          <w:rFonts w:cs="FrankRuehl" w:hint="cs"/>
          <w:sz w:val="26"/>
          <w:szCs w:val="26"/>
          <w:rtl/>
        </w:rPr>
        <w:t>ב</w:t>
      </w:r>
      <w:r w:rsidRPr="009775E2">
        <w:rPr>
          <w:rStyle w:val="big-number"/>
          <w:rFonts w:cs="FrankRuehl" w:hint="cs"/>
          <w:sz w:val="26"/>
          <w:szCs w:val="26"/>
          <w:rtl/>
        </w:rPr>
        <w:t>)</w:t>
      </w:r>
      <w:r w:rsidRPr="009775E2">
        <w:rPr>
          <w:rStyle w:val="big-number"/>
          <w:rFonts w:cs="FrankRuehl" w:hint="cs"/>
          <w:sz w:val="26"/>
          <w:szCs w:val="26"/>
          <w:rtl/>
        </w:rPr>
        <w:tab/>
      </w:r>
      <w:r w:rsidR="00FA4571">
        <w:rPr>
          <w:rStyle w:val="default"/>
          <w:rFonts w:cs="FrankRuehl"/>
          <w:rtl/>
        </w:rPr>
        <w:t xml:space="preserve">השר, באישור ועדת </w:t>
      </w:r>
      <w:r>
        <w:rPr>
          <w:rStyle w:val="default"/>
          <w:rFonts w:cs="FrankRuehl" w:hint="cs"/>
          <w:rtl/>
        </w:rPr>
        <w:t>הפנים והגנת הסביבה</w:t>
      </w:r>
      <w:r w:rsidR="00FA4571">
        <w:rPr>
          <w:rStyle w:val="default"/>
          <w:rFonts w:cs="FrankRuehl"/>
          <w:rtl/>
        </w:rPr>
        <w:t xml:space="preserve"> של הכנסת, רשאי להתקין תקנות בדבר:</w:t>
      </w:r>
    </w:p>
    <w:p w14:paraId="176E0347"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אזורים שבהם השטח העיקרי הממוצע של דירות בבנין להשכרה יעלה על 100 מ"ר ואת השטח העיקרי הממוצע בכל אזור שקבע;</w:t>
      </w:r>
    </w:p>
    <w:p w14:paraId="72807562"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הגבלות על דמי השכירות המרביים שחברה בעלת בנין להשכרה רשאית</w:t>
      </w:r>
      <w:r>
        <w:rPr>
          <w:rStyle w:val="default"/>
          <w:rFonts w:cs="FrankRuehl" w:hint="cs"/>
          <w:rtl/>
        </w:rPr>
        <w:t xml:space="preserve"> </w:t>
      </w:r>
      <w:r>
        <w:rPr>
          <w:rStyle w:val="default"/>
          <w:rFonts w:cs="FrankRuehl"/>
          <w:rtl/>
        </w:rPr>
        <w:t>לגבות משוכר דירה, לרבות הגבלות על העלאת דמי השכירות, ויכול שהגבלות כאמור יחולו באזורים מסוימים שקבע;</w:t>
      </w:r>
    </w:p>
    <w:p w14:paraId="45243274" w14:textId="77777777" w:rsidR="00FA4571" w:rsidRDefault="00FA457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הוראות בדבר שיעור הפיצויים המוסכמים שייקבעו בחוזה שכירות בין</w:t>
      </w:r>
      <w:r>
        <w:rPr>
          <w:rStyle w:val="default"/>
          <w:rFonts w:cs="FrankRuehl" w:hint="cs"/>
          <w:rtl/>
        </w:rPr>
        <w:t xml:space="preserve"> </w:t>
      </w:r>
      <w:r>
        <w:rPr>
          <w:rStyle w:val="default"/>
          <w:rFonts w:cs="FrankRuehl"/>
          <w:rtl/>
        </w:rPr>
        <w:t>חברה בעלת בנין להשכרה לשוכר דירה, ושחברה כאמור תהא חייבת בהם בשל הפרת הוראות סעיף 7;</w:t>
      </w:r>
    </w:p>
    <w:p w14:paraId="18B05DBE" w14:textId="77777777" w:rsidR="00FA4571" w:rsidRDefault="00FA4571">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הוראות בדבר סיוע מאת המדינה בדמי שכירות שעל שוכר דירה בבנין</w:t>
      </w:r>
      <w:r>
        <w:rPr>
          <w:rStyle w:val="default"/>
          <w:rFonts w:cs="FrankRuehl" w:hint="cs"/>
          <w:rtl/>
        </w:rPr>
        <w:t xml:space="preserve"> </w:t>
      </w:r>
      <w:r>
        <w:rPr>
          <w:rStyle w:val="default"/>
          <w:rFonts w:cs="FrankRuehl"/>
          <w:rtl/>
        </w:rPr>
        <w:t>להשכרה, הזכאי לסיוע כאמור על פי נוהלי משרד הבינוי והשיכון, לשלם לחברה</w:t>
      </w:r>
      <w:r>
        <w:rPr>
          <w:rStyle w:val="default"/>
          <w:rFonts w:cs="FrankRuehl" w:hint="cs"/>
          <w:rtl/>
        </w:rPr>
        <w:t xml:space="preserve"> </w:t>
      </w:r>
      <w:r>
        <w:rPr>
          <w:rStyle w:val="default"/>
          <w:rFonts w:cs="FrankRuehl"/>
          <w:rtl/>
        </w:rPr>
        <w:t>בעלת בנין להשכרה, בתנאים, בדרך ובשיעורים שיקבע; תקנות לפי פסקה זו יותקנו גם בהסכמת שר האוצר.</w:t>
      </w:r>
    </w:p>
    <w:p w14:paraId="4108EE15" w14:textId="77777777" w:rsidR="00FA4571" w:rsidRDefault="00FA457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אף הוראות סעיף קטן (א) –</w:t>
      </w:r>
    </w:p>
    <w:p w14:paraId="0EA26DFA" w14:textId="77777777" w:rsidR="00FA4571" w:rsidRDefault="00FA457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שר האוצר ממונה על ביצוע הוראות סעיפים 2 עד 5 והוא רשאי להתקין תקנות בכל ענין הנוגע לביצועם;</w:t>
      </w:r>
    </w:p>
    <w:p w14:paraId="0861DB34" w14:textId="77777777" w:rsidR="00FA4571" w:rsidRDefault="00FA457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שר המשפטים רשאי להתקין תקנות לענין אגרות בשל רישום הערות בפנקסי המקרקעין לפי סעיף 6, שינוין וביטולן.</w:t>
      </w:r>
    </w:p>
    <w:p w14:paraId="2D230307" w14:textId="77777777" w:rsidR="00CD6E8D" w:rsidRPr="00B618EF" w:rsidRDefault="00CD6E8D" w:rsidP="00CD6E8D">
      <w:pPr>
        <w:pStyle w:val="P00"/>
        <w:tabs>
          <w:tab w:val="clear" w:pos="6259"/>
        </w:tabs>
        <w:spacing w:before="0"/>
        <w:ind w:left="0" w:right="1134"/>
        <w:rPr>
          <w:rFonts w:ascii="FrankRuehl" w:hAnsi="FrankRuehl" w:cs="FrankRuehl"/>
          <w:vanish/>
          <w:color w:val="FF0000"/>
          <w:szCs w:val="20"/>
          <w:shd w:val="clear" w:color="auto" w:fill="FFFF99"/>
          <w:rtl/>
        </w:rPr>
      </w:pPr>
      <w:bookmarkStart w:id="10" w:name="Rov10"/>
      <w:r w:rsidRPr="00B618EF">
        <w:rPr>
          <w:rFonts w:ascii="FrankRuehl" w:hAnsi="FrankRuehl" w:cs="FrankRuehl"/>
          <w:vanish/>
          <w:color w:val="FF0000"/>
          <w:szCs w:val="20"/>
          <w:shd w:val="clear" w:color="auto" w:fill="FFFF99"/>
          <w:rtl/>
        </w:rPr>
        <w:t>מיום 9.2.2023</w:t>
      </w:r>
    </w:p>
    <w:p w14:paraId="3337F2AB" w14:textId="77777777" w:rsidR="00CD6E8D" w:rsidRPr="00B618EF" w:rsidRDefault="00CD6E8D" w:rsidP="00CD6E8D">
      <w:pPr>
        <w:pStyle w:val="P00"/>
        <w:tabs>
          <w:tab w:val="clear" w:pos="6259"/>
        </w:tabs>
        <w:spacing w:before="0"/>
        <w:ind w:left="0" w:right="1134"/>
        <w:rPr>
          <w:rFonts w:ascii="FrankRuehl" w:hAnsi="FrankRuehl" w:cs="FrankRuehl"/>
          <w:vanish/>
          <w:szCs w:val="20"/>
          <w:shd w:val="clear" w:color="auto" w:fill="FFFF99"/>
          <w:rtl/>
        </w:rPr>
      </w:pPr>
      <w:r w:rsidRPr="00B618EF">
        <w:rPr>
          <w:rFonts w:ascii="FrankRuehl" w:hAnsi="FrankRuehl" w:cs="FrankRuehl"/>
          <w:b/>
          <w:bCs/>
          <w:vanish/>
          <w:szCs w:val="20"/>
          <w:shd w:val="clear" w:color="auto" w:fill="FFFF99"/>
          <w:rtl/>
        </w:rPr>
        <w:t xml:space="preserve">תיקון מס' </w:t>
      </w:r>
      <w:r w:rsidRPr="00B618EF">
        <w:rPr>
          <w:rFonts w:ascii="FrankRuehl" w:hAnsi="FrankRuehl" w:cs="FrankRuehl" w:hint="cs"/>
          <w:b/>
          <w:bCs/>
          <w:vanish/>
          <w:szCs w:val="20"/>
          <w:shd w:val="clear" w:color="auto" w:fill="FFFF99"/>
          <w:rtl/>
        </w:rPr>
        <w:t>2</w:t>
      </w:r>
    </w:p>
    <w:p w14:paraId="04655CC5" w14:textId="77777777" w:rsidR="00CD6E8D" w:rsidRPr="00B618EF" w:rsidRDefault="00CD6E8D" w:rsidP="00CD6E8D">
      <w:pPr>
        <w:pStyle w:val="P00"/>
        <w:tabs>
          <w:tab w:val="clear" w:pos="6259"/>
        </w:tabs>
        <w:spacing w:before="0"/>
        <w:ind w:left="0" w:right="1134"/>
        <w:rPr>
          <w:rFonts w:ascii="FrankRuehl" w:hAnsi="FrankRuehl" w:cs="FrankRuehl"/>
          <w:vanish/>
          <w:szCs w:val="20"/>
          <w:shd w:val="clear" w:color="auto" w:fill="FFFF99"/>
          <w:rtl/>
        </w:rPr>
      </w:pPr>
      <w:hyperlink r:id="rId9" w:history="1">
        <w:r w:rsidRPr="00B618EF">
          <w:rPr>
            <w:rStyle w:val="Hyperlink"/>
            <w:rFonts w:ascii="FrankRuehl" w:hAnsi="FrankRuehl" w:cs="FrankRuehl"/>
            <w:vanish/>
            <w:szCs w:val="20"/>
            <w:shd w:val="clear" w:color="auto" w:fill="FFFF99"/>
            <w:rtl/>
          </w:rPr>
          <w:t>ס"ח תשפ"ג מס' 3016</w:t>
        </w:r>
      </w:hyperlink>
      <w:r w:rsidRPr="00B618EF">
        <w:rPr>
          <w:rFonts w:ascii="FrankRuehl" w:hAnsi="FrankRuehl" w:cs="FrankRuehl"/>
          <w:vanish/>
          <w:szCs w:val="20"/>
          <w:shd w:val="clear" w:color="auto" w:fill="FFFF99"/>
          <w:rtl/>
        </w:rPr>
        <w:t xml:space="preserve"> מיום 9.2.2023 עמ' 22 (</w:t>
      </w:r>
      <w:hyperlink r:id="rId10" w:history="1">
        <w:r w:rsidRPr="00B618EF">
          <w:rPr>
            <w:rStyle w:val="Hyperlink"/>
            <w:rFonts w:ascii="FrankRuehl" w:hAnsi="FrankRuehl" w:cs="FrankRuehl"/>
            <w:vanish/>
            <w:szCs w:val="20"/>
            <w:shd w:val="clear" w:color="auto" w:fill="FFFF99"/>
            <w:rtl/>
          </w:rPr>
          <w:t>ה"ח 945</w:t>
        </w:r>
      </w:hyperlink>
      <w:r w:rsidRPr="00B618EF">
        <w:rPr>
          <w:rFonts w:ascii="FrankRuehl" w:hAnsi="FrankRuehl" w:cs="FrankRuehl"/>
          <w:vanish/>
          <w:szCs w:val="20"/>
          <w:shd w:val="clear" w:color="auto" w:fill="FFFF99"/>
          <w:rtl/>
        </w:rPr>
        <w:t>)</w:t>
      </w:r>
    </w:p>
    <w:p w14:paraId="3FA4B274" w14:textId="77777777" w:rsidR="00CD6E8D" w:rsidRPr="00CD6E8D" w:rsidRDefault="00CD6E8D" w:rsidP="00CD6E8D">
      <w:pPr>
        <w:pStyle w:val="P00"/>
        <w:ind w:left="0" w:right="1134"/>
        <w:rPr>
          <w:rStyle w:val="default"/>
          <w:rFonts w:cs="FrankRuehl" w:hint="cs"/>
          <w:sz w:val="2"/>
          <w:szCs w:val="2"/>
          <w:rtl/>
        </w:rPr>
      </w:pPr>
      <w:r w:rsidRPr="00B618EF">
        <w:rPr>
          <w:rStyle w:val="default"/>
          <w:rFonts w:cs="FrankRuehl" w:hint="cs"/>
          <w:vanish/>
          <w:sz w:val="22"/>
          <w:szCs w:val="22"/>
          <w:shd w:val="clear" w:color="auto" w:fill="FFFF99"/>
          <w:rtl/>
        </w:rPr>
        <w:tab/>
      </w:r>
      <w:r w:rsidRPr="00B618EF">
        <w:rPr>
          <w:rStyle w:val="default"/>
          <w:rFonts w:cs="FrankRuehl"/>
          <w:vanish/>
          <w:sz w:val="22"/>
          <w:szCs w:val="22"/>
          <w:shd w:val="clear" w:color="auto" w:fill="FFFF99"/>
          <w:rtl/>
        </w:rPr>
        <w:t>(ב)</w:t>
      </w:r>
      <w:r w:rsidRPr="00B618EF">
        <w:rPr>
          <w:rStyle w:val="default"/>
          <w:rFonts w:cs="FrankRuehl" w:hint="cs"/>
          <w:vanish/>
          <w:sz w:val="22"/>
          <w:szCs w:val="22"/>
          <w:shd w:val="clear" w:color="auto" w:fill="FFFF99"/>
          <w:rtl/>
        </w:rPr>
        <w:tab/>
      </w:r>
      <w:r w:rsidRPr="00B618EF">
        <w:rPr>
          <w:rStyle w:val="default"/>
          <w:rFonts w:cs="FrankRuehl"/>
          <w:vanish/>
          <w:sz w:val="22"/>
          <w:szCs w:val="22"/>
          <w:shd w:val="clear" w:color="auto" w:fill="FFFF99"/>
          <w:rtl/>
        </w:rPr>
        <w:t xml:space="preserve">השר, באישור ועדת </w:t>
      </w:r>
      <w:r w:rsidRPr="00B618EF">
        <w:rPr>
          <w:rStyle w:val="default"/>
          <w:rFonts w:cs="FrankRuehl"/>
          <w:strike/>
          <w:vanish/>
          <w:sz w:val="22"/>
          <w:szCs w:val="22"/>
          <w:shd w:val="clear" w:color="auto" w:fill="FFFF99"/>
          <w:rtl/>
        </w:rPr>
        <w:t>הכלכלה</w:t>
      </w:r>
      <w:r w:rsidRPr="00B618EF">
        <w:rPr>
          <w:rStyle w:val="default"/>
          <w:rFonts w:cs="FrankRuehl" w:hint="cs"/>
          <w:vanish/>
          <w:sz w:val="22"/>
          <w:szCs w:val="22"/>
          <w:shd w:val="clear" w:color="auto" w:fill="FFFF99"/>
          <w:rtl/>
        </w:rPr>
        <w:t xml:space="preserve"> </w:t>
      </w:r>
      <w:r w:rsidRPr="00B618EF">
        <w:rPr>
          <w:rStyle w:val="default"/>
          <w:rFonts w:cs="FrankRuehl" w:hint="cs"/>
          <w:vanish/>
          <w:sz w:val="22"/>
          <w:szCs w:val="22"/>
          <w:u w:val="single"/>
          <w:shd w:val="clear" w:color="auto" w:fill="FFFF99"/>
          <w:rtl/>
        </w:rPr>
        <w:t>הפנים והגנת הסביבה</w:t>
      </w:r>
      <w:r w:rsidRPr="00B618EF">
        <w:rPr>
          <w:rStyle w:val="default"/>
          <w:rFonts w:cs="FrankRuehl"/>
          <w:vanish/>
          <w:sz w:val="22"/>
          <w:szCs w:val="22"/>
          <w:shd w:val="clear" w:color="auto" w:fill="FFFF99"/>
          <w:rtl/>
        </w:rPr>
        <w:t xml:space="preserve"> של הכנסת, רשאי להתקין תקנות בדבר:</w:t>
      </w:r>
      <w:bookmarkEnd w:id="10"/>
    </w:p>
    <w:p w14:paraId="2C5EF185" w14:textId="77777777" w:rsidR="00FA4571" w:rsidRDefault="00FA4571">
      <w:pPr>
        <w:pStyle w:val="P00"/>
        <w:spacing w:before="72"/>
        <w:ind w:left="0" w:right="1134"/>
        <w:rPr>
          <w:rStyle w:val="default"/>
          <w:rFonts w:cs="FrankRuehl" w:hint="cs"/>
          <w:rtl/>
        </w:rPr>
      </w:pPr>
    </w:p>
    <w:p w14:paraId="51644BF0" w14:textId="77777777" w:rsidR="00FA4571" w:rsidRDefault="00FA4571">
      <w:pPr>
        <w:pStyle w:val="P00"/>
        <w:spacing w:before="72"/>
        <w:ind w:left="0" w:right="1134"/>
        <w:rPr>
          <w:rStyle w:val="default"/>
          <w:rFonts w:cs="FrankRuehl" w:hint="cs"/>
          <w:rtl/>
        </w:rPr>
      </w:pPr>
    </w:p>
    <w:p w14:paraId="0FC2211D" w14:textId="77777777" w:rsidR="00FA4571" w:rsidRDefault="00FA4571" w:rsidP="005A0791">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מאיר שטרית</w:t>
      </w:r>
    </w:p>
    <w:p w14:paraId="257D10BB" w14:textId="77777777" w:rsidR="00FA4571" w:rsidRDefault="00FA4571" w:rsidP="005A079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הבינוי והשיכון</w:t>
      </w:r>
    </w:p>
    <w:p w14:paraId="49F79C71" w14:textId="77777777" w:rsidR="00FA4571" w:rsidRDefault="00FA4571" w:rsidP="005A0791">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דליה איציק</w:t>
      </w:r>
      <w:r>
        <w:rPr>
          <w:rFonts w:cs="FrankRuehl" w:hint="cs"/>
          <w:sz w:val="26"/>
          <w:rtl/>
        </w:rPr>
        <w:tab/>
      </w:r>
      <w:r>
        <w:rPr>
          <w:rFonts w:cs="FrankRuehl" w:hint="cs"/>
          <w:sz w:val="26"/>
          <w:rtl/>
        </w:rPr>
        <w:tab/>
        <w:t>דליה איציק</w:t>
      </w:r>
    </w:p>
    <w:p w14:paraId="3B3971F8" w14:textId="77777777" w:rsidR="00FA4571" w:rsidRDefault="00FA4571" w:rsidP="005A079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ממלאת מקום נשיא המדינה</w:t>
      </w:r>
      <w:r>
        <w:rPr>
          <w:rFonts w:cs="FrankRuehl" w:hint="cs"/>
          <w:sz w:val="22"/>
          <w:szCs w:val="22"/>
          <w:rtl/>
        </w:rPr>
        <w:tab/>
      </w:r>
      <w:r>
        <w:rPr>
          <w:rFonts w:cs="FrankRuehl" w:hint="cs"/>
          <w:sz w:val="22"/>
          <w:szCs w:val="22"/>
          <w:rtl/>
        </w:rPr>
        <w:tab/>
        <w:t>יושבת ראש הכנסת</w:t>
      </w:r>
    </w:p>
    <w:p w14:paraId="25D6058C" w14:textId="77777777" w:rsidR="00FA4571" w:rsidRDefault="00FA4571">
      <w:pPr>
        <w:pStyle w:val="sig-0"/>
        <w:tabs>
          <w:tab w:val="clear" w:pos="4820"/>
          <w:tab w:val="center" w:pos="5670"/>
        </w:tabs>
        <w:ind w:left="0" w:right="1134"/>
        <w:rPr>
          <w:rFonts w:cs="FrankRuehl" w:hint="cs"/>
          <w:sz w:val="26"/>
          <w:rtl/>
        </w:rPr>
      </w:pPr>
    </w:p>
    <w:p w14:paraId="1E9F8628" w14:textId="77777777" w:rsidR="00FA4571" w:rsidRDefault="00FA4571">
      <w:pPr>
        <w:pStyle w:val="sig-0"/>
        <w:tabs>
          <w:tab w:val="clear" w:pos="4820"/>
          <w:tab w:val="center" w:pos="5670"/>
        </w:tabs>
        <w:ind w:left="0" w:right="1134"/>
        <w:rPr>
          <w:rFonts w:cs="FrankRuehl" w:hint="cs"/>
          <w:sz w:val="26"/>
          <w:rtl/>
        </w:rPr>
      </w:pPr>
    </w:p>
    <w:p w14:paraId="68EA6C25" w14:textId="77777777" w:rsidR="00FA4571" w:rsidRDefault="00FA4571">
      <w:pPr>
        <w:pStyle w:val="sig-0"/>
        <w:ind w:left="0" w:right="1134"/>
        <w:rPr>
          <w:rFonts w:cs="FrankRuehl"/>
          <w:sz w:val="26"/>
          <w:rtl/>
        </w:rPr>
      </w:pPr>
    </w:p>
    <w:sectPr w:rsidR="00FA4571">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90F7" w14:textId="77777777" w:rsidR="009541E4" w:rsidRDefault="009541E4">
      <w:r>
        <w:separator/>
      </w:r>
    </w:p>
  </w:endnote>
  <w:endnote w:type="continuationSeparator" w:id="0">
    <w:p w14:paraId="5F67E7B4" w14:textId="77777777" w:rsidR="009541E4" w:rsidRDefault="00954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3A93" w14:textId="77777777" w:rsidR="00FA4571" w:rsidRDefault="00FA457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54D786" w14:textId="77777777" w:rsidR="00FA4571" w:rsidRDefault="00FA457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DCD30D" w14:textId="77777777" w:rsidR="00FA4571" w:rsidRDefault="00FA457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1015">
      <w:rPr>
        <w:rFonts w:cs="TopType Jerushalmi"/>
        <w:noProof/>
        <w:color w:val="000000"/>
        <w:sz w:val="14"/>
        <w:szCs w:val="14"/>
      </w:rPr>
      <w:t>D:\Yael\hakika\081009\999_750.doc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5BCF1" w14:textId="77777777" w:rsidR="00FA4571" w:rsidRDefault="00FA457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20385">
      <w:rPr>
        <w:rFonts w:hAnsi="FrankRuehl" w:cs="FrankRuehl"/>
        <w:noProof/>
        <w:sz w:val="24"/>
        <w:szCs w:val="24"/>
        <w:rtl/>
      </w:rPr>
      <w:t>3</w:t>
    </w:r>
    <w:r>
      <w:rPr>
        <w:rFonts w:hAnsi="FrankRuehl" w:cs="FrankRuehl"/>
        <w:sz w:val="24"/>
        <w:szCs w:val="24"/>
        <w:rtl/>
      </w:rPr>
      <w:fldChar w:fldCharType="end"/>
    </w:r>
  </w:p>
  <w:p w14:paraId="4E0E0E01" w14:textId="77777777" w:rsidR="00FA4571" w:rsidRDefault="00FA457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3C1126" w14:textId="77777777" w:rsidR="00FA4571" w:rsidRDefault="00FA457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B1015">
      <w:rPr>
        <w:rFonts w:cs="TopType Jerushalmi"/>
        <w:noProof/>
        <w:color w:val="000000"/>
        <w:sz w:val="14"/>
        <w:szCs w:val="14"/>
      </w:rPr>
      <w:t>D:\Yael\hakika\081009\999_750.doc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AF0A" w14:textId="77777777" w:rsidR="009541E4" w:rsidRDefault="009541E4">
      <w:pPr>
        <w:spacing w:before="60"/>
        <w:ind w:right="1134"/>
      </w:pPr>
      <w:r>
        <w:separator/>
      </w:r>
    </w:p>
  </w:footnote>
  <w:footnote w:type="continuationSeparator" w:id="0">
    <w:p w14:paraId="7E440EEC" w14:textId="77777777" w:rsidR="009541E4" w:rsidRDefault="009541E4">
      <w:pPr>
        <w:spacing w:before="60"/>
        <w:ind w:right="1134"/>
      </w:pPr>
      <w:r>
        <w:separator/>
      </w:r>
    </w:p>
  </w:footnote>
  <w:footnote w:id="1">
    <w:p w14:paraId="6BCBF00E" w14:textId="77777777" w:rsidR="00FA4571" w:rsidRDefault="00FA4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תשס"ז מס' 2092</w:t>
        </w:r>
      </w:hyperlink>
      <w:r>
        <w:rPr>
          <w:rFonts w:cs="FrankRuehl" w:hint="cs"/>
          <w:rtl/>
        </w:rPr>
        <w:t xml:space="preserve"> מיום 28.3.2007 עמ' 282 (</w:t>
      </w:r>
      <w:hyperlink r:id="rId2" w:history="1">
        <w:r>
          <w:rPr>
            <w:rStyle w:val="Hyperlink"/>
            <w:rFonts w:cs="FrankRuehl" w:hint="cs"/>
            <w:rtl/>
          </w:rPr>
          <w:t>ה"ח הממשלה תשס"ו מס' 281</w:t>
        </w:r>
      </w:hyperlink>
      <w:r>
        <w:rPr>
          <w:rFonts w:cs="FrankRuehl" w:hint="cs"/>
          <w:rtl/>
        </w:rPr>
        <w:t xml:space="preserve"> עמ' 240).</w:t>
      </w:r>
    </w:p>
    <w:p w14:paraId="09C54984" w14:textId="77777777" w:rsidR="00380EC7" w:rsidRDefault="00F54B56" w:rsidP="00380E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001B1015" w:rsidRPr="00380EC7">
          <w:rPr>
            <w:rStyle w:val="Hyperlink"/>
            <w:rFonts w:cs="FrankRuehl" w:hint="cs"/>
            <w:rtl/>
          </w:rPr>
          <w:t>ס"ח תשס"ט מס' 2209</w:t>
        </w:r>
      </w:hyperlink>
      <w:r w:rsidR="001B1015" w:rsidRPr="004A2F74">
        <w:rPr>
          <w:rFonts w:cs="FrankRuehl" w:hint="cs"/>
          <w:rtl/>
        </w:rPr>
        <w:t xml:space="preserve"> מיום 10.8.2009 עמ' 329 (</w:t>
      </w:r>
      <w:hyperlink r:id="rId4" w:history="1">
        <w:r w:rsidR="001B1015" w:rsidRPr="004A2F74">
          <w:rPr>
            <w:rStyle w:val="Hyperlink"/>
            <w:rFonts w:cs="FrankRuehl" w:hint="cs"/>
            <w:rtl/>
          </w:rPr>
          <w:t>ה"ח הממשלה תשס"ט מס' 436</w:t>
        </w:r>
      </w:hyperlink>
      <w:r w:rsidR="001B1015" w:rsidRPr="004A2F74">
        <w:rPr>
          <w:rFonts w:cs="FrankRuehl" w:hint="cs"/>
          <w:rtl/>
        </w:rPr>
        <w:t xml:space="preserve"> עמ' 348, 514) </w:t>
      </w:r>
      <w:r w:rsidR="001B1015" w:rsidRPr="004A2F74">
        <w:rPr>
          <w:rFonts w:cs="FrankRuehl"/>
          <w:rtl/>
        </w:rPr>
        <w:t>–</w:t>
      </w:r>
      <w:r w:rsidR="001B1015" w:rsidRPr="004A2F74">
        <w:rPr>
          <w:rFonts w:cs="FrankRuehl" w:hint="cs"/>
          <w:rtl/>
        </w:rPr>
        <w:t xml:space="preserve"> תיקון מס' </w:t>
      </w:r>
      <w:r w:rsidR="001B1015">
        <w:rPr>
          <w:rFonts w:cs="FrankRuehl" w:hint="cs"/>
          <w:rtl/>
        </w:rPr>
        <w:t>1</w:t>
      </w:r>
      <w:r w:rsidR="001B1015" w:rsidRPr="004A2F74">
        <w:rPr>
          <w:rFonts w:cs="FrankRuehl" w:hint="cs"/>
          <w:rtl/>
        </w:rPr>
        <w:t xml:space="preserve"> בסעיף 3</w:t>
      </w:r>
      <w:r w:rsidR="001B1015">
        <w:rPr>
          <w:rFonts w:cs="FrankRuehl" w:hint="cs"/>
          <w:rtl/>
        </w:rPr>
        <w:t>5</w:t>
      </w:r>
      <w:r w:rsidR="001B1015" w:rsidRPr="004A2F74">
        <w:rPr>
          <w:rFonts w:cs="FrankRuehl" w:hint="cs"/>
          <w:rtl/>
        </w:rPr>
        <w:t xml:space="preserve"> לחוק מינהל מקרקעי ישראל (תיקון מס' 7), תשס"ט-2009; תחילתו ביום 1.1.2010.</w:t>
      </w:r>
    </w:p>
    <w:bookmarkStart w:id="0" w:name="_Hlk127170399"/>
    <w:p w14:paraId="70A20D50" w14:textId="77777777" w:rsidR="00B20385" w:rsidRPr="00B20385" w:rsidRDefault="00B20385" w:rsidP="00B2038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https://www.nevo.co.il/Law_word/law14/LAW-3016.pdf</w:instrText>
      </w:r>
      <w:r>
        <w:rPr>
          <w:rFonts w:ascii="FrankRuehl" w:hAnsi="FrankRuehl" w:cs="FrankRuehl"/>
          <w:rtl/>
        </w:rPr>
        <w:instrText xml:space="preserve">" </w:instrText>
      </w:r>
      <w:r w:rsidR="009541E4" w:rsidRPr="00B20385">
        <w:rPr>
          <w:rFonts w:ascii="FrankRuehl" w:hAnsi="FrankRuehl" w:cs="FrankRuehl"/>
        </w:rPr>
      </w:r>
      <w:r>
        <w:rPr>
          <w:rFonts w:ascii="FrankRuehl" w:hAnsi="FrankRuehl" w:cs="FrankRuehl"/>
          <w:rtl/>
        </w:rPr>
        <w:fldChar w:fldCharType="separate"/>
      </w:r>
      <w:r w:rsidR="00CD6E8D" w:rsidRPr="00B20385">
        <w:rPr>
          <w:rStyle w:val="Hyperlink"/>
          <w:rFonts w:ascii="FrankRuehl" w:hAnsi="FrankRuehl" w:cs="FrankRuehl"/>
          <w:rtl/>
        </w:rPr>
        <w:t>ס"ח תשפ"ג מס' 3016</w:t>
      </w:r>
      <w:r>
        <w:rPr>
          <w:rFonts w:ascii="FrankRuehl" w:hAnsi="FrankRuehl" w:cs="FrankRuehl"/>
          <w:rtl/>
        </w:rPr>
        <w:fldChar w:fldCharType="end"/>
      </w:r>
      <w:r w:rsidR="00CD6E8D" w:rsidRPr="008F1B02">
        <w:rPr>
          <w:rFonts w:ascii="FrankRuehl" w:hAnsi="FrankRuehl" w:cs="FrankRuehl"/>
          <w:rtl/>
        </w:rPr>
        <w:t xml:space="preserve"> מיום 9.2.2023 עמ' 22 (</w:t>
      </w:r>
      <w:hyperlink r:id="rId5" w:history="1">
        <w:r w:rsidR="00CD6E8D" w:rsidRPr="008F1B02">
          <w:rPr>
            <w:rStyle w:val="Hyperlink"/>
            <w:rFonts w:ascii="FrankRuehl" w:hAnsi="FrankRuehl" w:cs="FrankRuehl"/>
            <w:rtl/>
          </w:rPr>
          <w:t>ה"ח הכנסת תשפ"ג מס' 945</w:t>
        </w:r>
      </w:hyperlink>
      <w:r w:rsidR="00CD6E8D" w:rsidRPr="008F1B02">
        <w:rPr>
          <w:rFonts w:ascii="FrankRuehl" w:hAnsi="FrankRuehl" w:cs="FrankRuehl"/>
          <w:rtl/>
        </w:rPr>
        <w:t xml:space="preserve"> עמ' 16) – תיקון מס' </w:t>
      </w:r>
      <w:r w:rsidR="00CD6E8D">
        <w:rPr>
          <w:rFonts w:ascii="FrankRuehl" w:hAnsi="FrankRuehl" w:cs="FrankRuehl" w:hint="cs"/>
          <w:rtl/>
        </w:rPr>
        <w:t>2</w:t>
      </w:r>
      <w:r w:rsidR="00CD6E8D" w:rsidRPr="008F1B02">
        <w:rPr>
          <w:rFonts w:ascii="FrankRuehl" w:hAnsi="FrankRuehl" w:cs="FrankRuehl"/>
          <w:rtl/>
        </w:rPr>
        <w:t xml:space="preserve"> בסעיף 5</w:t>
      </w:r>
      <w:r w:rsidR="00CD6E8D">
        <w:rPr>
          <w:rFonts w:ascii="FrankRuehl" w:hAnsi="FrankRuehl" w:cs="FrankRuehl" w:hint="cs"/>
          <w:rtl/>
        </w:rPr>
        <w:t>9</w:t>
      </w:r>
      <w:r w:rsidR="00CD6E8D" w:rsidRPr="008F1B02">
        <w:rPr>
          <w:rFonts w:ascii="FrankRuehl" w:hAnsi="FrankRuehl" w:cs="FrankRuehl"/>
          <w:rtl/>
        </w:rPr>
        <w:t xml:space="preserve"> לחוק לעניין ועדות הכנסת (תיקוני חקיקה והוראת שעה), תשפ"ג-2023.</w:t>
      </w:r>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01E17" w14:textId="77777777" w:rsidR="00FA4571" w:rsidRDefault="00FA457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7FCF3CC1" w14:textId="77777777" w:rsidR="00FA4571" w:rsidRDefault="00FA457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5AC79A" w14:textId="77777777" w:rsidR="00FA4571" w:rsidRDefault="00FA457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1530A" w14:textId="77777777" w:rsidR="00FA4571" w:rsidRDefault="00FA457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לעידוד בניית דירות להשכרה, תשס"ז-2007</w:t>
    </w:r>
  </w:p>
  <w:p w14:paraId="79CB706F" w14:textId="77777777" w:rsidR="00FA4571" w:rsidRDefault="00FA457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A54F4F" w14:textId="77777777" w:rsidR="00FA4571" w:rsidRDefault="00FA457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8312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1015"/>
    <w:rsid w:val="000914B2"/>
    <w:rsid w:val="000C57ED"/>
    <w:rsid w:val="001B1015"/>
    <w:rsid w:val="002C1556"/>
    <w:rsid w:val="00380EC7"/>
    <w:rsid w:val="00494B74"/>
    <w:rsid w:val="005A0791"/>
    <w:rsid w:val="00641DF8"/>
    <w:rsid w:val="009541E4"/>
    <w:rsid w:val="00B20385"/>
    <w:rsid w:val="00B618EF"/>
    <w:rsid w:val="00BE5AAC"/>
    <w:rsid w:val="00CD6E8D"/>
    <w:rsid w:val="00F46139"/>
    <w:rsid w:val="00F54B56"/>
    <w:rsid w:val="00FA4571"/>
    <w:rsid w:val="00FF54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6DEE25F"/>
  <w15:chartTrackingRefBased/>
  <w15:docId w15:val="{9820F7C9-D504-441F-BA1D-B886C992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CD6E8D"/>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5/memshala-436.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14/LAW-2209.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evo.co.il/law_html/law16/knesset-945.pdf" TargetMode="External"/><Relationship Id="rId4" Type="http://schemas.openxmlformats.org/officeDocument/2006/relationships/webSettings" Target="webSettings.xml"/><Relationship Id="rId9" Type="http://schemas.openxmlformats.org/officeDocument/2006/relationships/hyperlink" Target="https://www.nevo.co.il/law_html/law14/law-3016.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09.pdf" TargetMode="External"/><Relationship Id="rId2" Type="http://schemas.openxmlformats.org/officeDocument/2006/relationships/hyperlink" Target="http://www.nevo.co.il/Law_word/law15/memshala-281.pdf" TargetMode="External"/><Relationship Id="rId1" Type="http://schemas.openxmlformats.org/officeDocument/2006/relationships/hyperlink" Target="http://www.nevo.co.il/Law_word/law14/law-2092.pdf" TargetMode="External"/><Relationship Id="rId5" Type="http://schemas.openxmlformats.org/officeDocument/2006/relationships/hyperlink" Target="https://www.nevo.co.il/law_html/law16/knesset-945.pdf" TargetMode="External"/><Relationship Id="rId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פרק 999</vt:lpstr>
    </vt:vector>
  </TitlesOfParts>
  <Company/>
  <LinksUpToDate>false</LinksUpToDate>
  <CharactersWithSpaces>10567</CharactersWithSpaces>
  <SharedDoc>false</SharedDoc>
  <HLinks>
    <vt:vector size="108" baseType="variant">
      <vt:variant>
        <vt:i4>393249</vt:i4>
      </vt:variant>
      <vt:variant>
        <vt:i4>57</vt:i4>
      </vt:variant>
      <vt:variant>
        <vt:i4>0</vt:i4>
      </vt:variant>
      <vt:variant>
        <vt:i4>5</vt:i4>
      </vt:variant>
      <vt:variant>
        <vt:lpwstr>https://www.nevo.co.il/law_html/law16/knesset-945.pdf</vt:lpwstr>
      </vt:variant>
      <vt:variant>
        <vt:lpwstr/>
      </vt:variant>
      <vt:variant>
        <vt:i4>7405573</vt:i4>
      </vt:variant>
      <vt:variant>
        <vt:i4>54</vt:i4>
      </vt:variant>
      <vt:variant>
        <vt:i4>0</vt:i4>
      </vt:variant>
      <vt:variant>
        <vt:i4>5</vt:i4>
      </vt:variant>
      <vt:variant>
        <vt:lpwstr>https://www.nevo.co.il/law_html/law14/law-3016.pdf</vt:lpwstr>
      </vt:variant>
      <vt:variant>
        <vt:lpwstr/>
      </vt:variant>
      <vt:variant>
        <vt:i4>8323153</vt:i4>
      </vt:variant>
      <vt:variant>
        <vt:i4>51</vt:i4>
      </vt:variant>
      <vt:variant>
        <vt:i4>0</vt:i4>
      </vt:variant>
      <vt:variant>
        <vt:i4>5</vt:i4>
      </vt:variant>
      <vt:variant>
        <vt:lpwstr>http://www.nevo.co.il/Law_word/law15/memshala-436.pdf</vt:lpwstr>
      </vt:variant>
      <vt:variant>
        <vt:lpwstr/>
      </vt:variant>
      <vt:variant>
        <vt:i4>8192002</vt:i4>
      </vt:variant>
      <vt:variant>
        <vt:i4>48</vt:i4>
      </vt:variant>
      <vt:variant>
        <vt:i4>0</vt:i4>
      </vt:variant>
      <vt:variant>
        <vt:i4>5</vt:i4>
      </vt:variant>
      <vt:variant>
        <vt:lpwstr>http://www.nevo.co.il/Law_word/law14/LAW-2209.pdf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393249</vt:i4>
      </vt:variant>
      <vt:variant>
        <vt:i4>15</vt:i4>
      </vt:variant>
      <vt:variant>
        <vt:i4>0</vt:i4>
      </vt:variant>
      <vt:variant>
        <vt:i4>5</vt:i4>
      </vt:variant>
      <vt:variant>
        <vt:lpwstr>https://www.nevo.co.il/law_html/law16/knesset-945.pdf</vt:lpwstr>
      </vt:variant>
      <vt:variant>
        <vt:lpwstr/>
      </vt:variant>
      <vt:variant>
        <vt:i4>7405590</vt:i4>
      </vt:variant>
      <vt:variant>
        <vt:i4>12</vt:i4>
      </vt:variant>
      <vt:variant>
        <vt:i4>0</vt:i4>
      </vt:variant>
      <vt:variant>
        <vt:i4>5</vt:i4>
      </vt:variant>
      <vt:variant>
        <vt:lpwstr>https://www.nevo.co.il/Law_word/law14/LAW-3016.pdf</vt:lpwstr>
      </vt:variant>
      <vt:variant>
        <vt:lpwstr/>
      </vt:variant>
      <vt:variant>
        <vt:i4>8323153</vt:i4>
      </vt:variant>
      <vt:variant>
        <vt:i4>9</vt:i4>
      </vt:variant>
      <vt:variant>
        <vt:i4>0</vt:i4>
      </vt:variant>
      <vt:variant>
        <vt:i4>5</vt:i4>
      </vt:variant>
      <vt:variant>
        <vt:lpwstr>http://www.nevo.co.il/Law_word/law15/memshala-436.pdf</vt:lpwstr>
      </vt:variant>
      <vt:variant>
        <vt:lpwstr/>
      </vt:variant>
      <vt:variant>
        <vt:i4>8192002</vt:i4>
      </vt:variant>
      <vt:variant>
        <vt:i4>6</vt:i4>
      </vt:variant>
      <vt:variant>
        <vt:i4>0</vt:i4>
      </vt:variant>
      <vt:variant>
        <vt:i4>5</vt:i4>
      </vt:variant>
      <vt:variant>
        <vt:lpwstr>http://www.nevo.co.il/Law_word/law14/law-2209.pdf</vt:lpwstr>
      </vt:variant>
      <vt:variant>
        <vt:lpwstr/>
      </vt:variant>
      <vt:variant>
        <vt:i4>7602256</vt:i4>
      </vt:variant>
      <vt:variant>
        <vt:i4>3</vt:i4>
      </vt:variant>
      <vt:variant>
        <vt:i4>0</vt:i4>
      </vt:variant>
      <vt:variant>
        <vt:i4>5</vt:i4>
      </vt:variant>
      <vt:variant>
        <vt:lpwstr>http://www.nevo.co.il/Law_word/law15/memshala-281.pdf</vt:lpwstr>
      </vt:variant>
      <vt:variant>
        <vt:lpwstr/>
      </vt:variant>
      <vt:variant>
        <vt:i4>7602187</vt:i4>
      </vt:variant>
      <vt:variant>
        <vt:i4>0</vt:i4>
      </vt:variant>
      <vt:variant>
        <vt:i4>0</vt:i4>
      </vt:variant>
      <vt:variant>
        <vt:i4>5</vt:i4>
      </vt:variant>
      <vt:variant>
        <vt:lpwstr>http://www.nevo.co.il/Law_word/law14/law-2092.pdf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999</dc:title>
  <dc:subject/>
  <dc:creator>comp99</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לעידוד בניית דירות להשכרה, תשס"ז-2007</vt:lpwstr>
  </property>
  <property fmtid="{D5CDD505-2E9C-101B-9397-08002B2CF9AE}" pid="4" name="LAWNUMBER">
    <vt:lpwstr>0750</vt:lpwstr>
  </property>
  <property fmtid="{D5CDD505-2E9C-101B-9397-08002B2CF9AE}" pid="5" name="TYPE">
    <vt:lpwstr>01</vt:lpwstr>
  </property>
  <property fmtid="{D5CDD505-2E9C-101B-9397-08002B2CF9AE}" pid="6" name="CHNAME">
    <vt:lpwstr>כלכלה</vt:lpwstr>
  </property>
  <property fmtid="{D5CDD505-2E9C-101B-9397-08002B2CF9AE}" pid="7" name="LINKK2">
    <vt:lpwstr>http://www.nevo.co.il/Law_word/law14/law-2209.pdf;‎רשומות - ספר חוקים#תוקן ס"ח תשס"ט ‏מס' 2209 #מיום 10.8.2009 עמ' 329– תיקון מס' 1 בסעיף 35 לחוק מינהל מקרקעי ישראל (תיקון מס' 7), תשס"ט-‏‏2009; תחילתו ביום 1.1.2010‏</vt:lpwstr>
  </property>
  <property fmtid="{D5CDD505-2E9C-101B-9397-08002B2CF9AE}" pid="8" name="LINKK3">
    <vt:lpwstr>https://www.nevo.co.il/Law_word/law14/LAW-3016.pdf;‎רשומות - ספר חוקים#ס"ח תשפ"ג מס' ‏‏3016#מיום 9.2.2023 עמ' 22– תיקון מס' 2 בסעיף 59 לחוק לעניין ועדות הכנסת (תיקוני חקיקה והוראת שעה), ‏תשפ"ג-2023‏</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http://www.nevo.co.il/Law_word/law14/law-2092.pdf;רשומות - ספר חוקים#פורסם ס"ח תשס"ז מס' 2092 #מיום 28.3.2007 #עמ' 282</vt:lpwstr>
  </property>
  <property fmtid="{D5CDD505-2E9C-101B-9397-08002B2CF9AE}" pid="22" name="MEKORSAMCHUT">
    <vt:lpwstr/>
  </property>
  <property fmtid="{D5CDD505-2E9C-101B-9397-08002B2CF9AE}" pid="23" name="NOSE11">
    <vt:lpwstr>משפט פרטי וכלכלה</vt:lpwstr>
  </property>
  <property fmtid="{D5CDD505-2E9C-101B-9397-08002B2CF9AE}" pid="24" name="NOSE21">
    <vt:lpwstr>קניין</vt:lpwstr>
  </property>
  <property fmtid="{D5CDD505-2E9C-101B-9397-08002B2CF9AE}" pid="25" name="NOSE31">
    <vt:lpwstr>מקרקעין</vt:lpwstr>
  </property>
  <property fmtid="{D5CDD505-2E9C-101B-9397-08002B2CF9AE}" pid="26" name="NOSE41">
    <vt:lpwstr/>
  </property>
  <property fmtid="{D5CDD505-2E9C-101B-9397-08002B2CF9AE}" pid="27" name="NOSE12">
    <vt:lpwstr>משפט פרטי וכלכלה</vt:lpwstr>
  </property>
  <property fmtid="{D5CDD505-2E9C-101B-9397-08002B2CF9AE}" pid="28" name="NOSE22">
    <vt:lpwstr>קניין</vt:lpwstr>
  </property>
  <property fmtid="{D5CDD505-2E9C-101B-9397-08002B2CF9AE}" pid="29" name="NOSE32">
    <vt:lpwstr>שכירות והגנת הדייר</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