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4851" w:rsidRDefault="00844851">
      <w:pPr>
        <w:pStyle w:val="big-header"/>
        <w:ind w:left="0" w:right="1134"/>
        <w:rPr>
          <w:rFonts w:cs="FrankRuehl" w:hint="cs"/>
          <w:sz w:val="32"/>
          <w:rtl/>
        </w:rPr>
      </w:pPr>
      <w:r>
        <w:rPr>
          <w:rFonts w:cs="FrankRuehl"/>
          <w:sz w:val="32"/>
          <w:rtl/>
        </w:rPr>
        <w:t>חוק לעשיית דין בנאצים ובעוזריהם, תש"י</w:t>
      </w:r>
      <w:r>
        <w:rPr>
          <w:rFonts w:cs="FrankRuehl" w:hint="cs"/>
          <w:sz w:val="32"/>
          <w:rtl/>
        </w:rPr>
        <w:t>-</w:t>
      </w:r>
      <w:r>
        <w:rPr>
          <w:rFonts w:cs="FrankRuehl"/>
          <w:sz w:val="32"/>
          <w:rtl/>
        </w:rPr>
        <w:t>1950</w:t>
      </w:r>
    </w:p>
    <w:p w:rsidR="00C353E1" w:rsidRDefault="00C353E1" w:rsidP="00C353E1">
      <w:pPr>
        <w:spacing w:line="320" w:lineRule="auto"/>
        <w:jc w:val="left"/>
        <w:rPr>
          <w:rFonts w:hint="cs"/>
          <w:rtl/>
        </w:rPr>
      </w:pPr>
    </w:p>
    <w:p w:rsidR="006E5931" w:rsidRDefault="006E5931" w:rsidP="00C353E1">
      <w:pPr>
        <w:spacing w:line="320" w:lineRule="auto"/>
        <w:jc w:val="left"/>
        <w:rPr>
          <w:rFonts w:hint="cs"/>
          <w:rtl/>
        </w:rPr>
      </w:pPr>
    </w:p>
    <w:p w:rsidR="00C353E1" w:rsidRPr="00C353E1" w:rsidRDefault="00C353E1" w:rsidP="00C353E1">
      <w:pPr>
        <w:spacing w:line="320" w:lineRule="auto"/>
        <w:jc w:val="left"/>
        <w:rPr>
          <w:rFonts w:cs="Miriam"/>
          <w:szCs w:val="22"/>
          <w:rtl/>
        </w:rPr>
      </w:pPr>
      <w:r w:rsidRPr="00C353E1">
        <w:rPr>
          <w:rFonts w:cs="Miriam"/>
          <w:szCs w:val="22"/>
          <w:rtl/>
        </w:rPr>
        <w:t>עונשין ומשפט פלילי</w:t>
      </w:r>
      <w:r w:rsidRPr="00C353E1">
        <w:rPr>
          <w:rFonts w:cs="FrankRuehl"/>
          <w:szCs w:val="26"/>
          <w:rtl/>
        </w:rPr>
        <w:t xml:space="preserve"> – עבירות – עשיית דין בנאצים ובעוזריהם</w:t>
      </w:r>
    </w:p>
    <w:p w:rsidR="00844851" w:rsidRDefault="00844851">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44851">
        <w:tblPrEx>
          <w:tblCellMar>
            <w:top w:w="0" w:type="dxa"/>
            <w:bottom w:w="0" w:type="dxa"/>
          </w:tblCellMar>
        </w:tblPrEx>
        <w:tc>
          <w:tcPr>
            <w:tcW w:w="850" w:type="dxa"/>
          </w:tcPr>
          <w:p w:rsidR="00844851" w:rsidRDefault="00844851">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44851" w:rsidRDefault="00844851">
            <w:pPr>
              <w:spacing w:line="240" w:lineRule="auto"/>
              <w:rPr>
                <w:sz w:val="24"/>
              </w:rPr>
            </w:pPr>
            <w:hyperlink w:anchor="Seif0" w:tooltip="פשעים כלפי העם היהודי, פשעים כלפי האנושות ופשעי מלחמה" w:history="1">
              <w:r>
                <w:rPr>
                  <w:rStyle w:val="Hyperlink"/>
                </w:rPr>
                <w:t>Go</w:t>
              </w:r>
            </w:hyperlink>
          </w:p>
        </w:tc>
        <w:tc>
          <w:tcPr>
            <w:tcW w:w="5669" w:type="dxa"/>
          </w:tcPr>
          <w:p w:rsidR="00844851" w:rsidRDefault="00844851">
            <w:pPr>
              <w:spacing w:line="240" w:lineRule="auto"/>
              <w:rPr>
                <w:sz w:val="24"/>
                <w:rtl/>
              </w:rPr>
            </w:pPr>
            <w:r>
              <w:rPr>
                <w:sz w:val="24"/>
                <w:rtl/>
              </w:rPr>
              <w:t>פשעים כלפי העם היהודי, פשעים כלפי האנושות ופשעי מלחמה</w:t>
            </w:r>
          </w:p>
        </w:tc>
        <w:tc>
          <w:tcPr>
            <w:tcW w:w="1247" w:type="dxa"/>
          </w:tcPr>
          <w:p w:rsidR="00844851" w:rsidRDefault="00844851">
            <w:pPr>
              <w:spacing w:line="240" w:lineRule="auto"/>
              <w:rPr>
                <w:sz w:val="24"/>
              </w:rPr>
            </w:pPr>
            <w:r>
              <w:rPr>
                <w:sz w:val="24"/>
                <w:rtl/>
              </w:rPr>
              <w:t xml:space="preserve">סעיף 1 </w:t>
            </w:r>
          </w:p>
        </w:tc>
      </w:tr>
      <w:tr w:rsidR="00844851">
        <w:tblPrEx>
          <w:tblCellMar>
            <w:top w:w="0" w:type="dxa"/>
            <w:bottom w:w="0" w:type="dxa"/>
          </w:tblCellMar>
        </w:tblPrEx>
        <w:tc>
          <w:tcPr>
            <w:tcW w:w="850" w:type="dxa"/>
          </w:tcPr>
          <w:p w:rsidR="00844851" w:rsidRDefault="00844851">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44851" w:rsidRDefault="00844851">
            <w:pPr>
              <w:spacing w:line="240" w:lineRule="auto"/>
              <w:rPr>
                <w:sz w:val="24"/>
              </w:rPr>
            </w:pPr>
            <w:hyperlink w:anchor="Seif1" w:tooltip="פשעים כלפי בני אדם נרדפים" w:history="1">
              <w:r>
                <w:rPr>
                  <w:rStyle w:val="Hyperlink"/>
                </w:rPr>
                <w:t>Go</w:t>
              </w:r>
            </w:hyperlink>
          </w:p>
        </w:tc>
        <w:tc>
          <w:tcPr>
            <w:tcW w:w="5669" w:type="dxa"/>
          </w:tcPr>
          <w:p w:rsidR="00844851" w:rsidRDefault="00844851">
            <w:pPr>
              <w:spacing w:line="240" w:lineRule="auto"/>
              <w:rPr>
                <w:sz w:val="24"/>
                <w:rtl/>
              </w:rPr>
            </w:pPr>
            <w:r>
              <w:rPr>
                <w:sz w:val="24"/>
                <w:rtl/>
              </w:rPr>
              <w:t>פשעים כלפי בני אדם נרדפים</w:t>
            </w:r>
          </w:p>
        </w:tc>
        <w:tc>
          <w:tcPr>
            <w:tcW w:w="1247" w:type="dxa"/>
          </w:tcPr>
          <w:p w:rsidR="00844851" w:rsidRDefault="00844851">
            <w:pPr>
              <w:spacing w:line="240" w:lineRule="auto"/>
              <w:rPr>
                <w:sz w:val="24"/>
              </w:rPr>
            </w:pPr>
            <w:r>
              <w:rPr>
                <w:sz w:val="24"/>
                <w:rtl/>
              </w:rPr>
              <w:t xml:space="preserve">סעיף 2 </w:t>
            </w:r>
          </w:p>
        </w:tc>
      </w:tr>
      <w:tr w:rsidR="00844851">
        <w:tblPrEx>
          <w:tblCellMar>
            <w:top w:w="0" w:type="dxa"/>
            <w:bottom w:w="0" w:type="dxa"/>
          </w:tblCellMar>
        </w:tblPrEx>
        <w:tc>
          <w:tcPr>
            <w:tcW w:w="850" w:type="dxa"/>
          </w:tcPr>
          <w:p w:rsidR="00844851" w:rsidRDefault="00844851">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844851" w:rsidRDefault="00844851">
            <w:pPr>
              <w:spacing w:line="240" w:lineRule="auto"/>
              <w:rPr>
                <w:sz w:val="24"/>
              </w:rPr>
            </w:pPr>
            <w:hyperlink w:anchor="Seif2" w:tooltip="חברות בארגון עוין" w:history="1">
              <w:r>
                <w:rPr>
                  <w:rStyle w:val="Hyperlink"/>
                </w:rPr>
                <w:t>Go</w:t>
              </w:r>
            </w:hyperlink>
          </w:p>
        </w:tc>
        <w:tc>
          <w:tcPr>
            <w:tcW w:w="5669" w:type="dxa"/>
          </w:tcPr>
          <w:p w:rsidR="00844851" w:rsidRDefault="00844851">
            <w:pPr>
              <w:spacing w:line="240" w:lineRule="auto"/>
              <w:rPr>
                <w:sz w:val="24"/>
                <w:rtl/>
              </w:rPr>
            </w:pPr>
            <w:r>
              <w:rPr>
                <w:sz w:val="24"/>
                <w:rtl/>
              </w:rPr>
              <w:t>חברות בארגון עוין</w:t>
            </w:r>
          </w:p>
        </w:tc>
        <w:tc>
          <w:tcPr>
            <w:tcW w:w="1247" w:type="dxa"/>
          </w:tcPr>
          <w:p w:rsidR="00844851" w:rsidRDefault="00844851">
            <w:pPr>
              <w:spacing w:line="240" w:lineRule="auto"/>
              <w:rPr>
                <w:sz w:val="24"/>
              </w:rPr>
            </w:pPr>
            <w:r>
              <w:rPr>
                <w:sz w:val="24"/>
                <w:rtl/>
              </w:rPr>
              <w:t xml:space="preserve">סעיף 3 </w:t>
            </w:r>
          </w:p>
        </w:tc>
      </w:tr>
      <w:tr w:rsidR="00844851">
        <w:tblPrEx>
          <w:tblCellMar>
            <w:top w:w="0" w:type="dxa"/>
            <w:bottom w:w="0" w:type="dxa"/>
          </w:tblCellMar>
        </w:tblPrEx>
        <w:tc>
          <w:tcPr>
            <w:tcW w:w="850" w:type="dxa"/>
          </w:tcPr>
          <w:p w:rsidR="00844851" w:rsidRDefault="00844851">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844851" w:rsidRDefault="00844851">
            <w:pPr>
              <w:spacing w:line="240" w:lineRule="auto"/>
              <w:rPr>
                <w:sz w:val="24"/>
              </w:rPr>
            </w:pPr>
            <w:hyperlink w:anchor="Seif3" w:tooltip="עבירות במקומות הסגר" w:history="1">
              <w:r>
                <w:rPr>
                  <w:rStyle w:val="Hyperlink"/>
                </w:rPr>
                <w:t>Go</w:t>
              </w:r>
            </w:hyperlink>
          </w:p>
        </w:tc>
        <w:tc>
          <w:tcPr>
            <w:tcW w:w="5669" w:type="dxa"/>
          </w:tcPr>
          <w:p w:rsidR="00844851" w:rsidRDefault="00844851">
            <w:pPr>
              <w:spacing w:line="240" w:lineRule="auto"/>
              <w:rPr>
                <w:sz w:val="24"/>
                <w:rtl/>
              </w:rPr>
            </w:pPr>
            <w:r>
              <w:rPr>
                <w:sz w:val="24"/>
                <w:rtl/>
              </w:rPr>
              <w:t>עבירות במקומות הסגר</w:t>
            </w:r>
          </w:p>
        </w:tc>
        <w:tc>
          <w:tcPr>
            <w:tcW w:w="1247" w:type="dxa"/>
          </w:tcPr>
          <w:p w:rsidR="00844851" w:rsidRDefault="00844851">
            <w:pPr>
              <w:spacing w:line="240" w:lineRule="auto"/>
              <w:rPr>
                <w:sz w:val="24"/>
              </w:rPr>
            </w:pPr>
            <w:r>
              <w:rPr>
                <w:sz w:val="24"/>
                <w:rtl/>
              </w:rPr>
              <w:t xml:space="preserve">סעיף 4 </w:t>
            </w:r>
          </w:p>
        </w:tc>
      </w:tr>
      <w:tr w:rsidR="00844851">
        <w:tblPrEx>
          <w:tblCellMar>
            <w:top w:w="0" w:type="dxa"/>
            <w:bottom w:w="0" w:type="dxa"/>
          </w:tblCellMar>
        </w:tblPrEx>
        <w:tc>
          <w:tcPr>
            <w:tcW w:w="850" w:type="dxa"/>
          </w:tcPr>
          <w:p w:rsidR="00844851" w:rsidRDefault="00844851">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844851" w:rsidRDefault="00844851">
            <w:pPr>
              <w:spacing w:line="240" w:lineRule="auto"/>
              <w:rPr>
                <w:sz w:val="24"/>
              </w:rPr>
            </w:pPr>
            <w:hyperlink w:anchor="Seif4" w:tooltip="מסירת אדם נרדף לשלטון עויין" w:history="1">
              <w:r>
                <w:rPr>
                  <w:rStyle w:val="Hyperlink"/>
                </w:rPr>
                <w:t>Go</w:t>
              </w:r>
            </w:hyperlink>
          </w:p>
        </w:tc>
        <w:tc>
          <w:tcPr>
            <w:tcW w:w="5669" w:type="dxa"/>
          </w:tcPr>
          <w:p w:rsidR="00844851" w:rsidRDefault="00844851">
            <w:pPr>
              <w:spacing w:line="240" w:lineRule="auto"/>
              <w:rPr>
                <w:sz w:val="24"/>
                <w:rtl/>
              </w:rPr>
            </w:pPr>
            <w:r>
              <w:rPr>
                <w:sz w:val="24"/>
                <w:rtl/>
              </w:rPr>
              <w:t>מסירת אדם נרדף לשלטון עויין</w:t>
            </w:r>
          </w:p>
        </w:tc>
        <w:tc>
          <w:tcPr>
            <w:tcW w:w="1247" w:type="dxa"/>
          </w:tcPr>
          <w:p w:rsidR="00844851" w:rsidRDefault="00844851">
            <w:pPr>
              <w:spacing w:line="240" w:lineRule="auto"/>
              <w:rPr>
                <w:sz w:val="24"/>
              </w:rPr>
            </w:pPr>
            <w:r>
              <w:rPr>
                <w:sz w:val="24"/>
                <w:rtl/>
              </w:rPr>
              <w:t xml:space="preserve">סעיף 5 </w:t>
            </w:r>
          </w:p>
        </w:tc>
      </w:tr>
      <w:tr w:rsidR="00844851">
        <w:tblPrEx>
          <w:tblCellMar>
            <w:top w:w="0" w:type="dxa"/>
            <w:bottom w:w="0" w:type="dxa"/>
          </w:tblCellMar>
        </w:tblPrEx>
        <w:tc>
          <w:tcPr>
            <w:tcW w:w="850" w:type="dxa"/>
          </w:tcPr>
          <w:p w:rsidR="00844851" w:rsidRDefault="00844851">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844851" w:rsidRDefault="00844851">
            <w:pPr>
              <w:spacing w:line="240" w:lineRule="auto"/>
              <w:rPr>
                <w:sz w:val="24"/>
              </w:rPr>
            </w:pPr>
            <w:hyperlink w:anchor="Seif5" w:tooltip="סחיטה מבני אדם נרדפים" w:history="1">
              <w:r>
                <w:rPr>
                  <w:rStyle w:val="Hyperlink"/>
                </w:rPr>
                <w:t>Go</w:t>
              </w:r>
            </w:hyperlink>
          </w:p>
        </w:tc>
        <w:tc>
          <w:tcPr>
            <w:tcW w:w="5669" w:type="dxa"/>
          </w:tcPr>
          <w:p w:rsidR="00844851" w:rsidRDefault="00844851">
            <w:pPr>
              <w:spacing w:line="240" w:lineRule="auto"/>
              <w:rPr>
                <w:sz w:val="24"/>
                <w:rtl/>
              </w:rPr>
            </w:pPr>
            <w:r>
              <w:rPr>
                <w:sz w:val="24"/>
                <w:rtl/>
              </w:rPr>
              <w:t>סחיטה מבני אדם נרדפים</w:t>
            </w:r>
          </w:p>
        </w:tc>
        <w:tc>
          <w:tcPr>
            <w:tcW w:w="1247" w:type="dxa"/>
          </w:tcPr>
          <w:p w:rsidR="00844851" w:rsidRDefault="00844851">
            <w:pPr>
              <w:spacing w:line="240" w:lineRule="auto"/>
              <w:rPr>
                <w:sz w:val="24"/>
              </w:rPr>
            </w:pPr>
            <w:r>
              <w:rPr>
                <w:sz w:val="24"/>
                <w:rtl/>
              </w:rPr>
              <w:t xml:space="preserve">סעיף 6 </w:t>
            </w:r>
          </w:p>
        </w:tc>
      </w:tr>
      <w:tr w:rsidR="00844851">
        <w:tblPrEx>
          <w:tblCellMar>
            <w:top w:w="0" w:type="dxa"/>
            <w:bottom w:w="0" w:type="dxa"/>
          </w:tblCellMar>
        </w:tblPrEx>
        <w:tc>
          <w:tcPr>
            <w:tcW w:w="850" w:type="dxa"/>
          </w:tcPr>
          <w:p w:rsidR="00844851" w:rsidRDefault="00844851">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44851" w:rsidRDefault="00844851">
            <w:pPr>
              <w:spacing w:line="240" w:lineRule="auto"/>
              <w:rPr>
                <w:sz w:val="24"/>
              </w:rPr>
            </w:pPr>
            <w:hyperlink w:anchor="Seif6" w:tooltip="תחולת החוק הפלילי הכללי" w:history="1">
              <w:r>
                <w:rPr>
                  <w:rStyle w:val="Hyperlink"/>
                </w:rPr>
                <w:t>Go</w:t>
              </w:r>
            </w:hyperlink>
          </w:p>
        </w:tc>
        <w:tc>
          <w:tcPr>
            <w:tcW w:w="5669" w:type="dxa"/>
          </w:tcPr>
          <w:p w:rsidR="00844851" w:rsidRDefault="00844851">
            <w:pPr>
              <w:spacing w:line="240" w:lineRule="auto"/>
              <w:rPr>
                <w:sz w:val="24"/>
                <w:rtl/>
              </w:rPr>
            </w:pPr>
            <w:r>
              <w:rPr>
                <w:sz w:val="24"/>
                <w:rtl/>
              </w:rPr>
              <w:t>תחולת החוק הפלילי הכללי</w:t>
            </w:r>
          </w:p>
        </w:tc>
        <w:tc>
          <w:tcPr>
            <w:tcW w:w="1247" w:type="dxa"/>
          </w:tcPr>
          <w:p w:rsidR="00844851" w:rsidRDefault="00844851">
            <w:pPr>
              <w:spacing w:line="240" w:lineRule="auto"/>
              <w:rPr>
                <w:sz w:val="24"/>
              </w:rPr>
            </w:pPr>
            <w:r>
              <w:rPr>
                <w:sz w:val="24"/>
                <w:rtl/>
              </w:rPr>
              <w:t xml:space="preserve">סעיף 7 </w:t>
            </w:r>
          </w:p>
        </w:tc>
      </w:tr>
      <w:tr w:rsidR="00844851">
        <w:tblPrEx>
          <w:tblCellMar>
            <w:top w:w="0" w:type="dxa"/>
            <w:bottom w:w="0" w:type="dxa"/>
          </w:tblCellMar>
        </w:tblPrEx>
        <w:tc>
          <w:tcPr>
            <w:tcW w:w="850" w:type="dxa"/>
          </w:tcPr>
          <w:p w:rsidR="00844851" w:rsidRDefault="00844851">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44851" w:rsidRDefault="00844851">
            <w:pPr>
              <w:spacing w:line="240" w:lineRule="auto"/>
              <w:rPr>
                <w:sz w:val="24"/>
              </w:rPr>
            </w:pPr>
            <w:hyperlink w:anchor="Seif7" w:tooltip="סעיפים שלא יחולו" w:history="1">
              <w:r>
                <w:rPr>
                  <w:rStyle w:val="Hyperlink"/>
                </w:rPr>
                <w:t>Go</w:t>
              </w:r>
            </w:hyperlink>
          </w:p>
        </w:tc>
        <w:tc>
          <w:tcPr>
            <w:tcW w:w="5669" w:type="dxa"/>
          </w:tcPr>
          <w:p w:rsidR="00844851" w:rsidRDefault="00844851">
            <w:pPr>
              <w:spacing w:line="240" w:lineRule="auto"/>
              <w:rPr>
                <w:sz w:val="24"/>
                <w:rtl/>
              </w:rPr>
            </w:pPr>
            <w:r>
              <w:rPr>
                <w:sz w:val="24"/>
                <w:rtl/>
              </w:rPr>
              <w:t>סעיפים שלא יחולו</w:t>
            </w:r>
          </w:p>
        </w:tc>
        <w:tc>
          <w:tcPr>
            <w:tcW w:w="1247" w:type="dxa"/>
          </w:tcPr>
          <w:p w:rsidR="00844851" w:rsidRDefault="00844851">
            <w:pPr>
              <w:spacing w:line="240" w:lineRule="auto"/>
              <w:rPr>
                <w:sz w:val="24"/>
              </w:rPr>
            </w:pPr>
            <w:r>
              <w:rPr>
                <w:sz w:val="24"/>
                <w:rtl/>
              </w:rPr>
              <w:t xml:space="preserve">סעיף 8 </w:t>
            </w:r>
          </w:p>
        </w:tc>
      </w:tr>
      <w:tr w:rsidR="00844851">
        <w:tblPrEx>
          <w:tblCellMar>
            <w:top w:w="0" w:type="dxa"/>
            <w:bottom w:w="0" w:type="dxa"/>
          </w:tblCellMar>
        </w:tblPrEx>
        <w:tc>
          <w:tcPr>
            <w:tcW w:w="850" w:type="dxa"/>
          </w:tcPr>
          <w:p w:rsidR="00844851" w:rsidRDefault="00844851">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44851" w:rsidRDefault="00844851">
            <w:pPr>
              <w:spacing w:line="240" w:lineRule="auto"/>
              <w:rPr>
                <w:sz w:val="24"/>
              </w:rPr>
            </w:pPr>
            <w:hyperlink w:anchor="Seif8" w:tooltip="מעשה בית דין" w:history="1">
              <w:r>
                <w:rPr>
                  <w:rStyle w:val="Hyperlink"/>
                </w:rPr>
                <w:t>Go</w:t>
              </w:r>
            </w:hyperlink>
          </w:p>
        </w:tc>
        <w:tc>
          <w:tcPr>
            <w:tcW w:w="5669" w:type="dxa"/>
          </w:tcPr>
          <w:p w:rsidR="00844851" w:rsidRDefault="00844851">
            <w:pPr>
              <w:spacing w:line="240" w:lineRule="auto"/>
              <w:rPr>
                <w:sz w:val="24"/>
                <w:rtl/>
              </w:rPr>
            </w:pPr>
            <w:r>
              <w:rPr>
                <w:sz w:val="24"/>
                <w:rtl/>
              </w:rPr>
              <w:t>מעשה בית דין</w:t>
            </w:r>
          </w:p>
        </w:tc>
        <w:tc>
          <w:tcPr>
            <w:tcW w:w="1247" w:type="dxa"/>
          </w:tcPr>
          <w:p w:rsidR="00844851" w:rsidRDefault="00844851">
            <w:pPr>
              <w:spacing w:line="240" w:lineRule="auto"/>
              <w:rPr>
                <w:sz w:val="24"/>
              </w:rPr>
            </w:pPr>
            <w:r>
              <w:rPr>
                <w:sz w:val="24"/>
                <w:rtl/>
              </w:rPr>
              <w:t xml:space="preserve">סעיף 9 </w:t>
            </w:r>
          </w:p>
        </w:tc>
      </w:tr>
      <w:tr w:rsidR="00844851">
        <w:tblPrEx>
          <w:tblCellMar>
            <w:top w:w="0" w:type="dxa"/>
            <w:bottom w:w="0" w:type="dxa"/>
          </w:tblCellMar>
        </w:tblPrEx>
        <w:tc>
          <w:tcPr>
            <w:tcW w:w="850" w:type="dxa"/>
          </w:tcPr>
          <w:p w:rsidR="00844851" w:rsidRDefault="00844851">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44851" w:rsidRDefault="00844851">
            <w:pPr>
              <w:spacing w:line="240" w:lineRule="auto"/>
              <w:rPr>
                <w:sz w:val="24"/>
              </w:rPr>
            </w:pPr>
            <w:hyperlink w:anchor="Seif9" w:tooltip="שחרור מאחריות פלילית" w:history="1">
              <w:r>
                <w:rPr>
                  <w:rStyle w:val="Hyperlink"/>
                </w:rPr>
                <w:t>Go</w:t>
              </w:r>
            </w:hyperlink>
          </w:p>
        </w:tc>
        <w:tc>
          <w:tcPr>
            <w:tcW w:w="5669" w:type="dxa"/>
          </w:tcPr>
          <w:p w:rsidR="00844851" w:rsidRDefault="00844851">
            <w:pPr>
              <w:spacing w:line="240" w:lineRule="auto"/>
              <w:rPr>
                <w:sz w:val="24"/>
                <w:rtl/>
              </w:rPr>
            </w:pPr>
            <w:r>
              <w:rPr>
                <w:sz w:val="24"/>
                <w:rtl/>
              </w:rPr>
              <w:t>שחרור מאחריות פלילית</w:t>
            </w:r>
          </w:p>
        </w:tc>
        <w:tc>
          <w:tcPr>
            <w:tcW w:w="1247" w:type="dxa"/>
          </w:tcPr>
          <w:p w:rsidR="00844851" w:rsidRDefault="00844851">
            <w:pPr>
              <w:spacing w:line="240" w:lineRule="auto"/>
              <w:rPr>
                <w:sz w:val="24"/>
              </w:rPr>
            </w:pPr>
            <w:r>
              <w:rPr>
                <w:sz w:val="24"/>
                <w:rtl/>
              </w:rPr>
              <w:t xml:space="preserve">סעיף 10 </w:t>
            </w:r>
          </w:p>
        </w:tc>
      </w:tr>
      <w:tr w:rsidR="00844851">
        <w:tblPrEx>
          <w:tblCellMar>
            <w:top w:w="0" w:type="dxa"/>
            <w:bottom w:w="0" w:type="dxa"/>
          </w:tblCellMar>
        </w:tblPrEx>
        <w:tc>
          <w:tcPr>
            <w:tcW w:w="850" w:type="dxa"/>
          </w:tcPr>
          <w:p w:rsidR="00844851" w:rsidRDefault="00844851">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44851" w:rsidRDefault="00844851">
            <w:pPr>
              <w:spacing w:line="240" w:lineRule="auto"/>
              <w:rPr>
                <w:sz w:val="24"/>
              </w:rPr>
            </w:pPr>
            <w:hyperlink w:anchor="Seif10" w:tooltip="נסיבות מקילות" w:history="1">
              <w:r>
                <w:rPr>
                  <w:rStyle w:val="Hyperlink"/>
                </w:rPr>
                <w:t>Go</w:t>
              </w:r>
            </w:hyperlink>
          </w:p>
        </w:tc>
        <w:tc>
          <w:tcPr>
            <w:tcW w:w="5669" w:type="dxa"/>
          </w:tcPr>
          <w:p w:rsidR="00844851" w:rsidRDefault="00844851">
            <w:pPr>
              <w:spacing w:line="240" w:lineRule="auto"/>
              <w:rPr>
                <w:sz w:val="24"/>
                <w:rtl/>
              </w:rPr>
            </w:pPr>
            <w:r>
              <w:rPr>
                <w:sz w:val="24"/>
                <w:rtl/>
              </w:rPr>
              <w:t>נסיבות מקילות</w:t>
            </w:r>
          </w:p>
        </w:tc>
        <w:tc>
          <w:tcPr>
            <w:tcW w:w="1247" w:type="dxa"/>
          </w:tcPr>
          <w:p w:rsidR="00844851" w:rsidRDefault="00844851">
            <w:pPr>
              <w:spacing w:line="240" w:lineRule="auto"/>
              <w:rPr>
                <w:sz w:val="24"/>
              </w:rPr>
            </w:pPr>
            <w:r>
              <w:rPr>
                <w:sz w:val="24"/>
                <w:rtl/>
              </w:rPr>
              <w:t xml:space="preserve">סעיף 11 </w:t>
            </w:r>
          </w:p>
        </w:tc>
      </w:tr>
      <w:tr w:rsidR="00844851">
        <w:tblPrEx>
          <w:tblCellMar>
            <w:top w:w="0" w:type="dxa"/>
            <w:bottom w:w="0" w:type="dxa"/>
          </w:tblCellMar>
        </w:tblPrEx>
        <w:tc>
          <w:tcPr>
            <w:tcW w:w="850" w:type="dxa"/>
          </w:tcPr>
          <w:p w:rsidR="00844851" w:rsidRDefault="00844851">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44851" w:rsidRDefault="00844851">
            <w:pPr>
              <w:spacing w:line="240" w:lineRule="auto"/>
              <w:rPr>
                <w:sz w:val="24"/>
              </w:rPr>
            </w:pPr>
            <w:hyperlink w:anchor="Seif11" w:tooltip="התישנות" w:history="1">
              <w:r>
                <w:rPr>
                  <w:rStyle w:val="Hyperlink"/>
                </w:rPr>
                <w:t>Go</w:t>
              </w:r>
            </w:hyperlink>
          </w:p>
        </w:tc>
        <w:tc>
          <w:tcPr>
            <w:tcW w:w="5669" w:type="dxa"/>
          </w:tcPr>
          <w:p w:rsidR="00844851" w:rsidRDefault="00844851">
            <w:pPr>
              <w:spacing w:line="240" w:lineRule="auto"/>
              <w:rPr>
                <w:sz w:val="24"/>
                <w:rtl/>
              </w:rPr>
            </w:pPr>
            <w:r>
              <w:rPr>
                <w:sz w:val="24"/>
                <w:rtl/>
              </w:rPr>
              <w:t>התישנות</w:t>
            </w:r>
          </w:p>
        </w:tc>
        <w:tc>
          <w:tcPr>
            <w:tcW w:w="1247" w:type="dxa"/>
          </w:tcPr>
          <w:p w:rsidR="00844851" w:rsidRDefault="00844851">
            <w:pPr>
              <w:spacing w:line="240" w:lineRule="auto"/>
              <w:rPr>
                <w:sz w:val="24"/>
              </w:rPr>
            </w:pPr>
            <w:r>
              <w:rPr>
                <w:sz w:val="24"/>
                <w:rtl/>
              </w:rPr>
              <w:t xml:space="preserve">סעיף 12 </w:t>
            </w:r>
          </w:p>
        </w:tc>
      </w:tr>
      <w:tr w:rsidR="00844851">
        <w:tblPrEx>
          <w:tblCellMar>
            <w:top w:w="0" w:type="dxa"/>
            <w:bottom w:w="0" w:type="dxa"/>
          </w:tblCellMar>
        </w:tblPrEx>
        <w:tc>
          <w:tcPr>
            <w:tcW w:w="850" w:type="dxa"/>
          </w:tcPr>
          <w:p w:rsidR="00844851" w:rsidRDefault="00844851">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44851" w:rsidRDefault="00844851">
            <w:pPr>
              <w:spacing w:line="240" w:lineRule="auto"/>
              <w:rPr>
                <w:sz w:val="24"/>
              </w:rPr>
            </w:pPr>
            <w:hyperlink w:anchor="Seif12" w:tooltip="החנינה הכללית לא תחול" w:history="1">
              <w:r>
                <w:rPr>
                  <w:rStyle w:val="Hyperlink"/>
                </w:rPr>
                <w:t>Go</w:t>
              </w:r>
            </w:hyperlink>
          </w:p>
        </w:tc>
        <w:tc>
          <w:tcPr>
            <w:tcW w:w="5669" w:type="dxa"/>
          </w:tcPr>
          <w:p w:rsidR="00844851" w:rsidRDefault="00844851">
            <w:pPr>
              <w:spacing w:line="240" w:lineRule="auto"/>
              <w:rPr>
                <w:sz w:val="24"/>
                <w:rtl/>
              </w:rPr>
            </w:pPr>
            <w:r>
              <w:rPr>
                <w:sz w:val="24"/>
                <w:rtl/>
              </w:rPr>
              <w:t>החנינה הכללית לא תחול</w:t>
            </w:r>
          </w:p>
        </w:tc>
        <w:tc>
          <w:tcPr>
            <w:tcW w:w="1247" w:type="dxa"/>
          </w:tcPr>
          <w:p w:rsidR="00844851" w:rsidRDefault="00844851">
            <w:pPr>
              <w:spacing w:line="240" w:lineRule="auto"/>
              <w:rPr>
                <w:sz w:val="24"/>
              </w:rPr>
            </w:pPr>
            <w:r>
              <w:rPr>
                <w:sz w:val="24"/>
                <w:rtl/>
              </w:rPr>
              <w:t xml:space="preserve">סעיף 13 </w:t>
            </w:r>
          </w:p>
        </w:tc>
      </w:tr>
      <w:tr w:rsidR="00844851">
        <w:tblPrEx>
          <w:tblCellMar>
            <w:top w:w="0" w:type="dxa"/>
            <w:bottom w:w="0" w:type="dxa"/>
          </w:tblCellMar>
        </w:tblPrEx>
        <w:tc>
          <w:tcPr>
            <w:tcW w:w="850" w:type="dxa"/>
          </w:tcPr>
          <w:p w:rsidR="00844851" w:rsidRDefault="00844851">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44851" w:rsidRDefault="00844851">
            <w:pPr>
              <w:spacing w:line="240" w:lineRule="auto"/>
              <w:rPr>
                <w:sz w:val="24"/>
              </w:rPr>
            </w:pPr>
            <w:hyperlink w:anchor="Seif13" w:tooltip="תביעה לדין" w:history="1">
              <w:r>
                <w:rPr>
                  <w:rStyle w:val="Hyperlink"/>
                </w:rPr>
                <w:t>Go</w:t>
              </w:r>
            </w:hyperlink>
          </w:p>
        </w:tc>
        <w:tc>
          <w:tcPr>
            <w:tcW w:w="5669" w:type="dxa"/>
          </w:tcPr>
          <w:p w:rsidR="00844851" w:rsidRDefault="00844851">
            <w:pPr>
              <w:spacing w:line="240" w:lineRule="auto"/>
              <w:rPr>
                <w:sz w:val="24"/>
                <w:rtl/>
              </w:rPr>
            </w:pPr>
            <w:r>
              <w:rPr>
                <w:sz w:val="24"/>
                <w:rtl/>
              </w:rPr>
              <w:t>תביעה לדין</w:t>
            </w:r>
          </w:p>
        </w:tc>
        <w:tc>
          <w:tcPr>
            <w:tcW w:w="1247" w:type="dxa"/>
          </w:tcPr>
          <w:p w:rsidR="00844851" w:rsidRDefault="00844851">
            <w:pPr>
              <w:spacing w:line="240" w:lineRule="auto"/>
              <w:rPr>
                <w:sz w:val="24"/>
              </w:rPr>
            </w:pPr>
            <w:r>
              <w:rPr>
                <w:sz w:val="24"/>
                <w:rtl/>
              </w:rPr>
              <w:t xml:space="preserve">סעיף 14 </w:t>
            </w:r>
          </w:p>
        </w:tc>
      </w:tr>
      <w:tr w:rsidR="00844851">
        <w:tblPrEx>
          <w:tblCellMar>
            <w:top w:w="0" w:type="dxa"/>
            <w:bottom w:w="0" w:type="dxa"/>
          </w:tblCellMar>
        </w:tblPrEx>
        <w:tc>
          <w:tcPr>
            <w:tcW w:w="850" w:type="dxa"/>
          </w:tcPr>
          <w:p w:rsidR="00844851" w:rsidRDefault="00844851">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44851" w:rsidRDefault="00844851">
            <w:pPr>
              <w:spacing w:line="240" w:lineRule="auto"/>
              <w:rPr>
                <w:sz w:val="24"/>
              </w:rPr>
            </w:pPr>
            <w:hyperlink w:anchor="Seif14" w:tooltip="ראיות" w:history="1">
              <w:r>
                <w:rPr>
                  <w:rStyle w:val="Hyperlink"/>
                </w:rPr>
                <w:t>Go</w:t>
              </w:r>
            </w:hyperlink>
          </w:p>
        </w:tc>
        <w:tc>
          <w:tcPr>
            <w:tcW w:w="5669" w:type="dxa"/>
          </w:tcPr>
          <w:p w:rsidR="00844851" w:rsidRDefault="00844851">
            <w:pPr>
              <w:spacing w:line="240" w:lineRule="auto"/>
              <w:rPr>
                <w:sz w:val="24"/>
                <w:rtl/>
              </w:rPr>
            </w:pPr>
            <w:r>
              <w:rPr>
                <w:sz w:val="24"/>
                <w:rtl/>
              </w:rPr>
              <w:t>ראיות</w:t>
            </w:r>
          </w:p>
        </w:tc>
        <w:tc>
          <w:tcPr>
            <w:tcW w:w="1247" w:type="dxa"/>
          </w:tcPr>
          <w:p w:rsidR="00844851" w:rsidRDefault="00844851">
            <w:pPr>
              <w:spacing w:line="240" w:lineRule="auto"/>
              <w:rPr>
                <w:sz w:val="24"/>
              </w:rPr>
            </w:pPr>
            <w:r>
              <w:rPr>
                <w:sz w:val="24"/>
                <w:rtl/>
              </w:rPr>
              <w:t xml:space="preserve">סעיף 15 </w:t>
            </w:r>
          </w:p>
        </w:tc>
      </w:tr>
      <w:tr w:rsidR="00844851">
        <w:tblPrEx>
          <w:tblCellMar>
            <w:top w:w="0" w:type="dxa"/>
            <w:bottom w:w="0" w:type="dxa"/>
          </w:tblCellMar>
        </w:tblPrEx>
        <w:tc>
          <w:tcPr>
            <w:tcW w:w="850" w:type="dxa"/>
          </w:tcPr>
          <w:p w:rsidR="00844851" w:rsidRDefault="00844851">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844851" w:rsidRDefault="00844851">
            <w:pPr>
              <w:spacing w:line="240" w:lineRule="auto"/>
              <w:rPr>
                <w:sz w:val="24"/>
              </w:rPr>
            </w:pPr>
            <w:hyperlink w:anchor="Seif15" w:tooltip="פירושים" w:history="1">
              <w:r>
                <w:rPr>
                  <w:rStyle w:val="Hyperlink"/>
                </w:rPr>
                <w:t>Go</w:t>
              </w:r>
            </w:hyperlink>
          </w:p>
        </w:tc>
        <w:tc>
          <w:tcPr>
            <w:tcW w:w="5669" w:type="dxa"/>
          </w:tcPr>
          <w:p w:rsidR="00844851" w:rsidRDefault="00844851">
            <w:pPr>
              <w:spacing w:line="240" w:lineRule="auto"/>
              <w:rPr>
                <w:sz w:val="24"/>
                <w:rtl/>
              </w:rPr>
            </w:pPr>
            <w:r>
              <w:rPr>
                <w:sz w:val="24"/>
                <w:rtl/>
              </w:rPr>
              <w:t>פירושים</w:t>
            </w:r>
          </w:p>
        </w:tc>
        <w:tc>
          <w:tcPr>
            <w:tcW w:w="1247" w:type="dxa"/>
          </w:tcPr>
          <w:p w:rsidR="00844851" w:rsidRDefault="00844851">
            <w:pPr>
              <w:spacing w:line="240" w:lineRule="auto"/>
              <w:rPr>
                <w:sz w:val="24"/>
              </w:rPr>
            </w:pPr>
            <w:r>
              <w:rPr>
                <w:sz w:val="24"/>
                <w:rtl/>
              </w:rPr>
              <w:t xml:space="preserve">סעיף 16 </w:t>
            </w:r>
          </w:p>
        </w:tc>
      </w:tr>
      <w:tr w:rsidR="00844851">
        <w:tblPrEx>
          <w:tblCellMar>
            <w:top w:w="0" w:type="dxa"/>
            <w:bottom w:w="0" w:type="dxa"/>
          </w:tblCellMar>
        </w:tblPrEx>
        <w:tc>
          <w:tcPr>
            <w:tcW w:w="850" w:type="dxa"/>
          </w:tcPr>
          <w:p w:rsidR="00844851" w:rsidRDefault="00844851">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844851" w:rsidRDefault="00844851">
            <w:pPr>
              <w:spacing w:line="240" w:lineRule="auto"/>
              <w:rPr>
                <w:sz w:val="24"/>
              </w:rPr>
            </w:pPr>
            <w:hyperlink w:anchor="Seif16" w:tooltip="ביצוע" w:history="1">
              <w:r>
                <w:rPr>
                  <w:rStyle w:val="Hyperlink"/>
                </w:rPr>
                <w:t>Go</w:t>
              </w:r>
            </w:hyperlink>
          </w:p>
        </w:tc>
        <w:tc>
          <w:tcPr>
            <w:tcW w:w="5669" w:type="dxa"/>
          </w:tcPr>
          <w:p w:rsidR="00844851" w:rsidRDefault="00844851">
            <w:pPr>
              <w:spacing w:line="240" w:lineRule="auto"/>
              <w:rPr>
                <w:sz w:val="24"/>
                <w:rtl/>
              </w:rPr>
            </w:pPr>
            <w:r>
              <w:rPr>
                <w:sz w:val="24"/>
                <w:rtl/>
              </w:rPr>
              <w:t>ביצוע</w:t>
            </w:r>
          </w:p>
        </w:tc>
        <w:tc>
          <w:tcPr>
            <w:tcW w:w="1247" w:type="dxa"/>
          </w:tcPr>
          <w:p w:rsidR="00844851" w:rsidRDefault="00844851">
            <w:pPr>
              <w:spacing w:line="240" w:lineRule="auto"/>
              <w:rPr>
                <w:sz w:val="24"/>
              </w:rPr>
            </w:pPr>
            <w:r>
              <w:rPr>
                <w:sz w:val="24"/>
                <w:rtl/>
              </w:rPr>
              <w:t xml:space="preserve">סעיף 17 </w:t>
            </w:r>
          </w:p>
        </w:tc>
      </w:tr>
    </w:tbl>
    <w:p w:rsidR="00844851" w:rsidRDefault="00844851">
      <w:pPr>
        <w:pStyle w:val="big-header"/>
        <w:ind w:left="0" w:right="1134"/>
        <w:rPr>
          <w:rFonts w:cs="FrankRuehl"/>
          <w:sz w:val="32"/>
          <w:rtl/>
        </w:rPr>
      </w:pPr>
    </w:p>
    <w:p w:rsidR="00844851" w:rsidRDefault="00844851" w:rsidP="00C353E1">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לעשיית דין בנאצים ובעוזריהם, תש"י-</w:t>
      </w:r>
      <w:r>
        <w:rPr>
          <w:rFonts w:cs="FrankRuehl"/>
          <w:sz w:val="32"/>
          <w:rtl/>
        </w:rPr>
        <w:t>1950</w:t>
      </w:r>
      <w:r>
        <w:rPr>
          <w:rStyle w:val="default"/>
          <w:rtl/>
        </w:rPr>
        <w:footnoteReference w:customMarkFollows="1" w:id="1"/>
        <w:t>*</w:t>
      </w:r>
    </w:p>
    <w:p w:rsidR="00844851" w:rsidRDefault="00844851">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40.6pt;z-index:251649024" o:allowincell="f" filled="f" stroked="f" strokecolor="lime" strokeweight=".25pt">
            <v:textbox inset="0,0,0,0">
              <w:txbxContent>
                <w:p w:rsidR="00844851" w:rsidRDefault="00844851">
                  <w:pPr>
                    <w:spacing w:line="160" w:lineRule="exact"/>
                    <w:jc w:val="left"/>
                    <w:rPr>
                      <w:rFonts w:cs="Miriam"/>
                      <w:noProof/>
                      <w:sz w:val="18"/>
                      <w:szCs w:val="18"/>
                      <w:rtl/>
                    </w:rPr>
                  </w:pPr>
                  <w:r>
                    <w:rPr>
                      <w:rFonts w:cs="Miriam"/>
                      <w:sz w:val="18"/>
                      <w:szCs w:val="18"/>
                      <w:rtl/>
                    </w:rPr>
                    <w:t>פש</w:t>
                  </w:r>
                  <w:r>
                    <w:rPr>
                      <w:rFonts w:cs="Miriam" w:hint="cs"/>
                      <w:sz w:val="18"/>
                      <w:szCs w:val="18"/>
                      <w:rtl/>
                    </w:rPr>
                    <w:t>עים כלפי העם היהודי, פשעים כלפי האנושות ופשעי מלחמה</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דם שעבר עבירה אחת מאלה </w:t>
      </w:r>
      <w:r>
        <w:rPr>
          <w:rStyle w:val="default"/>
          <w:rFonts w:cs="FrankRuehl"/>
          <w:rtl/>
        </w:rPr>
        <w:t>–</w:t>
      </w:r>
    </w:p>
    <w:p w:rsidR="00844851" w:rsidRDefault="00844851">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תקופת השלטון הנאצי, בארץ עויינת, עשה מעשה שהוא בגדר פשע כלפי העם היהודי;</w:t>
      </w:r>
    </w:p>
    <w:p w:rsidR="00844851" w:rsidRDefault="00844851">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תקופת השלטון הנאצי, בארץ עויינת, עשה מעשה שהוא בגדר פשע כ</w:t>
      </w:r>
      <w:r>
        <w:rPr>
          <w:rStyle w:val="default"/>
          <w:rFonts w:cs="FrankRuehl"/>
          <w:rtl/>
        </w:rPr>
        <w:t>לפ</w:t>
      </w:r>
      <w:r>
        <w:rPr>
          <w:rStyle w:val="default"/>
          <w:rFonts w:cs="FrankRuehl" w:hint="cs"/>
          <w:rtl/>
        </w:rPr>
        <w:t>י האנושות;</w:t>
      </w:r>
    </w:p>
    <w:p w:rsidR="00844851" w:rsidRDefault="00844851">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תקופת מלחמת העולם השניה, בארץ עויינת, עשה מעשה שהוא בגדר פשע מלחמה,</w:t>
      </w:r>
    </w:p>
    <w:p w:rsidR="00844851" w:rsidRDefault="00844851">
      <w:pPr>
        <w:pStyle w:val="P00"/>
        <w:spacing w:before="72"/>
        <w:ind w:left="0" w:right="1134"/>
        <w:rPr>
          <w:rFonts w:cs="FrankRuehl"/>
          <w:sz w:val="26"/>
          <w:rtl/>
        </w:rPr>
      </w:pPr>
      <w:r>
        <w:rPr>
          <w:rFonts w:cs="FrankRuehl"/>
          <w:sz w:val="26"/>
          <w:rtl/>
        </w:rPr>
        <w:t>די</w:t>
      </w:r>
      <w:r>
        <w:rPr>
          <w:rFonts w:cs="FrankRuehl" w:hint="cs"/>
          <w:sz w:val="26"/>
          <w:rtl/>
        </w:rPr>
        <w:t xml:space="preserve">נו </w:t>
      </w:r>
      <w:r>
        <w:rPr>
          <w:rFonts w:cs="FrankRuehl"/>
          <w:sz w:val="26"/>
          <w:rtl/>
        </w:rPr>
        <w:t xml:space="preserve">– </w:t>
      </w:r>
      <w:r>
        <w:rPr>
          <w:rFonts w:cs="FrankRuehl" w:hint="cs"/>
          <w:sz w:val="26"/>
          <w:rtl/>
        </w:rPr>
        <w:t>מיתה.</w:t>
      </w:r>
    </w:p>
    <w:p w:rsidR="00844851" w:rsidRDefault="008448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סעיף זה </w:t>
      </w:r>
      <w:r>
        <w:rPr>
          <w:rStyle w:val="default"/>
          <w:rFonts w:cs="FrankRuehl"/>
          <w:rtl/>
        </w:rPr>
        <w:t>–</w:t>
      </w:r>
    </w:p>
    <w:p w:rsidR="00844851" w:rsidRDefault="00844851">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שע כלפי העם היהודי" פירושו </w:t>
      </w:r>
      <w:r>
        <w:rPr>
          <w:rStyle w:val="default"/>
          <w:rFonts w:cs="FrankRuehl"/>
          <w:rtl/>
        </w:rPr>
        <w:t xml:space="preserve">– </w:t>
      </w:r>
      <w:r>
        <w:rPr>
          <w:rStyle w:val="default"/>
          <w:rFonts w:cs="FrankRuehl" w:hint="cs"/>
          <w:rtl/>
        </w:rPr>
        <w:t>אחד המעשים המפורטים להלן שנעשה בכוונה להשמיד את העם היהודי, השמדה גמורה או חלקית; ואלה המעשים:</w:t>
      </w:r>
    </w:p>
    <w:p w:rsidR="00844851" w:rsidRDefault="0084485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ריגת יהוד</w:t>
      </w:r>
      <w:r>
        <w:rPr>
          <w:rStyle w:val="default"/>
          <w:rFonts w:cs="FrankRuehl"/>
          <w:rtl/>
        </w:rPr>
        <w:t>ים</w:t>
      </w:r>
      <w:r>
        <w:rPr>
          <w:rStyle w:val="default"/>
          <w:rFonts w:cs="FrankRuehl" w:hint="cs"/>
          <w:rtl/>
        </w:rPr>
        <w:t>;</w:t>
      </w:r>
    </w:p>
    <w:p w:rsidR="00844851" w:rsidRDefault="00844851">
      <w:pPr>
        <w:pStyle w:val="P22"/>
        <w:spacing w:before="72"/>
        <w:ind w:left="1021" w:right="1134"/>
        <w:rPr>
          <w:rStyle w:val="default"/>
          <w:rFonts w:cs="FrankRuehl"/>
          <w:rtl/>
        </w:rPr>
      </w:pPr>
      <w:r>
        <w:rPr>
          <w:rStyle w:val="default"/>
          <w:rFonts w:cs="FrankRuehl" w:hint="cs"/>
          <w:rtl/>
        </w:rPr>
        <w:t>(2)</w:t>
      </w:r>
      <w:r>
        <w:rPr>
          <w:rStyle w:val="default"/>
          <w:rFonts w:cs="FrankRuehl"/>
          <w:rtl/>
        </w:rPr>
        <w:tab/>
        <w:t>ג</w:t>
      </w:r>
      <w:r>
        <w:rPr>
          <w:rStyle w:val="default"/>
          <w:rFonts w:cs="FrankRuehl" w:hint="cs"/>
          <w:rtl/>
        </w:rPr>
        <w:t>רימת נזק חמור ליהודים בגוף או בנפש;</w:t>
      </w:r>
    </w:p>
    <w:p w:rsidR="00844851" w:rsidRDefault="00844851">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עמדת יהודים בתנאי חיים שיש בהם כדי להביא להשמדתם הגופנית;</w:t>
      </w:r>
    </w:p>
    <w:p w:rsidR="00844851" w:rsidRDefault="00844851">
      <w:pPr>
        <w:pStyle w:val="P22"/>
        <w:spacing w:before="72"/>
        <w:ind w:left="1021" w:right="1134"/>
        <w:rPr>
          <w:rStyle w:val="default"/>
          <w:rFonts w:cs="FrankRuehl"/>
          <w:rtl/>
        </w:rPr>
      </w:pPr>
      <w:r>
        <w:rPr>
          <w:rStyle w:val="default"/>
          <w:rFonts w:cs="FrankRuehl" w:hint="cs"/>
          <w:rtl/>
        </w:rPr>
        <w:t>(4)</w:t>
      </w:r>
      <w:r>
        <w:rPr>
          <w:rStyle w:val="default"/>
          <w:rFonts w:cs="FrankRuehl"/>
          <w:rtl/>
        </w:rPr>
        <w:tab/>
        <w:t>ק</w:t>
      </w:r>
      <w:r>
        <w:rPr>
          <w:rStyle w:val="default"/>
          <w:rFonts w:cs="FrankRuehl" w:hint="cs"/>
          <w:rtl/>
        </w:rPr>
        <w:t>ביעת אמצעי</w:t>
      </w:r>
      <w:r>
        <w:rPr>
          <w:rStyle w:val="default"/>
          <w:rFonts w:cs="FrankRuehl"/>
          <w:rtl/>
        </w:rPr>
        <w:t>ם</w:t>
      </w:r>
      <w:r>
        <w:rPr>
          <w:rStyle w:val="default"/>
          <w:rFonts w:cs="FrankRuehl" w:hint="cs"/>
          <w:rtl/>
        </w:rPr>
        <w:t xml:space="preserve"> שכוונתם למנוע את הילודה בקרב יהודים;</w:t>
      </w:r>
    </w:p>
    <w:p w:rsidR="00844851" w:rsidRDefault="00844851">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עברת ילדים יהודים לקיבוץ לאומי דתי אחר בדרך כפייה;</w:t>
      </w:r>
    </w:p>
    <w:p w:rsidR="00844851" w:rsidRDefault="00844851">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שמדה או חילול של נכסים או ערכים ד</w:t>
      </w:r>
      <w:r>
        <w:rPr>
          <w:rStyle w:val="default"/>
          <w:rFonts w:cs="FrankRuehl"/>
          <w:rtl/>
        </w:rPr>
        <w:t>תי</w:t>
      </w:r>
      <w:r>
        <w:rPr>
          <w:rStyle w:val="default"/>
          <w:rFonts w:cs="FrankRuehl" w:hint="cs"/>
          <w:rtl/>
        </w:rPr>
        <w:t>ים או תרבותיים של יהודים;</w:t>
      </w:r>
    </w:p>
    <w:p w:rsidR="00844851" w:rsidRDefault="00844851">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סתה לשנאת יהודים;</w:t>
      </w:r>
    </w:p>
    <w:p w:rsidR="00844851" w:rsidRDefault="00844851">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שע כלפי האנושות" פירוש </w:t>
      </w:r>
      <w:r>
        <w:rPr>
          <w:rStyle w:val="default"/>
          <w:rFonts w:cs="FrankRuehl"/>
          <w:rtl/>
        </w:rPr>
        <w:t xml:space="preserve">– </w:t>
      </w:r>
      <w:r>
        <w:rPr>
          <w:rStyle w:val="default"/>
          <w:rFonts w:cs="FrankRuehl" w:hint="cs"/>
          <w:rtl/>
        </w:rPr>
        <w:t>אחד המעשים האלה:</w:t>
      </w:r>
    </w:p>
    <w:p w:rsidR="00844851" w:rsidRDefault="00844851">
      <w:pPr>
        <w:pStyle w:val="P00"/>
        <w:spacing w:before="72"/>
        <w:ind w:left="0" w:right="1134"/>
        <w:rPr>
          <w:rStyle w:val="default"/>
          <w:rFonts w:cs="FrankRuehl"/>
          <w:rtl/>
        </w:rPr>
      </w:pPr>
      <w:r>
        <w:rPr>
          <w:rFonts w:cs="FrankRuehl"/>
          <w:sz w:val="26"/>
          <w:rtl/>
        </w:rPr>
        <w:tab/>
      </w:r>
      <w:r>
        <w:rPr>
          <w:rStyle w:val="default"/>
          <w:rFonts w:cs="FrankRuehl"/>
          <w:rtl/>
        </w:rPr>
        <w:t>רצ</w:t>
      </w:r>
      <w:r>
        <w:rPr>
          <w:rStyle w:val="default"/>
          <w:rFonts w:cs="FrankRuehl" w:hint="cs"/>
          <w:rtl/>
        </w:rPr>
        <w:t>יחה, השמדה, שעבוד, הרעבה</w:t>
      </w:r>
      <w:r>
        <w:rPr>
          <w:rStyle w:val="default"/>
          <w:rFonts w:cs="FrankRuehl"/>
          <w:rtl/>
        </w:rPr>
        <w:t xml:space="preserve"> </w:t>
      </w:r>
      <w:r>
        <w:rPr>
          <w:rStyle w:val="default"/>
          <w:rFonts w:cs="FrankRuehl" w:hint="cs"/>
          <w:rtl/>
        </w:rPr>
        <w:t>וגירוש של אוכלוסיה אזרחית, וכל מעשה לא-אנושי אחר שנעשה באוכלוסיה אזרחית; וכן רדיפה מטעמים לאומיים גזעיים, דתיים, או פוליטיים;</w:t>
      </w:r>
    </w:p>
    <w:p w:rsidR="00844851" w:rsidRDefault="00844851">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שע </w:t>
      </w:r>
      <w:r>
        <w:rPr>
          <w:rStyle w:val="default"/>
          <w:rFonts w:cs="FrankRuehl"/>
          <w:rtl/>
        </w:rPr>
        <w:t>מל</w:t>
      </w:r>
      <w:r>
        <w:rPr>
          <w:rStyle w:val="default"/>
          <w:rFonts w:cs="FrankRuehl" w:hint="cs"/>
          <w:rtl/>
        </w:rPr>
        <w:t xml:space="preserve">חמה" פירושו </w:t>
      </w:r>
      <w:r>
        <w:rPr>
          <w:rStyle w:val="default"/>
          <w:rFonts w:cs="FrankRuehl"/>
          <w:rtl/>
        </w:rPr>
        <w:t xml:space="preserve">– </w:t>
      </w:r>
      <w:r>
        <w:rPr>
          <w:rStyle w:val="default"/>
          <w:rFonts w:cs="FrankRuehl" w:hint="cs"/>
          <w:rtl/>
        </w:rPr>
        <w:t>אחד המעשים האלה:</w:t>
      </w:r>
    </w:p>
    <w:p w:rsidR="00844851" w:rsidRDefault="00844851">
      <w:pPr>
        <w:pStyle w:val="P22"/>
        <w:spacing w:before="72"/>
        <w:ind w:left="1021" w:right="1134"/>
        <w:rPr>
          <w:rStyle w:val="default"/>
          <w:rFonts w:cs="FrankRuehl"/>
          <w:rtl/>
        </w:rPr>
      </w:pPr>
      <w:r>
        <w:rPr>
          <w:rStyle w:val="default"/>
          <w:rFonts w:cs="FrankRuehl"/>
          <w:rtl/>
        </w:rPr>
        <w:t>רצ</w:t>
      </w:r>
      <w:r>
        <w:rPr>
          <w:rStyle w:val="default"/>
          <w:rFonts w:cs="FrankRuehl" w:hint="cs"/>
          <w:rtl/>
        </w:rPr>
        <w:t>יחת בני אוכלוסיה אזרחית של ארץ כבושה או בתוך ארץ כבושה, נגישתם וגירושם לשם עבודת כפייה א</w:t>
      </w:r>
      <w:r>
        <w:rPr>
          <w:rStyle w:val="default"/>
          <w:rFonts w:cs="FrankRuehl"/>
          <w:rtl/>
        </w:rPr>
        <w:t>ו</w:t>
      </w:r>
      <w:r>
        <w:rPr>
          <w:rStyle w:val="default"/>
          <w:rFonts w:cs="FrankRuehl" w:hint="cs"/>
          <w:rtl/>
        </w:rPr>
        <w:t xml:space="preserve"> לשם כל מטרה אחרת; רציחתם וגירושם של שבויי מלחמה או של בני האדם הנמצאים בלב-ים; המתת בני ערובה; שוד רכוש ציבורי או פרטי; הריסה שרירו</w:t>
      </w:r>
      <w:r>
        <w:rPr>
          <w:rStyle w:val="default"/>
          <w:rFonts w:cs="FrankRuehl"/>
          <w:rtl/>
        </w:rPr>
        <w:t>תי</w:t>
      </w:r>
      <w:r>
        <w:rPr>
          <w:rStyle w:val="default"/>
          <w:rFonts w:cs="FrankRuehl" w:hint="cs"/>
          <w:rtl/>
        </w:rPr>
        <w:t>ת של כרכים, ערים או כפרים, והחרבה שאינה מוצדקת על ידי הכרח צבאי.</w:t>
      </w:r>
    </w:p>
    <w:p w:rsidR="00844851" w:rsidRDefault="00844851">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0.6pt;z-index:251650048" o:allowincell="f" filled="f" stroked="f" strokecolor="lime" strokeweight=".25pt">
            <v:textbox inset="0,0,0,0">
              <w:txbxContent>
                <w:p w:rsidR="00844851" w:rsidRDefault="00844851">
                  <w:pPr>
                    <w:spacing w:line="160" w:lineRule="exact"/>
                    <w:jc w:val="left"/>
                    <w:rPr>
                      <w:rFonts w:cs="Miriam"/>
                      <w:noProof/>
                      <w:sz w:val="18"/>
                      <w:szCs w:val="18"/>
                      <w:rtl/>
                    </w:rPr>
                  </w:pPr>
                  <w:r>
                    <w:rPr>
                      <w:rFonts w:cs="Miriam"/>
                      <w:sz w:val="18"/>
                      <w:szCs w:val="18"/>
                      <w:rtl/>
                    </w:rPr>
                    <w:t>פש</w:t>
                  </w:r>
                  <w:r>
                    <w:rPr>
                      <w:rFonts w:cs="Miriam" w:hint="cs"/>
                      <w:sz w:val="18"/>
                      <w:szCs w:val="18"/>
                      <w:rtl/>
                    </w:rPr>
                    <w:t>עים כלפי בני אדם נרדפים</w:t>
                  </w:r>
                </w:p>
              </w:txbxContent>
            </v:textbox>
            <w10:anchorlock/>
          </v:rect>
        </w:pict>
      </w:r>
      <w:r>
        <w:rPr>
          <w:rStyle w:val="big-number"/>
          <w:rFonts w:cs="Miriam"/>
          <w:rtl/>
        </w:rPr>
        <w:t>2.</w:t>
      </w:r>
      <w:r>
        <w:rPr>
          <w:rStyle w:val="big-number"/>
          <w:rFonts w:cs="Miriam"/>
          <w:rtl/>
        </w:rPr>
        <w:tab/>
      </w:r>
      <w:r>
        <w:rPr>
          <w:rStyle w:val="default"/>
          <w:rFonts w:cs="FrankRuehl"/>
          <w:rtl/>
        </w:rPr>
        <w:t>אד</w:t>
      </w:r>
      <w:r>
        <w:rPr>
          <w:rStyle w:val="default"/>
          <w:rFonts w:cs="FrankRuehl" w:hint="cs"/>
          <w:rtl/>
        </w:rPr>
        <w:t>ם שבתקופת השלטון הנאצי, בארץ עויינת, עשה מעשה, שאילו עשהו בשטח ישראל היה אשם בעבירה לפי אחד מסעיפי החוק הפלילי המנויים להלן, והוא עשה את המעשה כלפי אדם נרדף באשר הוא אדם נרדף, יאשם בע</w:t>
      </w:r>
      <w:r>
        <w:rPr>
          <w:rStyle w:val="default"/>
          <w:rFonts w:cs="FrankRuehl"/>
          <w:rtl/>
        </w:rPr>
        <w:t>בי</w:t>
      </w:r>
      <w:r>
        <w:rPr>
          <w:rStyle w:val="default"/>
          <w:rFonts w:cs="FrankRuehl" w:hint="cs"/>
          <w:rtl/>
        </w:rPr>
        <w:t>רה לפי חוק זה ויהיה צפוי לאותו עונש שהיה צפוי לו אילו עשה את המעשה בשטח ישראל. ואלה הסעיפים:</w:t>
      </w:r>
    </w:p>
    <w:p w:rsidR="00844851" w:rsidRDefault="0084485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 xml:space="preserve">עיף 152 </w:t>
      </w:r>
      <w:r>
        <w:rPr>
          <w:rStyle w:val="default"/>
          <w:rFonts w:cs="FrankRuehl"/>
          <w:rtl/>
        </w:rPr>
        <w:t>– (</w:t>
      </w:r>
      <w:r>
        <w:rPr>
          <w:rStyle w:val="default"/>
          <w:rFonts w:cs="FrankRuehl" w:hint="cs"/>
          <w:rtl/>
        </w:rPr>
        <w:t>אונס, עבירות מין ועבירות בלתי טבעיות);</w:t>
      </w:r>
    </w:p>
    <w:p w:rsidR="00844851" w:rsidRDefault="0084485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עיף 153 </w:t>
      </w:r>
      <w:r>
        <w:rPr>
          <w:rStyle w:val="default"/>
          <w:rFonts w:cs="FrankRuehl"/>
          <w:rtl/>
        </w:rPr>
        <w:t>– (</w:t>
      </w:r>
      <w:r>
        <w:rPr>
          <w:rStyle w:val="default"/>
          <w:rFonts w:cs="FrankRuehl" w:hint="cs"/>
          <w:rtl/>
        </w:rPr>
        <w:t>אונס בתרמית);</w:t>
      </w:r>
    </w:p>
    <w:p w:rsidR="00844851" w:rsidRDefault="00844851">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 xml:space="preserve">עיף 157 </w:t>
      </w:r>
      <w:r>
        <w:rPr>
          <w:rStyle w:val="default"/>
          <w:rFonts w:cs="FrankRuehl"/>
          <w:rtl/>
        </w:rPr>
        <w:t>– (</w:t>
      </w:r>
      <w:r>
        <w:rPr>
          <w:rStyle w:val="default"/>
          <w:rFonts w:cs="FrankRuehl" w:hint="cs"/>
          <w:rtl/>
        </w:rPr>
        <w:t>מעשה מגונה בכוח וכו');</w:t>
      </w:r>
    </w:p>
    <w:p w:rsidR="00844851" w:rsidRDefault="0084485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 xml:space="preserve">עיף 188 </w:t>
      </w:r>
      <w:r>
        <w:rPr>
          <w:rStyle w:val="default"/>
          <w:rFonts w:cs="FrankRuehl"/>
          <w:rtl/>
        </w:rPr>
        <w:t>– (</w:t>
      </w:r>
      <w:r>
        <w:rPr>
          <w:rStyle w:val="default"/>
          <w:rFonts w:cs="FrankRuehl" w:hint="cs"/>
          <w:rtl/>
        </w:rPr>
        <w:t>גזלת ילד);</w:t>
      </w:r>
    </w:p>
    <w:p w:rsidR="00844851" w:rsidRDefault="00844851">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סע</w:t>
      </w:r>
      <w:r>
        <w:rPr>
          <w:rStyle w:val="default"/>
          <w:rFonts w:cs="FrankRuehl" w:hint="cs"/>
          <w:rtl/>
        </w:rPr>
        <w:t xml:space="preserve">יף 212 </w:t>
      </w:r>
      <w:r>
        <w:rPr>
          <w:rStyle w:val="default"/>
          <w:rFonts w:cs="FrankRuehl"/>
          <w:rtl/>
        </w:rPr>
        <w:t>– (</w:t>
      </w:r>
      <w:r>
        <w:rPr>
          <w:rStyle w:val="default"/>
          <w:rFonts w:cs="FrankRuehl" w:hint="cs"/>
          <w:rtl/>
        </w:rPr>
        <w:t>הריגה);</w:t>
      </w:r>
    </w:p>
    <w:p w:rsidR="00844851" w:rsidRDefault="00844851">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ס</w:t>
      </w:r>
      <w:r>
        <w:rPr>
          <w:rStyle w:val="default"/>
          <w:rFonts w:cs="FrankRuehl" w:hint="cs"/>
          <w:rtl/>
        </w:rPr>
        <w:t xml:space="preserve">עיף 214 </w:t>
      </w:r>
      <w:r>
        <w:rPr>
          <w:rStyle w:val="default"/>
          <w:rFonts w:cs="FrankRuehl"/>
          <w:rtl/>
        </w:rPr>
        <w:t>– (</w:t>
      </w:r>
      <w:r>
        <w:rPr>
          <w:rStyle w:val="default"/>
          <w:rFonts w:cs="FrankRuehl" w:hint="cs"/>
          <w:rtl/>
        </w:rPr>
        <w:t>רצח);</w:t>
      </w:r>
    </w:p>
    <w:p w:rsidR="00844851" w:rsidRDefault="00844851">
      <w:pPr>
        <w:pStyle w:val="P22"/>
        <w:spacing w:before="72"/>
        <w:ind w:left="1021" w:right="1134"/>
        <w:rPr>
          <w:rStyle w:val="default"/>
          <w:rFonts w:cs="FrankRuehl"/>
          <w:rtl/>
        </w:rPr>
      </w:pPr>
      <w:r>
        <w:rPr>
          <w:rStyle w:val="default"/>
          <w:rFonts w:cs="FrankRuehl" w:hint="cs"/>
          <w:rtl/>
        </w:rPr>
        <w:lastRenderedPageBreak/>
        <w:t>(</w:t>
      </w:r>
      <w:r>
        <w:rPr>
          <w:rStyle w:val="default"/>
          <w:rFonts w:cs="FrankRuehl"/>
          <w:rtl/>
        </w:rPr>
        <w:t>ז</w:t>
      </w:r>
      <w:r>
        <w:rPr>
          <w:rStyle w:val="default"/>
          <w:rFonts w:cs="FrankRuehl" w:hint="cs"/>
          <w:rtl/>
        </w:rPr>
        <w:t>)</w:t>
      </w:r>
      <w:r>
        <w:rPr>
          <w:rStyle w:val="default"/>
          <w:rFonts w:cs="FrankRuehl"/>
          <w:rtl/>
        </w:rPr>
        <w:tab/>
        <w:t>ס</w:t>
      </w:r>
      <w:r>
        <w:rPr>
          <w:rStyle w:val="default"/>
          <w:rFonts w:cs="FrankRuehl" w:hint="cs"/>
          <w:rtl/>
        </w:rPr>
        <w:t xml:space="preserve">עיף 222 </w:t>
      </w:r>
      <w:r>
        <w:rPr>
          <w:rStyle w:val="default"/>
          <w:rFonts w:cs="FrankRuehl"/>
          <w:rtl/>
        </w:rPr>
        <w:t>– (</w:t>
      </w:r>
      <w:r>
        <w:rPr>
          <w:rStyle w:val="default"/>
          <w:rFonts w:cs="FrankRuehl" w:hint="cs"/>
          <w:rtl/>
        </w:rPr>
        <w:t>נסיון לרצח);</w:t>
      </w:r>
    </w:p>
    <w:p w:rsidR="00844851" w:rsidRDefault="00844851">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ס</w:t>
      </w:r>
      <w:r>
        <w:rPr>
          <w:rStyle w:val="default"/>
          <w:rFonts w:cs="FrankRuehl" w:hint="cs"/>
          <w:rtl/>
        </w:rPr>
        <w:t xml:space="preserve">עיף 235 </w:t>
      </w:r>
      <w:r>
        <w:rPr>
          <w:rStyle w:val="default"/>
          <w:rFonts w:cs="FrankRuehl"/>
          <w:rtl/>
        </w:rPr>
        <w:t>– (</w:t>
      </w:r>
      <w:r>
        <w:rPr>
          <w:rStyle w:val="default"/>
          <w:rFonts w:cs="FrankRuehl" w:hint="cs"/>
          <w:rtl/>
        </w:rPr>
        <w:t>מעשים המכוונים לגרום חבלה חמורה או למנוע מאסר);</w:t>
      </w:r>
    </w:p>
    <w:p w:rsidR="00844851" w:rsidRDefault="00844851">
      <w:pPr>
        <w:pStyle w:val="P22"/>
        <w:spacing w:before="72"/>
        <w:ind w:left="1021"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ס</w:t>
      </w:r>
      <w:r>
        <w:rPr>
          <w:rStyle w:val="default"/>
          <w:rFonts w:cs="FrankRuehl" w:hint="cs"/>
          <w:rtl/>
        </w:rPr>
        <w:t xml:space="preserve">עיף 236 </w:t>
      </w:r>
      <w:r>
        <w:rPr>
          <w:rStyle w:val="default"/>
          <w:rFonts w:cs="FrankRuehl"/>
          <w:rtl/>
        </w:rPr>
        <w:t>– (</w:t>
      </w:r>
      <w:r>
        <w:rPr>
          <w:rStyle w:val="default"/>
          <w:rFonts w:cs="FrankRuehl" w:hint="cs"/>
          <w:rtl/>
        </w:rPr>
        <w:t>מניעת מנוסת</w:t>
      </w:r>
      <w:r>
        <w:rPr>
          <w:rStyle w:val="default"/>
          <w:rFonts w:cs="FrankRuehl"/>
          <w:rtl/>
        </w:rPr>
        <w:t xml:space="preserve">ו </w:t>
      </w:r>
      <w:r>
        <w:rPr>
          <w:rStyle w:val="default"/>
          <w:rFonts w:cs="FrankRuehl" w:hint="cs"/>
          <w:rtl/>
        </w:rPr>
        <w:t>של אדם מספינה שנטרפה בים);</w:t>
      </w:r>
    </w:p>
    <w:p w:rsidR="00844851" w:rsidRDefault="00844851">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w:t>
      </w:r>
      <w:r>
        <w:rPr>
          <w:rStyle w:val="default"/>
          <w:rFonts w:cs="FrankRuehl"/>
          <w:rtl/>
        </w:rPr>
        <w:tab/>
        <w:t>ס</w:t>
      </w:r>
      <w:r>
        <w:rPr>
          <w:rStyle w:val="default"/>
          <w:rFonts w:cs="FrankRuehl" w:hint="cs"/>
          <w:rtl/>
        </w:rPr>
        <w:t xml:space="preserve">עיף 238 </w:t>
      </w:r>
      <w:r>
        <w:rPr>
          <w:rStyle w:val="default"/>
          <w:rFonts w:cs="FrankRuehl"/>
          <w:rtl/>
        </w:rPr>
        <w:t>– (</w:t>
      </w:r>
      <w:r>
        <w:rPr>
          <w:rStyle w:val="default"/>
          <w:rFonts w:cs="FrankRuehl" w:hint="cs"/>
          <w:rtl/>
        </w:rPr>
        <w:t>חבלה חמורה);</w:t>
      </w:r>
    </w:p>
    <w:p w:rsidR="00844851" w:rsidRDefault="00844851">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א)</w:t>
      </w:r>
      <w:r>
        <w:rPr>
          <w:rStyle w:val="default"/>
          <w:rFonts w:cs="FrankRuehl"/>
          <w:rtl/>
        </w:rPr>
        <w:tab/>
        <w:t>ס</w:t>
      </w:r>
      <w:r>
        <w:rPr>
          <w:rStyle w:val="default"/>
          <w:rFonts w:cs="FrankRuehl" w:hint="cs"/>
          <w:rtl/>
        </w:rPr>
        <w:t xml:space="preserve">עיף 240 </w:t>
      </w:r>
      <w:r>
        <w:rPr>
          <w:rStyle w:val="default"/>
          <w:rFonts w:cs="FrankRuehl"/>
          <w:rtl/>
        </w:rPr>
        <w:t>– (</w:t>
      </w:r>
      <w:r>
        <w:rPr>
          <w:rStyle w:val="default"/>
          <w:rFonts w:cs="FrankRuehl" w:hint="cs"/>
          <w:rtl/>
        </w:rPr>
        <w:t>השקאת רעל בצדיה מתוך כוונה להזיק);</w:t>
      </w:r>
    </w:p>
    <w:p w:rsidR="00844851" w:rsidRDefault="00844851">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ב)</w:t>
      </w:r>
      <w:r>
        <w:rPr>
          <w:rStyle w:val="default"/>
          <w:rFonts w:cs="FrankRuehl"/>
          <w:rtl/>
        </w:rPr>
        <w:tab/>
        <w:t>ס</w:t>
      </w:r>
      <w:r>
        <w:rPr>
          <w:rStyle w:val="default"/>
          <w:rFonts w:cs="FrankRuehl" w:hint="cs"/>
          <w:rtl/>
        </w:rPr>
        <w:t xml:space="preserve">עיף 256 </w:t>
      </w:r>
      <w:r>
        <w:rPr>
          <w:rStyle w:val="default"/>
          <w:rFonts w:cs="FrankRuehl"/>
          <w:rtl/>
        </w:rPr>
        <w:t>– (</w:t>
      </w:r>
      <w:r>
        <w:rPr>
          <w:rStyle w:val="default"/>
          <w:rFonts w:cs="FrankRuehl" w:hint="cs"/>
          <w:rtl/>
        </w:rPr>
        <w:t>חטיפת אדם כדי לדצחו);</w:t>
      </w:r>
    </w:p>
    <w:p w:rsidR="00844851" w:rsidRDefault="00844851">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ג)</w:t>
      </w:r>
      <w:r>
        <w:rPr>
          <w:rStyle w:val="default"/>
          <w:rFonts w:cs="FrankRuehl"/>
          <w:rtl/>
        </w:rPr>
        <w:tab/>
        <w:t>ס</w:t>
      </w:r>
      <w:r>
        <w:rPr>
          <w:rStyle w:val="default"/>
          <w:rFonts w:cs="FrankRuehl" w:hint="cs"/>
          <w:rtl/>
        </w:rPr>
        <w:t xml:space="preserve">עיף 258 </w:t>
      </w:r>
      <w:r>
        <w:rPr>
          <w:rStyle w:val="default"/>
          <w:rFonts w:cs="FrankRuehl"/>
          <w:rtl/>
        </w:rPr>
        <w:t>– (</w:t>
      </w:r>
      <w:r>
        <w:rPr>
          <w:rStyle w:val="default"/>
          <w:rFonts w:cs="FrankRuehl" w:hint="cs"/>
          <w:rtl/>
        </w:rPr>
        <w:t>חטיפת אדם כדי לחבול בו חבלה חמורה);</w:t>
      </w:r>
    </w:p>
    <w:p w:rsidR="00844851" w:rsidRDefault="00844851">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ד)</w:t>
      </w:r>
      <w:r>
        <w:rPr>
          <w:rStyle w:val="default"/>
          <w:rFonts w:cs="FrankRuehl"/>
          <w:rtl/>
        </w:rPr>
        <w:tab/>
        <w:t>ס</w:t>
      </w:r>
      <w:r>
        <w:rPr>
          <w:rStyle w:val="default"/>
          <w:rFonts w:cs="FrankRuehl" w:hint="cs"/>
          <w:rtl/>
        </w:rPr>
        <w:t xml:space="preserve">עיף 288 </w:t>
      </w:r>
      <w:r>
        <w:rPr>
          <w:rStyle w:val="default"/>
          <w:rFonts w:cs="FrankRuehl"/>
          <w:rtl/>
        </w:rPr>
        <w:t>– (</w:t>
      </w:r>
      <w:r>
        <w:rPr>
          <w:rStyle w:val="default"/>
          <w:rFonts w:cs="FrankRuehl" w:hint="cs"/>
          <w:rtl/>
        </w:rPr>
        <w:t>שוד ונסיון לשוד);</w:t>
      </w:r>
    </w:p>
    <w:p w:rsidR="00844851" w:rsidRDefault="00844851">
      <w:pPr>
        <w:pStyle w:val="P22"/>
        <w:spacing w:before="72"/>
        <w:ind w:left="1021"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ו)</w:t>
      </w:r>
      <w:r>
        <w:rPr>
          <w:rStyle w:val="default"/>
          <w:rFonts w:cs="FrankRuehl"/>
          <w:rtl/>
        </w:rPr>
        <w:tab/>
        <w:t>ס</w:t>
      </w:r>
      <w:r>
        <w:rPr>
          <w:rStyle w:val="default"/>
          <w:rFonts w:cs="FrankRuehl" w:hint="cs"/>
          <w:rtl/>
        </w:rPr>
        <w:t xml:space="preserve">עיף 293 </w:t>
      </w:r>
      <w:r>
        <w:rPr>
          <w:rStyle w:val="default"/>
          <w:rFonts w:cs="FrankRuehl"/>
          <w:rtl/>
        </w:rPr>
        <w:t>– (</w:t>
      </w:r>
      <w:r>
        <w:rPr>
          <w:rStyle w:val="default"/>
          <w:rFonts w:cs="FrankRuehl" w:hint="cs"/>
          <w:rtl/>
        </w:rPr>
        <w:t>דר</w:t>
      </w:r>
      <w:r>
        <w:rPr>
          <w:rStyle w:val="default"/>
          <w:rFonts w:cs="FrankRuehl"/>
          <w:rtl/>
        </w:rPr>
        <w:t>יש</w:t>
      </w:r>
      <w:r>
        <w:rPr>
          <w:rStyle w:val="default"/>
          <w:rFonts w:cs="FrankRuehl" w:hint="cs"/>
          <w:rtl/>
        </w:rPr>
        <w:t>ת רכוש באיום על מנת לגנבו).</w:t>
      </w:r>
    </w:p>
    <w:p w:rsidR="00844851" w:rsidRDefault="00844851">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6.15pt;z-index:251651072" o:allowincell="f" filled="f" stroked="f" strokecolor="lime" strokeweight=".25pt">
            <v:textbox inset="0,0,0,0">
              <w:txbxContent>
                <w:p w:rsidR="00844851" w:rsidRDefault="00844851">
                  <w:pPr>
                    <w:spacing w:line="160" w:lineRule="exact"/>
                    <w:jc w:val="left"/>
                    <w:rPr>
                      <w:rFonts w:cs="Miriam"/>
                      <w:noProof/>
                      <w:sz w:val="18"/>
                      <w:szCs w:val="18"/>
                      <w:rtl/>
                    </w:rPr>
                  </w:pPr>
                  <w:r>
                    <w:rPr>
                      <w:rFonts w:cs="Miriam"/>
                      <w:sz w:val="18"/>
                      <w:szCs w:val="18"/>
                      <w:rtl/>
                    </w:rPr>
                    <w:t>חב</w:t>
                  </w:r>
                  <w:r>
                    <w:rPr>
                      <w:rFonts w:cs="Miriam" w:hint="cs"/>
                      <w:sz w:val="18"/>
                      <w:szCs w:val="18"/>
                      <w:rtl/>
                    </w:rPr>
                    <w:t>רות בארגון עוין</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דם שבתקופת השלטון הנאצי, בארץ עויינת, היה חבר בארגון עויין, או נשא משרה או מילא תפקיד בארגון כזה, דינו </w:t>
      </w:r>
      <w:r>
        <w:rPr>
          <w:rStyle w:val="default"/>
          <w:rFonts w:cs="FrankRuehl"/>
          <w:rtl/>
        </w:rPr>
        <w:t xml:space="preserve">– </w:t>
      </w:r>
      <w:r>
        <w:rPr>
          <w:rStyle w:val="default"/>
          <w:rFonts w:cs="FrankRuehl" w:hint="cs"/>
          <w:rtl/>
        </w:rPr>
        <w:t>מאסר עד שבע שנים.</w:t>
      </w:r>
    </w:p>
    <w:p w:rsidR="00844851" w:rsidRDefault="008448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סעיף זה "ארגון עויין" פירושו </w:t>
      </w:r>
      <w:r>
        <w:rPr>
          <w:rStyle w:val="default"/>
          <w:rFonts w:cs="FrankRuehl"/>
          <w:rtl/>
        </w:rPr>
        <w:t>–</w:t>
      </w:r>
    </w:p>
    <w:p w:rsidR="00844851" w:rsidRDefault="00844851">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בר בני אדם אשר בהתאם לסעיף 9 ממגילת בית הדין הצבאי ה</w:t>
      </w:r>
      <w:r>
        <w:rPr>
          <w:rStyle w:val="default"/>
          <w:rFonts w:cs="FrankRuehl"/>
          <w:rtl/>
        </w:rPr>
        <w:t>בי</w:t>
      </w:r>
      <w:r>
        <w:rPr>
          <w:rStyle w:val="default"/>
          <w:rFonts w:cs="FrankRuehl" w:hint="cs"/>
          <w:rtl/>
        </w:rPr>
        <w:t>נלאומי, המצורפת להסכם ארבע המעצמות מיום 8 באוגוסט 1945 בדבר שפיטתם של פוש</w:t>
      </w:r>
      <w:r>
        <w:rPr>
          <w:rStyle w:val="default"/>
          <w:rFonts w:cs="FrankRuehl"/>
          <w:rtl/>
        </w:rPr>
        <w:t>ע</w:t>
      </w:r>
      <w:r>
        <w:rPr>
          <w:rStyle w:val="default"/>
          <w:rFonts w:cs="FrankRuehl" w:hint="cs"/>
          <w:rtl/>
        </w:rPr>
        <w:t>י המלחמה הראשיים, הוכרז בארגון פושע בפסק דינו של בית דין זה;</w:t>
      </w:r>
    </w:p>
    <w:p w:rsidR="00844851" w:rsidRDefault="00844851">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חבר אחר של בני אדם שהיה קיים בארץ עויינת ושמטרתו או אחת ממטרותיו היתה לבצע פעולות של שלטון עויין המכוונות נגד בנ</w:t>
      </w:r>
      <w:r>
        <w:rPr>
          <w:rStyle w:val="default"/>
          <w:rFonts w:cs="FrankRuehl"/>
          <w:rtl/>
        </w:rPr>
        <w:t xml:space="preserve">י </w:t>
      </w:r>
      <w:r>
        <w:rPr>
          <w:rStyle w:val="default"/>
          <w:rFonts w:cs="FrankRuehl" w:hint="cs"/>
          <w:rtl/>
        </w:rPr>
        <w:t>אדם נרדפים, או לסייע בביצוע פעולות כאלה.</w:t>
      </w:r>
    </w:p>
    <w:p w:rsidR="00844851" w:rsidRDefault="00844851">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7.55pt;z-index:251652096" o:allowincell="f" filled="f" stroked="f" strokecolor="lime" strokeweight=".25pt">
            <v:textbox inset="0,0,0,0">
              <w:txbxContent>
                <w:p w:rsidR="00844851" w:rsidRDefault="00844851">
                  <w:pPr>
                    <w:spacing w:line="160" w:lineRule="exact"/>
                    <w:jc w:val="left"/>
                    <w:rPr>
                      <w:rFonts w:cs="Miriam"/>
                      <w:noProof/>
                      <w:sz w:val="18"/>
                      <w:szCs w:val="18"/>
                      <w:rtl/>
                    </w:rPr>
                  </w:pPr>
                  <w:r>
                    <w:rPr>
                      <w:rFonts w:cs="Miriam"/>
                      <w:sz w:val="18"/>
                      <w:szCs w:val="18"/>
                      <w:rtl/>
                    </w:rPr>
                    <w:t>עב</w:t>
                  </w:r>
                  <w:r>
                    <w:rPr>
                      <w:rFonts w:cs="Miriam" w:hint="cs"/>
                      <w:sz w:val="18"/>
                      <w:szCs w:val="18"/>
                      <w:rtl/>
                    </w:rPr>
                    <w:t>ירות במקומות הסגר</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w:t>
      </w:r>
      <w:r>
        <w:rPr>
          <w:rStyle w:val="default"/>
          <w:rFonts w:cs="FrankRuehl"/>
          <w:rtl/>
        </w:rPr>
        <w:t>ם</w:t>
      </w:r>
      <w:r>
        <w:rPr>
          <w:rStyle w:val="default"/>
          <w:rFonts w:cs="FrankRuehl" w:hint="cs"/>
          <w:rtl/>
        </w:rPr>
        <w:t xml:space="preserve"> שבתקופת השלטון הנאצי, בארץ עויינת, בהיותו ממלא תפקיד במקום הסגר מטעם שלטון עויין, או מטעם הממונה על אותו מקום הסגר, עשה מעשה כלפי אדם נרדף באותו מקום הסגר, שאילו עשהו בשטח ישראל היה אשם בעבירה על פי אח</w:t>
      </w:r>
      <w:r>
        <w:rPr>
          <w:rStyle w:val="default"/>
          <w:rFonts w:cs="FrankRuehl"/>
          <w:rtl/>
        </w:rPr>
        <w:t xml:space="preserve">ד </w:t>
      </w:r>
      <w:r>
        <w:rPr>
          <w:rStyle w:val="default"/>
          <w:rFonts w:cs="FrankRuehl" w:hint="cs"/>
          <w:rtl/>
        </w:rPr>
        <w:t>מסעיפי החוק הפלילי המנויים להלן, יאשם בעבירה לפי חו</w:t>
      </w:r>
      <w:r>
        <w:rPr>
          <w:rStyle w:val="default"/>
          <w:rFonts w:cs="FrankRuehl"/>
          <w:rtl/>
        </w:rPr>
        <w:t>ק</w:t>
      </w:r>
      <w:r>
        <w:rPr>
          <w:rStyle w:val="default"/>
          <w:rFonts w:cs="FrankRuehl" w:hint="cs"/>
          <w:rtl/>
        </w:rPr>
        <w:t xml:space="preserve"> זה, ויהיה צפוי לאותו עונש שהיה צפוי לו אילו עשה את המעשה בשטח ישראל. ואלה הסעיפים:</w:t>
      </w:r>
    </w:p>
    <w:p w:rsidR="00844851" w:rsidRDefault="00844851">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 xml:space="preserve">עיף 100(ג) </w:t>
      </w:r>
      <w:r>
        <w:rPr>
          <w:rStyle w:val="default"/>
          <w:rFonts w:cs="FrankRuehl"/>
          <w:rtl/>
        </w:rPr>
        <w:t>– (</w:t>
      </w:r>
      <w:r>
        <w:rPr>
          <w:rStyle w:val="default"/>
          <w:rFonts w:cs="FrankRuehl" w:hint="cs"/>
          <w:rtl/>
        </w:rPr>
        <w:t>איום במעשה אלימות);</w:t>
      </w:r>
    </w:p>
    <w:p w:rsidR="00844851" w:rsidRDefault="00844851">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 xml:space="preserve">עיף 162 </w:t>
      </w:r>
      <w:r>
        <w:rPr>
          <w:rStyle w:val="default"/>
          <w:rFonts w:cs="FrankRuehl"/>
          <w:rtl/>
        </w:rPr>
        <w:t>– (</w:t>
      </w:r>
      <w:r>
        <w:rPr>
          <w:rStyle w:val="default"/>
          <w:rFonts w:cs="FrankRuehl" w:hint="cs"/>
          <w:rtl/>
        </w:rPr>
        <w:t>שידול לבעילת נשים על ידי איומים, תרמית או השקאת סמים);</w:t>
      </w:r>
    </w:p>
    <w:p w:rsidR="00844851" w:rsidRDefault="00844851">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עיף</w:t>
      </w:r>
      <w:r>
        <w:rPr>
          <w:rStyle w:val="default"/>
          <w:rFonts w:cs="FrankRuehl"/>
          <w:rtl/>
        </w:rPr>
        <w:t xml:space="preserve"> 241 – (</w:t>
      </w:r>
      <w:r>
        <w:rPr>
          <w:rStyle w:val="default"/>
          <w:rFonts w:cs="FrankRuehl" w:hint="cs"/>
          <w:rtl/>
        </w:rPr>
        <w:t>חבלה וכיוצא בזה);</w:t>
      </w:r>
    </w:p>
    <w:p w:rsidR="00844851" w:rsidRDefault="00844851">
      <w:pPr>
        <w:pStyle w:val="P22"/>
        <w:spacing w:before="72"/>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 xml:space="preserve">עיף 242 </w:t>
      </w:r>
      <w:r>
        <w:rPr>
          <w:rStyle w:val="default"/>
          <w:rFonts w:cs="FrankRuehl"/>
          <w:rtl/>
        </w:rPr>
        <w:t>– (</w:t>
      </w:r>
      <w:r>
        <w:rPr>
          <w:rStyle w:val="default"/>
          <w:rFonts w:cs="FrankRuehl" w:hint="cs"/>
          <w:rtl/>
        </w:rPr>
        <w:t>אי סיפוק צרכים);</w:t>
      </w:r>
    </w:p>
    <w:p w:rsidR="00844851" w:rsidRDefault="00844851">
      <w:pPr>
        <w:pStyle w:val="P22"/>
        <w:spacing w:before="72"/>
        <w:ind w:left="1021" w:right="1134"/>
        <w:rPr>
          <w:rStyle w:val="default"/>
          <w:rFonts w:cs="FrankRuehl"/>
          <w:rtl/>
        </w:rPr>
      </w:pPr>
      <w:r>
        <w:rPr>
          <w:rStyle w:val="default"/>
          <w:rFonts w:cs="FrankRuehl" w:hint="cs"/>
          <w:rtl/>
        </w:rPr>
        <w:t>(5)</w:t>
      </w:r>
      <w:r>
        <w:rPr>
          <w:rStyle w:val="default"/>
          <w:rFonts w:cs="FrankRuehl"/>
          <w:rtl/>
        </w:rPr>
        <w:tab/>
        <w:t>ס</w:t>
      </w:r>
      <w:r>
        <w:rPr>
          <w:rStyle w:val="default"/>
          <w:rFonts w:cs="FrankRuehl" w:hint="cs"/>
          <w:rtl/>
        </w:rPr>
        <w:t xml:space="preserve">עיף 249 </w:t>
      </w:r>
      <w:r>
        <w:rPr>
          <w:rStyle w:val="default"/>
          <w:rFonts w:cs="FrankRuehl"/>
          <w:rtl/>
        </w:rPr>
        <w:t>– (</w:t>
      </w:r>
      <w:r>
        <w:rPr>
          <w:rStyle w:val="default"/>
          <w:rFonts w:cs="FrankRuehl" w:hint="cs"/>
          <w:rtl/>
        </w:rPr>
        <w:t>תקיפה סתם);</w:t>
      </w:r>
    </w:p>
    <w:p w:rsidR="00844851" w:rsidRDefault="00844851">
      <w:pPr>
        <w:pStyle w:val="P22"/>
        <w:spacing w:before="72"/>
        <w:ind w:left="1021" w:right="1134"/>
        <w:rPr>
          <w:rStyle w:val="default"/>
          <w:rFonts w:cs="FrankRuehl"/>
          <w:rtl/>
        </w:rPr>
      </w:pPr>
      <w:r>
        <w:rPr>
          <w:rStyle w:val="default"/>
          <w:rFonts w:cs="FrankRuehl" w:hint="cs"/>
          <w:rtl/>
        </w:rPr>
        <w:t>(6)</w:t>
      </w:r>
      <w:r>
        <w:rPr>
          <w:rStyle w:val="default"/>
          <w:rFonts w:cs="FrankRuehl"/>
          <w:rtl/>
        </w:rPr>
        <w:tab/>
        <w:t>ס</w:t>
      </w:r>
      <w:r>
        <w:rPr>
          <w:rStyle w:val="default"/>
          <w:rFonts w:cs="FrankRuehl" w:hint="cs"/>
          <w:rtl/>
        </w:rPr>
        <w:t xml:space="preserve">עיף 250 </w:t>
      </w:r>
      <w:r>
        <w:rPr>
          <w:rStyle w:val="default"/>
          <w:rFonts w:cs="FrankRuehl"/>
          <w:rtl/>
        </w:rPr>
        <w:t>– (</w:t>
      </w:r>
      <w:r>
        <w:rPr>
          <w:rStyle w:val="default"/>
          <w:rFonts w:cs="FrankRuehl" w:hint="cs"/>
          <w:rtl/>
        </w:rPr>
        <w:t>תקיפה הגורמת חבלה גופנית ממש);</w:t>
      </w:r>
    </w:p>
    <w:p w:rsidR="00844851" w:rsidRDefault="00844851">
      <w:pPr>
        <w:pStyle w:val="P22"/>
        <w:spacing w:before="72"/>
        <w:ind w:left="1021" w:right="1134"/>
        <w:rPr>
          <w:rStyle w:val="default"/>
          <w:rFonts w:cs="FrankRuehl"/>
          <w:rtl/>
        </w:rPr>
      </w:pPr>
      <w:r>
        <w:rPr>
          <w:rStyle w:val="default"/>
          <w:rFonts w:cs="FrankRuehl" w:hint="cs"/>
          <w:rtl/>
        </w:rPr>
        <w:t>(7)</w:t>
      </w:r>
      <w:r>
        <w:rPr>
          <w:rStyle w:val="default"/>
          <w:rFonts w:cs="FrankRuehl"/>
          <w:rtl/>
        </w:rPr>
        <w:tab/>
        <w:t>ס</w:t>
      </w:r>
      <w:r>
        <w:rPr>
          <w:rStyle w:val="default"/>
          <w:rFonts w:cs="FrankRuehl" w:hint="cs"/>
          <w:rtl/>
        </w:rPr>
        <w:t xml:space="preserve">עיף 261 </w:t>
      </w:r>
      <w:r>
        <w:rPr>
          <w:rStyle w:val="default"/>
          <w:rFonts w:cs="FrankRuehl"/>
          <w:rtl/>
        </w:rPr>
        <w:t>– (</w:t>
      </w:r>
      <w:r>
        <w:rPr>
          <w:rStyle w:val="default"/>
          <w:rFonts w:cs="FrankRuehl" w:hint="cs"/>
          <w:rtl/>
        </w:rPr>
        <w:t>כפיית עבודה);</w:t>
      </w:r>
    </w:p>
    <w:p w:rsidR="00844851" w:rsidRDefault="00844851">
      <w:pPr>
        <w:pStyle w:val="P22"/>
        <w:spacing w:before="72"/>
        <w:ind w:left="1021" w:right="1134"/>
        <w:rPr>
          <w:rStyle w:val="default"/>
          <w:rFonts w:cs="FrankRuehl"/>
          <w:rtl/>
        </w:rPr>
      </w:pPr>
      <w:r>
        <w:rPr>
          <w:rStyle w:val="default"/>
          <w:rFonts w:cs="FrankRuehl" w:hint="cs"/>
          <w:rtl/>
        </w:rPr>
        <w:t>(8)</w:t>
      </w:r>
      <w:r>
        <w:rPr>
          <w:rStyle w:val="default"/>
          <w:rFonts w:cs="FrankRuehl"/>
          <w:rtl/>
        </w:rPr>
        <w:tab/>
        <w:t>ס</w:t>
      </w:r>
      <w:r>
        <w:rPr>
          <w:rStyle w:val="default"/>
          <w:rFonts w:cs="FrankRuehl" w:hint="cs"/>
          <w:rtl/>
        </w:rPr>
        <w:t xml:space="preserve">עיף 270 </w:t>
      </w:r>
      <w:r>
        <w:rPr>
          <w:rStyle w:val="default"/>
          <w:rFonts w:cs="FrankRuehl"/>
          <w:rtl/>
        </w:rPr>
        <w:t>– (</w:t>
      </w:r>
      <w:r>
        <w:rPr>
          <w:rStyle w:val="default"/>
          <w:rFonts w:cs="FrankRuehl" w:hint="cs"/>
          <w:rtl/>
        </w:rPr>
        <w:t>גניבה).</w:t>
      </w:r>
    </w:p>
    <w:p w:rsidR="00844851" w:rsidRDefault="008448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 xml:space="preserve">מקום הסגר" פירושו, בסעיף זה </w:t>
      </w:r>
      <w:r>
        <w:rPr>
          <w:rStyle w:val="default"/>
          <w:rFonts w:cs="FrankRuehl"/>
          <w:rtl/>
        </w:rPr>
        <w:t xml:space="preserve">– </w:t>
      </w:r>
      <w:r>
        <w:rPr>
          <w:rStyle w:val="default"/>
          <w:rFonts w:cs="FrankRuehl" w:hint="cs"/>
          <w:rtl/>
        </w:rPr>
        <w:t>כל מק</w:t>
      </w:r>
      <w:r>
        <w:rPr>
          <w:rStyle w:val="default"/>
          <w:rFonts w:cs="FrankRuehl"/>
          <w:rtl/>
        </w:rPr>
        <w:t>ום</w:t>
      </w:r>
      <w:r>
        <w:rPr>
          <w:rStyle w:val="default"/>
          <w:rFonts w:cs="FrankRuehl" w:hint="cs"/>
          <w:rtl/>
        </w:rPr>
        <w:t xml:space="preserve"> בארץ עויינת שהיה מיועד, לפי פקודת שלטון עויין, לבנ</w:t>
      </w:r>
      <w:r>
        <w:rPr>
          <w:rStyle w:val="default"/>
          <w:rFonts w:cs="FrankRuehl"/>
          <w:rtl/>
        </w:rPr>
        <w:t>י</w:t>
      </w:r>
      <w:r>
        <w:rPr>
          <w:rStyle w:val="default"/>
          <w:rFonts w:cs="FrankRuehl" w:hint="cs"/>
          <w:rtl/>
        </w:rPr>
        <w:t xml:space="preserve"> אדם נרדפים, וכולל כל חלק של מקום כזה.</w:t>
      </w:r>
    </w:p>
    <w:p w:rsidR="00844851" w:rsidRDefault="00844851">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1.95pt;z-index:251653120" o:allowincell="f" filled="f" stroked="f" strokecolor="lime" strokeweight=".25pt">
            <v:textbox inset="0,0,0,0">
              <w:txbxContent>
                <w:p w:rsidR="00844851" w:rsidRDefault="00844851">
                  <w:pPr>
                    <w:spacing w:line="160" w:lineRule="exact"/>
                    <w:jc w:val="left"/>
                    <w:rPr>
                      <w:rFonts w:cs="Miriam"/>
                      <w:noProof/>
                      <w:sz w:val="18"/>
                      <w:szCs w:val="18"/>
                      <w:rtl/>
                    </w:rPr>
                  </w:pPr>
                  <w:r>
                    <w:rPr>
                      <w:rFonts w:cs="Miriam"/>
                      <w:sz w:val="18"/>
                      <w:szCs w:val="18"/>
                      <w:rtl/>
                    </w:rPr>
                    <w:t>מס</w:t>
                  </w:r>
                  <w:r>
                    <w:rPr>
                      <w:rFonts w:cs="Miriam" w:hint="cs"/>
                      <w:sz w:val="18"/>
                      <w:szCs w:val="18"/>
                      <w:rtl/>
                    </w:rPr>
                    <w:t>ירת אדם נרדף לשלטון עויין</w:t>
                  </w:r>
                </w:p>
              </w:txbxContent>
            </v:textbox>
            <w10:anchorlock/>
          </v:rect>
        </w:pict>
      </w:r>
      <w:r>
        <w:rPr>
          <w:rStyle w:val="big-number"/>
          <w:rFonts w:cs="Miriam"/>
          <w:rtl/>
        </w:rPr>
        <w:t>5.</w:t>
      </w:r>
      <w:r>
        <w:rPr>
          <w:rStyle w:val="big-number"/>
          <w:rFonts w:cs="Miriam"/>
          <w:rtl/>
        </w:rPr>
        <w:tab/>
      </w:r>
      <w:r>
        <w:rPr>
          <w:rStyle w:val="default"/>
          <w:rFonts w:cs="FrankRuehl"/>
          <w:rtl/>
        </w:rPr>
        <w:t>אד</w:t>
      </w:r>
      <w:r>
        <w:rPr>
          <w:rStyle w:val="default"/>
          <w:rFonts w:cs="FrankRuehl" w:hint="cs"/>
          <w:rtl/>
        </w:rPr>
        <w:t xml:space="preserve">ם שבתקופת השלטון הנאצי, בארץ עויינת, נתן ידו למסירת אדם נרדף לשלטון עויין, דינו </w:t>
      </w:r>
      <w:r>
        <w:rPr>
          <w:rStyle w:val="default"/>
          <w:rFonts w:cs="FrankRuehl"/>
          <w:rtl/>
        </w:rPr>
        <w:t xml:space="preserve">– </w:t>
      </w:r>
      <w:r>
        <w:rPr>
          <w:rStyle w:val="default"/>
          <w:rFonts w:cs="FrankRuehl" w:hint="cs"/>
          <w:rtl/>
        </w:rPr>
        <w:t>מאסר עד עשר שנים.</w:t>
      </w:r>
    </w:p>
    <w:p w:rsidR="00844851" w:rsidRDefault="00844851">
      <w:pPr>
        <w:pStyle w:val="P00"/>
        <w:spacing w:before="72"/>
        <w:ind w:left="0" w:right="1134"/>
        <w:rPr>
          <w:rStyle w:val="default"/>
          <w:rFonts w:cs="FrankRuehl" w:hint="cs"/>
          <w:rtl/>
        </w:rPr>
      </w:pPr>
      <w:bookmarkStart w:id="5" w:name="Seif5"/>
      <w:bookmarkEnd w:id="5"/>
      <w:r>
        <w:rPr>
          <w:lang w:val="he-IL"/>
        </w:rPr>
        <w:pict>
          <v:rect id="_x0000_s1031" style="position:absolute;left:0;text-align:left;margin-left:464.5pt;margin-top:8.05pt;width:75.05pt;height:20.7pt;z-index:251654144" o:allowincell="f" filled="f" stroked="f" strokecolor="lime" strokeweight=".25pt">
            <v:textbox inset="0,0,0,0">
              <w:txbxContent>
                <w:p w:rsidR="00844851" w:rsidRDefault="00844851">
                  <w:pPr>
                    <w:spacing w:line="160" w:lineRule="exact"/>
                    <w:jc w:val="left"/>
                    <w:rPr>
                      <w:rFonts w:cs="Miriam"/>
                      <w:noProof/>
                      <w:sz w:val="18"/>
                      <w:szCs w:val="18"/>
                      <w:rtl/>
                    </w:rPr>
                  </w:pPr>
                  <w:r>
                    <w:rPr>
                      <w:rFonts w:cs="Miriam"/>
                      <w:sz w:val="18"/>
                      <w:szCs w:val="18"/>
                      <w:rtl/>
                    </w:rPr>
                    <w:t>סח</w:t>
                  </w:r>
                  <w:r>
                    <w:rPr>
                      <w:rFonts w:cs="Miriam" w:hint="cs"/>
                      <w:sz w:val="18"/>
                      <w:szCs w:val="18"/>
                      <w:rtl/>
                    </w:rPr>
                    <w:t>יטה מבני אדם נרדפים</w:t>
                  </w:r>
                </w:p>
              </w:txbxContent>
            </v:textbox>
            <w10:anchorlock/>
          </v:rect>
        </w:pict>
      </w:r>
      <w:r>
        <w:rPr>
          <w:rStyle w:val="big-number"/>
          <w:rFonts w:cs="Miriam"/>
          <w:rtl/>
        </w:rPr>
        <w:t>6.</w:t>
      </w:r>
      <w:r>
        <w:rPr>
          <w:rStyle w:val="big-number"/>
          <w:rFonts w:cs="Miriam"/>
          <w:rtl/>
        </w:rPr>
        <w:tab/>
      </w:r>
      <w:r>
        <w:rPr>
          <w:rStyle w:val="default"/>
          <w:rFonts w:cs="FrankRuehl"/>
          <w:rtl/>
        </w:rPr>
        <w:t>אד</w:t>
      </w:r>
      <w:r>
        <w:rPr>
          <w:rStyle w:val="default"/>
          <w:rFonts w:cs="FrankRuehl" w:hint="cs"/>
          <w:rtl/>
        </w:rPr>
        <w:t>ם שבתקופת השלטון הנאצי, בארץ עויינת, קיבל או תבע טו</w:t>
      </w:r>
      <w:r>
        <w:rPr>
          <w:rStyle w:val="default"/>
          <w:rFonts w:cs="FrankRuehl"/>
          <w:rtl/>
        </w:rPr>
        <w:t>בת</w:t>
      </w:r>
      <w:r>
        <w:rPr>
          <w:rStyle w:val="default"/>
          <w:rFonts w:cs="FrankRuehl" w:hint="cs"/>
          <w:rtl/>
        </w:rPr>
        <w:t xml:space="preserve"> הנאה </w:t>
      </w:r>
      <w:r>
        <w:rPr>
          <w:rStyle w:val="default"/>
          <w:rFonts w:cs="FrankRuehl"/>
          <w:rtl/>
        </w:rPr>
        <w:t>–</w:t>
      </w:r>
    </w:p>
    <w:p w:rsidR="00844851" w:rsidRDefault="00844851" w:rsidP="006E5931">
      <w:pPr>
        <w:pStyle w:val="P00"/>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את אדם נרדף, באיימו עליו שימסור אותו, או ימסור אדם נרדף אחר, לשלטון עויין; או</w:t>
      </w:r>
    </w:p>
    <w:p w:rsidR="00844851" w:rsidRDefault="00844851" w:rsidP="006E5931">
      <w:pPr>
        <w:pStyle w:val="P00"/>
        <w:spacing w:before="72"/>
        <w:ind w:left="62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את אדם שנתן מחסה לאדם נרדף, באיימו עליו שימסור אותו, או את האדם הנרדף שבחסותו, לשלטון עויין,</w:t>
      </w:r>
    </w:p>
    <w:p w:rsidR="00844851" w:rsidRDefault="00844851">
      <w:pPr>
        <w:pStyle w:val="P00"/>
        <w:spacing w:before="72"/>
        <w:ind w:left="0" w:right="1134"/>
        <w:rPr>
          <w:rFonts w:cs="FrankRuehl"/>
          <w:sz w:val="26"/>
          <w:rtl/>
        </w:rPr>
      </w:pPr>
      <w:r>
        <w:rPr>
          <w:rFonts w:cs="FrankRuehl"/>
          <w:sz w:val="26"/>
          <w:rtl/>
        </w:rPr>
        <w:t>די</w:t>
      </w:r>
      <w:r>
        <w:rPr>
          <w:rFonts w:cs="FrankRuehl" w:hint="cs"/>
          <w:sz w:val="26"/>
          <w:rtl/>
        </w:rPr>
        <w:t xml:space="preserve">נו </w:t>
      </w:r>
      <w:r>
        <w:rPr>
          <w:rFonts w:cs="FrankRuehl"/>
          <w:sz w:val="26"/>
          <w:rtl/>
        </w:rPr>
        <w:t xml:space="preserve">– </w:t>
      </w:r>
      <w:r>
        <w:rPr>
          <w:rFonts w:cs="FrankRuehl" w:hint="cs"/>
          <w:sz w:val="26"/>
          <w:rtl/>
        </w:rPr>
        <w:t>מאסר עד שבע שנים.</w:t>
      </w:r>
    </w:p>
    <w:p w:rsidR="00844851" w:rsidRDefault="00844851">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20.85pt;z-index:251655168" o:allowincell="f" filled="f" stroked="f" strokecolor="lime" strokeweight=".25pt">
            <v:textbox inset="0,0,0,0">
              <w:txbxContent>
                <w:p w:rsidR="00844851" w:rsidRDefault="00844851">
                  <w:pPr>
                    <w:spacing w:line="160" w:lineRule="exact"/>
                    <w:jc w:val="left"/>
                    <w:rPr>
                      <w:rFonts w:cs="Miriam"/>
                      <w:noProof/>
                      <w:sz w:val="18"/>
                      <w:szCs w:val="18"/>
                      <w:rtl/>
                    </w:rPr>
                  </w:pPr>
                  <w:r>
                    <w:rPr>
                      <w:rFonts w:cs="Miriam"/>
                      <w:sz w:val="18"/>
                      <w:szCs w:val="18"/>
                      <w:rtl/>
                    </w:rPr>
                    <w:t>תח</w:t>
                  </w:r>
                  <w:r>
                    <w:rPr>
                      <w:rFonts w:cs="Miriam" w:hint="cs"/>
                      <w:sz w:val="18"/>
                      <w:szCs w:val="18"/>
                      <w:rtl/>
                    </w:rPr>
                    <w:t>ולת</w:t>
                  </w:r>
                  <w:r>
                    <w:rPr>
                      <w:rFonts w:cs="Miriam"/>
                      <w:sz w:val="18"/>
                      <w:szCs w:val="18"/>
                      <w:rtl/>
                    </w:rPr>
                    <w:t xml:space="preserve"> ה</w:t>
                  </w:r>
                  <w:r>
                    <w:rPr>
                      <w:rFonts w:cs="Miriam" w:hint="cs"/>
                      <w:sz w:val="18"/>
                      <w:szCs w:val="18"/>
                      <w:rtl/>
                    </w:rPr>
                    <w:t>חוק הפלילי הכללי</w:t>
                  </w:r>
                </w:p>
              </w:txbxContent>
            </v:textbox>
            <w10:anchorlock/>
          </v:rect>
        </w:pict>
      </w:r>
      <w:r>
        <w:rPr>
          <w:rStyle w:val="big-number"/>
          <w:rFonts w:cs="Miriam"/>
          <w:rtl/>
        </w:rPr>
        <w:t>7.</w:t>
      </w:r>
      <w:r>
        <w:rPr>
          <w:rStyle w:val="big-number"/>
          <w:rFonts w:cs="Miriam"/>
          <w:rtl/>
        </w:rPr>
        <w:tab/>
      </w:r>
      <w:r>
        <w:rPr>
          <w:rStyle w:val="default"/>
          <w:rFonts w:cs="FrankRuehl"/>
          <w:rtl/>
        </w:rPr>
        <w:t>הו</w:t>
      </w:r>
      <w:r>
        <w:rPr>
          <w:rStyle w:val="default"/>
          <w:rFonts w:cs="FrankRuehl" w:hint="cs"/>
          <w:rtl/>
        </w:rPr>
        <w:t xml:space="preserve">ראות </w:t>
      </w:r>
      <w:r>
        <w:rPr>
          <w:rStyle w:val="default"/>
          <w:rFonts w:cs="FrankRuehl"/>
          <w:rtl/>
        </w:rPr>
        <w:t>ה</w:t>
      </w:r>
      <w:r>
        <w:rPr>
          <w:rStyle w:val="default"/>
          <w:rFonts w:cs="FrankRuehl" w:hint="cs"/>
          <w:rtl/>
        </w:rPr>
        <w:t xml:space="preserve">חלק הראשון של החוק הפלילי </w:t>
      </w:r>
      <w:r>
        <w:rPr>
          <w:rStyle w:val="default"/>
          <w:rFonts w:cs="FrankRuehl"/>
          <w:rtl/>
        </w:rPr>
        <w:t>יח</w:t>
      </w:r>
      <w:r>
        <w:rPr>
          <w:rStyle w:val="default"/>
          <w:rFonts w:cs="FrankRuehl" w:hint="cs"/>
          <w:rtl/>
        </w:rPr>
        <w:t>ולו לגבי עבירות לפי חוק זה, מלבד אם נקבעה בחוק זה הוראה אחרת.</w:t>
      </w:r>
    </w:p>
    <w:p w:rsidR="00844851" w:rsidRDefault="00844851">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5.95pt;z-index:251656192" o:allowincell="f" filled="f" stroked="f" strokecolor="lime" strokeweight=".25pt">
            <v:textbox inset="0,0,0,0">
              <w:txbxContent>
                <w:p w:rsidR="00844851" w:rsidRDefault="00844851">
                  <w:pPr>
                    <w:spacing w:line="160" w:lineRule="exact"/>
                    <w:jc w:val="left"/>
                    <w:rPr>
                      <w:rFonts w:cs="Miriam"/>
                      <w:noProof/>
                      <w:sz w:val="18"/>
                      <w:szCs w:val="18"/>
                      <w:rtl/>
                    </w:rPr>
                  </w:pPr>
                  <w:r>
                    <w:rPr>
                      <w:rFonts w:cs="Miriam"/>
                      <w:sz w:val="18"/>
                      <w:szCs w:val="18"/>
                      <w:rtl/>
                    </w:rPr>
                    <w:t>סע</w:t>
                  </w:r>
                  <w:r>
                    <w:rPr>
                      <w:rFonts w:cs="Miriam" w:hint="cs"/>
                      <w:sz w:val="18"/>
                      <w:szCs w:val="18"/>
                      <w:rtl/>
                    </w:rPr>
                    <w:t>יפים שלא יחולו</w:t>
                  </w:r>
                </w:p>
              </w:txbxContent>
            </v:textbox>
            <w10:anchorlock/>
          </v:rect>
        </w:pict>
      </w:r>
      <w:r>
        <w:rPr>
          <w:rStyle w:val="big-number"/>
          <w:rFonts w:cs="Miriam"/>
          <w:rtl/>
        </w:rPr>
        <w:t>8.</w:t>
      </w:r>
      <w:r>
        <w:rPr>
          <w:rStyle w:val="big-number"/>
          <w:rFonts w:cs="Miriam"/>
          <w:rtl/>
        </w:rPr>
        <w:tab/>
      </w:r>
      <w:r>
        <w:rPr>
          <w:rStyle w:val="default"/>
          <w:rFonts w:cs="FrankRuehl"/>
          <w:rtl/>
        </w:rPr>
        <w:t>סע</w:t>
      </w:r>
      <w:r>
        <w:rPr>
          <w:rStyle w:val="default"/>
          <w:rFonts w:cs="FrankRuehl" w:hint="cs"/>
          <w:rtl/>
        </w:rPr>
        <w:t>יפים 16, 17, 18, ו-19 של החוק הפלילי לא יחולו לגבי עבירות לפי חוק זה.</w:t>
      </w:r>
    </w:p>
    <w:p w:rsidR="00844851" w:rsidRDefault="00844851">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8.4pt;z-index:251657216" o:allowincell="f" filled="f" stroked="f" strokecolor="lime" strokeweight=".25pt">
            <v:textbox inset="0,0,0,0">
              <w:txbxContent>
                <w:p w:rsidR="00844851" w:rsidRDefault="00844851">
                  <w:pPr>
                    <w:spacing w:line="160" w:lineRule="exact"/>
                    <w:jc w:val="left"/>
                    <w:rPr>
                      <w:rFonts w:cs="Miriam"/>
                      <w:noProof/>
                      <w:sz w:val="18"/>
                      <w:szCs w:val="18"/>
                      <w:rtl/>
                    </w:rPr>
                  </w:pPr>
                  <w:r>
                    <w:rPr>
                      <w:rFonts w:cs="Miriam"/>
                      <w:sz w:val="18"/>
                      <w:szCs w:val="18"/>
                      <w:rtl/>
                    </w:rPr>
                    <w:t>מע</w:t>
                  </w:r>
                  <w:r>
                    <w:rPr>
                      <w:rFonts w:cs="Miriam" w:hint="cs"/>
                      <w:sz w:val="18"/>
                      <w:szCs w:val="18"/>
                      <w:rtl/>
                    </w:rPr>
                    <w:t>שה בית-דין</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שעבר עבירה לפי חוק זה, מותר להעמידו לדין בי</w:t>
      </w:r>
      <w:r>
        <w:rPr>
          <w:rStyle w:val="default"/>
          <w:rFonts w:cs="FrankRuehl"/>
          <w:rtl/>
        </w:rPr>
        <w:t>ש</w:t>
      </w:r>
      <w:r>
        <w:rPr>
          <w:rStyle w:val="default"/>
          <w:rFonts w:cs="FrankRuehl" w:hint="cs"/>
          <w:rtl/>
        </w:rPr>
        <w:t xml:space="preserve">ראל, אף אם עמד כבר בחוץ-לארץ לדיון על מעשה העבירה, בין בפני </w:t>
      </w:r>
      <w:r>
        <w:rPr>
          <w:rStyle w:val="default"/>
          <w:rFonts w:cs="FrankRuehl"/>
          <w:rtl/>
        </w:rPr>
        <w:t>בי</w:t>
      </w:r>
      <w:r>
        <w:rPr>
          <w:rStyle w:val="default"/>
          <w:rFonts w:cs="FrankRuehl" w:hint="cs"/>
          <w:rtl/>
        </w:rPr>
        <w:t>ת-דין בינלאומי ובין בפני בית-דין של מדינה זרה.</w:t>
      </w:r>
    </w:p>
    <w:p w:rsidR="00844851" w:rsidRDefault="008448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תחייב אדם בישראל בעבירה לפי חוק זה לאחר שנתחייב על אותו מעשה בחוץ-לארץ, יתחשב בית המשפט בישראל, בקביעת ענשו, בעונש שריצה בחוץ-לארץ.</w:t>
      </w:r>
    </w:p>
    <w:p w:rsidR="00844851" w:rsidRDefault="00844851">
      <w:pPr>
        <w:pStyle w:val="P00"/>
        <w:spacing w:before="72"/>
        <w:ind w:left="0" w:right="1134"/>
        <w:rPr>
          <w:rStyle w:val="default"/>
          <w:rFonts w:cs="FrankRuehl" w:hint="cs"/>
          <w:rtl/>
        </w:rPr>
      </w:pPr>
      <w:bookmarkStart w:id="9" w:name="Seif9"/>
      <w:bookmarkEnd w:id="9"/>
      <w:r>
        <w:rPr>
          <w:lang w:val="he-IL"/>
        </w:rPr>
        <w:pict>
          <v:rect id="_x0000_s1035" style="position:absolute;left:0;text-align:left;margin-left:464.5pt;margin-top:8.05pt;width:75.05pt;height:17.5pt;z-index:251658240" o:allowincell="f" filled="f" stroked="f" strokecolor="lime" strokeweight=".25pt">
            <v:textbox inset="0,0,0,0">
              <w:txbxContent>
                <w:p w:rsidR="00844851" w:rsidRDefault="00844851">
                  <w:pPr>
                    <w:spacing w:line="160" w:lineRule="exact"/>
                    <w:jc w:val="left"/>
                    <w:rPr>
                      <w:rFonts w:cs="Miriam"/>
                      <w:noProof/>
                      <w:sz w:val="18"/>
                      <w:szCs w:val="18"/>
                      <w:rtl/>
                    </w:rPr>
                  </w:pPr>
                  <w:r>
                    <w:rPr>
                      <w:rFonts w:cs="Miriam"/>
                      <w:sz w:val="18"/>
                      <w:szCs w:val="18"/>
                      <w:rtl/>
                    </w:rPr>
                    <w:t>שח</w:t>
                  </w:r>
                  <w:r>
                    <w:rPr>
                      <w:rFonts w:cs="Miriam" w:hint="cs"/>
                      <w:sz w:val="18"/>
                      <w:szCs w:val="18"/>
                      <w:rtl/>
                    </w:rPr>
                    <w:t>רור מאחריות פלילית</w:t>
                  </w:r>
                </w:p>
              </w:txbxContent>
            </v:textbox>
            <w10:anchorlock/>
          </v:rect>
        </w:pict>
      </w:r>
      <w:r>
        <w:rPr>
          <w:rStyle w:val="big-number"/>
          <w:rFonts w:cs="Miriam"/>
          <w:rtl/>
        </w:rPr>
        <w:t>10.</w:t>
      </w:r>
      <w:r>
        <w:rPr>
          <w:rStyle w:val="big-number"/>
          <w:rFonts w:cs="Miriam"/>
          <w:rtl/>
        </w:rPr>
        <w:tab/>
      </w:r>
      <w:r>
        <w:rPr>
          <w:rStyle w:val="default"/>
          <w:rFonts w:cs="FrankRuehl"/>
          <w:rtl/>
        </w:rPr>
        <w:t>אד</w:t>
      </w:r>
      <w:r>
        <w:rPr>
          <w:rStyle w:val="default"/>
          <w:rFonts w:cs="FrankRuehl" w:hint="cs"/>
          <w:rtl/>
        </w:rPr>
        <w:t>ם נרדף שעשה מעשה או נמנע מעשות מעשה, והמעשה או אי-המעשה מהווים</w:t>
      </w:r>
      <w:r>
        <w:rPr>
          <w:rStyle w:val="default"/>
          <w:rFonts w:cs="FrankRuehl"/>
          <w:rtl/>
        </w:rPr>
        <w:t xml:space="preserve"> ע</w:t>
      </w:r>
      <w:r>
        <w:rPr>
          <w:rStyle w:val="default"/>
          <w:rFonts w:cs="FrankRuehl" w:hint="cs"/>
          <w:rtl/>
        </w:rPr>
        <w:t xml:space="preserve">בירה לפי חוק זה, ישחררו בית המשפט מאחריות פלילית </w:t>
      </w:r>
      <w:r>
        <w:rPr>
          <w:rStyle w:val="default"/>
          <w:rFonts w:cs="FrankRuehl"/>
          <w:rtl/>
        </w:rPr>
        <w:t>–</w:t>
      </w:r>
    </w:p>
    <w:p w:rsidR="00844851" w:rsidRDefault="00844851">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עשה את המעשה או נמנע מעשותו כדי להינצל מסכנת מוות מידי שהיתה מאיימת עליו, ובית המשפט משוכנע שעשה כמיטב יכלתו כדי למנוע את התוצאות שנגרמו על ידי המעשה או אי-המעשה; או</w:t>
      </w:r>
    </w:p>
    <w:p w:rsidR="00844851" w:rsidRDefault="008448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ם עשה את המעשה או נמנע </w:t>
      </w:r>
      <w:r>
        <w:rPr>
          <w:rStyle w:val="default"/>
          <w:rFonts w:cs="FrankRuehl"/>
          <w:rtl/>
        </w:rPr>
        <w:t>מע</w:t>
      </w:r>
      <w:r>
        <w:rPr>
          <w:rStyle w:val="default"/>
          <w:rFonts w:cs="FrankRuehl" w:hint="cs"/>
          <w:rtl/>
        </w:rPr>
        <w:t>שותו מתוך כוונה למנוע תוצאות חמורות יותר מן התוצאות שנגרמו על ידי המעשה או אי-המעשה, ומנע אותן תוצאות למעשה; אך הוראות אלה לא יחולו לגבי מעשה או אי-מעשה המהווים עבירה לפי</w:t>
      </w:r>
      <w:r>
        <w:rPr>
          <w:rStyle w:val="default"/>
          <w:rFonts w:cs="FrankRuehl"/>
          <w:rtl/>
        </w:rPr>
        <w:t xml:space="preserve"> </w:t>
      </w:r>
      <w:r>
        <w:rPr>
          <w:rStyle w:val="default"/>
          <w:rFonts w:cs="FrankRuehl" w:hint="cs"/>
          <w:rtl/>
        </w:rPr>
        <w:t>סעיף 1 או 2 (ו).</w:t>
      </w:r>
    </w:p>
    <w:p w:rsidR="00844851" w:rsidRDefault="00844851">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5.05pt;z-index:251659264" o:allowincell="f" filled="f" stroked="f" strokecolor="lime" strokeweight=".25pt">
            <v:textbox inset="0,0,0,0">
              <w:txbxContent>
                <w:p w:rsidR="00844851" w:rsidRDefault="00844851">
                  <w:pPr>
                    <w:spacing w:line="160" w:lineRule="exact"/>
                    <w:jc w:val="left"/>
                    <w:rPr>
                      <w:rFonts w:cs="Miriam"/>
                      <w:noProof/>
                      <w:sz w:val="18"/>
                      <w:szCs w:val="18"/>
                      <w:rtl/>
                    </w:rPr>
                  </w:pPr>
                  <w:r>
                    <w:rPr>
                      <w:rFonts w:cs="Miriam"/>
                      <w:sz w:val="18"/>
                      <w:szCs w:val="18"/>
                      <w:rtl/>
                    </w:rPr>
                    <w:t>נס</w:t>
                  </w:r>
                  <w:r>
                    <w:rPr>
                      <w:rFonts w:cs="Miriam" w:hint="cs"/>
                      <w:sz w:val="18"/>
                      <w:szCs w:val="18"/>
                      <w:rtl/>
                    </w:rPr>
                    <w:t>יבות מקילות</w:t>
                  </w:r>
                </w:p>
              </w:txbxContent>
            </v:textbox>
            <w10:anchorlock/>
          </v:rect>
        </w:pict>
      </w:r>
      <w:r>
        <w:rPr>
          <w:rStyle w:val="big-number"/>
          <w:rFonts w:cs="Miriam"/>
          <w:rtl/>
        </w:rPr>
        <w:t>11.</w:t>
      </w:r>
      <w:r>
        <w:rPr>
          <w:rStyle w:val="big-number"/>
          <w:rFonts w:cs="Miriam"/>
          <w:rtl/>
        </w:rPr>
        <w:tab/>
      </w:r>
      <w:r>
        <w:rPr>
          <w:rStyle w:val="default"/>
          <w:rFonts w:cs="FrankRuehl"/>
          <w:rtl/>
        </w:rPr>
        <w:t>בק</w:t>
      </w:r>
      <w:r>
        <w:rPr>
          <w:rStyle w:val="default"/>
          <w:rFonts w:cs="FrankRuehl" w:hint="cs"/>
          <w:rtl/>
        </w:rPr>
        <w:t>ביעת ענשו של אדם שיצא חייב בדין על עבירה לפי חוק זה, יהיה ב</w:t>
      </w:r>
      <w:r>
        <w:rPr>
          <w:rStyle w:val="default"/>
          <w:rFonts w:cs="FrankRuehl"/>
          <w:rtl/>
        </w:rPr>
        <w:t>ית</w:t>
      </w:r>
      <w:r>
        <w:rPr>
          <w:rStyle w:val="default"/>
          <w:rFonts w:cs="FrankRuehl" w:hint="cs"/>
          <w:rtl/>
        </w:rPr>
        <w:t xml:space="preserve"> המשפט רשאי להביא בחשבון, כגורם להמתקת העונש, את הנסיבות הבאות:</w:t>
      </w:r>
    </w:p>
    <w:p w:rsidR="00844851" w:rsidRDefault="00844851">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אדם עבר את העבירה בנסיבות, אשר, אלמלא סעיף 8, היו פוטרות אותו מאחריות פלילית או היו </w:t>
      </w:r>
      <w:r>
        <w:rPr>
          <w:rStyle w:val="default"/>
          <w:rFonts w:cs="FrankRuehl"/>
          <w:rtl/>
        </w:rPr>
        <w:t>מ</w:t>
      </w:r>
      <w:r>
        <w:rPr>
          <w:rStyle w:val="default"/>
          <w:rFonts w:cs="FrankRuehl" w:hint="cs"/>
          <w:rtl/>
        </w:rPr>
        <w:t>שמשות עילה למחילת העבירה, והוא עשה כמיטב יכלתו כדי להקל את חומרת התוצאות שנגרמו על ידי העבירה;</w:t>
      </w:r>
    </w:p>
    <w:p w:rsidR="00844851" w:rsidRDefault="008448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עבירה נעברה מתוך כוונה למנוע, והיא עשויה היתה למנוע, תוצאות חמורות יותר מן התוצאות שנגרמו על ידי העבירה;</w:t>
      </w:r>
    </w:p>
    <w:p w:rsidR="00844851" w:rsidRDefault="00844851">
      <w:pPr>
        <w:pStyle w:val="P00"/>
        <w:spacing w:before="72"/>
        <w:ind w:left="0" w:right="1134"/>
        <w:rPr>
          <w:rFonts w:cs="FrankRuehl"/>
          <w:sz w:val="26"/>
          <w:rtl/>
        </w:rPr>
      </w:pPr>
      <w:r>
        <w:rPr>
          <w:rFonts w:cs="FrankRuehl"/>
          <w:sz w:val="26"/>
          <w:rtl/>
        </w:rPr>
        <w:t>אך</w:t>
      </w:r>
      <w:r>
        <w:rPr>
          <w:rFonts w:cs="FrankRuehl" w:hint="cs"/>
          <w:sz w:val="26"/>
          <w:rtl/>
        </w:rPr>
        <w:t xml:space="preserve"> אם היתה זו עבירה על</w:t>
      </w:r>
      <w:r>
        <w:rPr>
          <w:rFonts w:cs="FrankRuehl"/>
          <w:sz w:val="26"/>
          <w:rtl/>
        </w:rPr>
        <w:t xml:space="preserve"> </w:t>
      </w:r>
      <w:r>
        <w:rPr>
          <w:rFonts w:cs="FrankRuehl" w:hint="cs"/>
          <w:sz w:val="26"/>
          <w:rtl/>
        </w:rPr>
        <w:t>פי סעיף 1, לא יטיל בית המשפט על העבריין עונש קל ממאסר של עשר שנים.</w:t>
      </w:r>
    </w:p>
    <w:p w:rsidR="00844851" w:rsidRDefault="00844851">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13.25pt;z-index:251660288" o:allowincell="f" filled="f" stroked="f" strokecolor="lime" strokeweight=".25pt">
            <v:textbox inset="0,0,0,0">
              <w:txbxContent>
                <w:p w:rsidR="00844851" w:rsidRDefault="00844851">
                  <w:pPr>
                    <w:spacing w:line="160" w:lineRule="exact"/>
                    <w:jc w:val="left"/>
                    <w:rPr>
                      <w:rFonts w:cs="Miriam"/>
                      <w:noProof/>
                      <w:sz w:val="18"/>
                      <w:szCs w:val="18"/>
                      <w:rtl/>
                    </w:rPr>
                  </w:pPr>
                  <w:r>
                    <w:rPr>
                      <w:rFonts w:cs="Miriam"/>
                      <w:sz w:val="18"/>
                      <w:szCs w:val="18"/>
                      <w:rtl/>
                    </w:rPr>
                    <w:t>הת</w:t>
                  </w:r>
                  <w:r>
                    <w:rPr>
                      <w:rFonts w:cs="Miriam" w:hint="cs"/>
                      <w:sz w:val="18"/>
                      <w:szCs w:val="18"/>
                      <w:rtl/>
                    </w:rPr>
                    <w:t>ישנות</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יני ההתישנות הקבועים ב</w:t>
      </w:r>
      <w:r>
        <w:rPr>
          <w:rStyle w:val="default"/>
          <w:rFonts w:cs="FrankRuehl"/>
          <w:rtl/>
        </w:rPr>
        <w:t>פר</w:t>
      </w:r>
      <w:r>
        <w:rPr>
          <w:rStyle w:val="default"/>
          <w:rFonts w:cs="FrankRuehl" w:hint="cs"/>
          <w:rtl/>
        </w:rPr>
        <w:t>ק החמישי לקודקס הפרוצדורה הפלילית העותומני לא יחולו לגבי עבירות לפי חוק זה.</w:t>
      </w:r>
    </w:p>
    <w:p w:rsidR="00844851" w:rsidRDefault="00844851">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43" type="#_x0000_t202" style="position:absolute;left:0;text-align:left;margin-left:470.25pt;margin-top:7.1pt;width:1in;height:22.8pt;z-index:251666432" filled="f" stroked="f">
            <v:textbox inset="1mm,0,1mm,0">
              <w:txbxContent>
                <w:p w:rsidR="00844851" w:rsidRDefault="00844851">
                  <w:pPr>
                    <w:spacing w:line="160" w:lineRule="exact"/>
                    <w:jc w:val="left"/>
                    <w:rPr>
                      <w:rFonts w:cs="Miriam" w:hint="cs"/>
                      <w:sz w:val="18"/>
                      <w:szCs w:val="18"/>
                      <w:rtl/>
                    </w:rPr>
                  </w:pPr>
                  <w:r>
                    <w:rPr>
                      <w:rFonts w:cs="Miriam" w:hint="cs"/>
                      <w:sz w:val="18"/>
                      <w:szCs w:val="18"/>
                      <w:rtl/>
                    </w:rPr>
                    <w:t>(תיקון מס' 1) תשכ"ג-1963</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(בוטל).</w:t>
      </w:r>
    </w:p>
    <w:p w:rsidR="00844851" w:rsidRDefault="00844851">
      <w:pPr>
        <w:pStyle w:val="P00"/>
        <w:spacing w:before="0"/>
        <w:ind w:left="0" w:right="1134"/>
        <w:rPr>
          <w:rStyle w:val="default"/>
          <w:rFonts w:cs="FrankRuehl" w:hint="cs"/>
          <w:vanish/>
          <w:color w:val="FF0000"/>
          <w:sz w:val="20"/>
          <w:szCs w:val="20"/>
          <w:shd w:val="clear" w:color="auto" w:fill="FFFF99"/>
          <w:rtl/>
        </w:rPr>
      </w:pPr>
      <w:bookmarkStart w:id="12" w:name="Rov18"/>
      <w:r>
        <w:rPr>
          <w:rStyle w:val="default"/>
          <w:rFonts w:cs="FrankRuehl" w:hint="cs"/>
          <w:vanish/>
          <w:color w:val="FF0000"/>
          <w:sz w:val="20"/>
          <w:szCs w:val="20"/>
          <w:shd w:val="clear" w:color="auto" w:fill="FFFF99"/>
          <w:rtl/>
        </w:rPr>
        <w:t>מיום 9.8.1950</w:t>
      </w:r>
    </w:p>
    <w:p w:rsidR="00844851" w:rsidRDefault="00844851">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rsidR="00844851" w:rsidRDefault="00844851">
      <w:pPr>
        <w:pStyle w:val="P00"/>
        <w:spacing w:before="0"/>
        <w:ind w:left="0" w:right="1134"/>
        <w:rPr>
          <w:rStyle w:val="default"/>
          <w:rFonts w:cs="FrankRuehl" w:hint="cs"/>
          <w:vanish/>
          <w:sz w:val="20"/>
          <w:szCs w:val="20"/>
          <w:shd w:val="clear" w:color="auto" w:fill="FFFF99"/>
          <w:rtl/>
        </w:rPr>
      </w:pPr>
      <w:hyperlink r:id="rId6" w:history="1">
        <w:r>
          <w:rPr>
            <w:rStyle w:val="Hyperlink"/>
            <w:rFonts w:cs="FrankRuehl" w:hint="cs"/>
            <w:vanish/>
            <w:szCs w:val="20"/>
            <w:shd w:val="clear" w:color="auto" w:fill="FFFF99"/>
            <w:rtl/>
          </w:rPr>
          <w:t>ס"ח תשכ"ג מס' 404</w:t>
        </w:r>
      </w:hyperlink>
      <w:r>
        <w:rPr>
          <w:rStyle w:val="default"/>
          <w:rFonts w:cs="FrankRuehl" w:hint="cs"/>
          <w:vanish/>
          <w:sz w:val="20"/>
          <w:szCs w:val="20"/>
          <w:shd w:val="clear" w:color="auto" w:fill="FFFF99"/>
          <w:rtl/>
        </w:rPr>
        <w:t xml:space="preserve"> מיום 16.8.1963 עמ' 140 (</w:t>
      </w:r>
      <w:hyperlink r:id="rId7" w:history="1">
        <w:r>
          <w:rPr>
            <w:rStyle w:val="Hyperlink"/>
            <w:rFonts w:cs="FrankRuehl" w:hint="cs"/>
            <w:vanish/>
            <w:szCs w:val="20"/>
            <w:shd w:val="clear" w:color="auto" w:fill="FFFF99"/>
            <w:rtl/>
          </w:rPr>
          <w:t>ה"ח 576</w:t>
        </w:r>
      </w:hyperlink>
      <w:r>
        <w:rPr>
          <w:rStyle w:val="default"/>
          <w:rFonts w:cs="FrankRuehl" w:hint="cs"/>
          <w:vanish/>
          <w:sz w:val="20"/>
          <w:szCs w:val="20"/>
          <w:shd w:val="clear" w:color="auto" w:fill="FFFF99"/>
          <w:rtl/>
        </w:rPr>
        <w:t>)</w:t>
      </w:r>
    </w:p>
    <w:p w:rsidR="00844851" w:rsidRDefault="00844851">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ביטול סעיף קטן 12(ב)</w:t>
      </w:r>
    </w:p>
    <w:p w:rsidR="00844851" w:rsidRDefault="00844851">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rsidR="00844851" w:rsidRDefault="00844851">
      <w:pPr>
        <w:pStyle w:val="P00"/>
        <w:spacing w:before="0"/>
        <w:ind w:left="0" w:right="1134"/>
        <w:rPr>
          <w:rStyle w:val="default"/>
          <w:rFonts w:cs="FrankRuehl" w:hint="cs"/>
          <w:strike/>
          <w:sz w:val="2"/>
          <w:szCs w:val="2"/>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(ב)</w:t>
      </w:r>
      <w:r>
        <w:rPr>
          <w:rStyle w:val="default"/>
          <w:rFonts w:cs="FrankRuehl" w:hint="cs"/>
          <w:strike/>
          <w:vanish/>
          <w:sz w:val="22"/>
          <w:szCs w:val="22"/>
          <w:shd w:val="clear" w:color="auto" w:fill="FFFF99"/>
          <w:rtl/>
        </w:rPr>
        <w:tab/>
        <w:t>אין להביא אדם לדין על עבירה לפי חוק זה, פרט לעבירה לפי סעיף 1 או 2(ו), אם עברו עשרים שנה משעת העבירה.</w:t>
      </w:r>
      <w:bookmarkEnd w:id="12"/>
    </w:p>
    <w:p w:rsidR="00844851" w:rsidRDefault="00844851">
      <w:pPr>
        <w:pStyle w:val="P00"/>
        <w:spacing w:before="72"/>
        <w:ind w:left="0" w:right="1134"/>
        <w:rPr>
          <w:rStyle w:val="default"/>
          <w:rFonts w:cs="FrankRuehl"/>
          <w:rtl/>
        </w:rPr>
      </w:pPr>
      <w:bookmarkStart w:id="13" w:name="Seif12"/>
      <w:bookmarkEnd w:id="13"/>
      <w:r>
        <w:rPr>
          <w:lang w:val="he-IL"/>
        </w:rPr>
        <w:pict>
          <v:rect id="_x0000_s1038" style="position:absolute;left:0;text-align:left;margin-left:464.5pt;margin-top:8.05pt;width:75.05pt;height:17.55pt;z-index:251661312" o:allowincell="f" filled="f" stroked="f" strokecolor="lime" strokeweight=".25pt">
            <v:textbox inset="0,0,0,0">
              <w:txbxContent>
                <w:p w:rsidR="00844851" w:rsidRDefault="00844851">
                  <w:pPr>
                    <w:spacing w:line="160" w:lineRule="exact"/>
                    <w:jc w:val="left"/>
                    <w:rPr>
                      <w:rFonts w:cs="Miriam"/>
                      <w:noProof/>
                      <w:sz w:val="18"/>
                      <w:szCs w:val="18"/>
                      <w:rtl/>
                    </w:rPr>
                  </w:pPr>
                  <w:r>
                    <w:rPr>
                      <w:rFonts w:cs="Miriam"/>
                      <w:sz w:val="18"/>
                      <w:szCs w:val="18"/>
                      <w:rtl/>
                    </w:rPr>
                    <w:t>הח</w:t>
                  </w:r>
                  <w:r>
                    <w:rPr>
                      <w:rFonts w:cs="Miriam" w:hint="cs"/>
                      <w:sz w:val="18"/>
                      <w:szCs w:val="18"/>
                      <w:rtl/>
                    </w:rPr>
                    <w:t>נינה הכללית לא תחול</w:t>
                  </w:r>
                </w:p>
              </w:txbxContent>
            </v:textbox>
            <w10:anchorlock/>
          </v:rect>
        </w:pict>
      </w:r>
      <w:r>
        <w:rPr>
          <w:rStyle w:val="big-number"/>
          <w:rFonts w:cs="Miriam"/>
          <w:rtl/>
        </w:rPr>
        <w:t>13.</w:t>
      </w:r>
      <w:r>
        <w:rPr>
          <w:rStyle w:val="big-number"/>
          <w:rFonts w:cs="Miriam"/>
          <w:rtl/>
        </w:rPr>
        <w:tab/>
      </w:r>
      <w:r>
        <w:rPr>
          <w:rStyle w:val="default"/>
          <w:rFonts w:cs="FrankRuehl"/>
          <w:rtl/>
        </w:rPr>
        <w:t>הו</w:t>
      </w:r>
      <w:r>
        <w:rPr>
          <w:rStyle w:val="default"/>
          <w:rFonts w:cs="FrankRuehl" w:hint="cs"/>
          <w:rtl/>
        </w:rPr>
        <w:t>ראות פקודת החנינה הכללית, תש"ט-</w:t>
      </w:r>
      <w:r>
        <w:rPr>
          <w:rStyle w:val="default"/>
          <w:rFonts w:cs="FrankRuehl"/>
          <w:rtl/>
        </w:rPr>
        <w:t xml:space="preserve">1949, </w:t>
      </w:r>
      <w:r>
        <w:rPr>
          <w:rStyle w:val="default"/>
          <w:rFonts w:cs="FrankRuehl" w:hint="cs"/>
          <w:rtl/>
        </w:rPr>
        <w:t>לא יחולו לגבי עבירות לפ</w:t>
      </w:r>
      <w:r>
        <w:rPr>
          <w:rStyle w:val="default"/>
          <w:rFonts w:cs="FrankRuehl"/>
          <w:rtl/>
        </w:rPr>
        <w:t xml:space="preserve">י </w:t>
      </w:r>
      <w:r>
        <w:rPr>
          <w:rStyle w:val="default"/>
          <w:rFonts w:cs="FrankRuehl" w:hint="cs"/>
          <w:rtl/>
        </w:rPr>
        <w:t>חוק זה.</w:t>
      </w:r>
    </w:p>
    <w:p w:rsidR="00844851" w:rsidRDefault="00844851">
      <w:pPr>
        <w:pStyle w:val="P00"/>
        <w:spacing w:before="72"/>
        <w:ind w:left="0" w:right="1134"/>
        <w:rPr>
          <w:rStyle w:val="default"/>
          <w:rFonts w:cs="FrankRuehl"/>
          <w:rtl/>
        </w:rPr>
      </w:pPr>
      <w:bookmarkStart w:id="14" w:name="Seif13"/>
      <w:bookmarkEnd w:id="14"/>
      <w:r>
        <w:rPr>
          <w:lang w:val="he-IL"/>
        </w:rPr>
        <w:pict>
          <v:rect id="_x0000_s1039" style="position:absolute;left:0;text-align:left;margin-left:464.5pt;margin-top:8.05pt;width:75.05pt;height:14.4pt;z-index:251662336" o:allowincell="f" filled="f" stroked="f" strokecolor="lime" strokeweight=".25pt">
            <v:textbox inset="0,0,0,0">
              <w:txbxContent>
                <w:p w:rsidR="00844851" w:rsidRDefault="00844851">
                  <w:pPr>
                    <w:spacing w:line="160" w:lineRule="exact"/>
                    <w:jc w:val="left"/>
                    <w:rPr>
                      <w:rFonts w:cs="Miriam"/>
                      <w:noProof/>
                      <w:sz w:val="18"/>
                      <w:szCs w:val="18"/>
                      <w:rtl/>
                    </w:rPr>
                  </w:pPr>
                  <w:r>
                    <w:rPr>
                      <w:rFonts w:cs="Miriam"/>
                      <w:sz w:val="18"/>
                      <w:szCs w:val="18"/>
                      <w:rtl/>
                    </w:rPr>
                    <w:t>תב</w:t>
                  </w:r>
                  <w:r>
                    <w:rPr>
                      <w:rFonts w:cs="Miriam" w:hint="cs"/>
                      <w:sz w:val="18"/>
                      <w:szCs w:val="18"/>
                      <w:rtl/>
                    </w:rPr>
                    <w:t>יעה לדין</w:t>
                  </w:r>
                </w:p>
              </w:txbxContent>
            </v:textbox>
            <w10:anchorlock/>
          </v:rect>
        </w:pict>
      </w:r>
      <w:r>
        <w:rPr>
          <w:rStyle w:val="big-number"/>
          <w:rFonts w:cs="Miriam"/>
          <w:rtl/>
        </w:rPr>
        <w:t>14.</w:t>
      </w:r>
      <w:r>
        <w:rPr>
          <w:rStyle w:val="big-number"/>
          <w:rFonts w:cs="Miriam"/>
          <w:rtl/>
        </w:rPr>
        <w:tab/>
      </w:r>
      <w:r>
        <w:rPr>
          <w:rStyle w:val="default"/>
          <w:rFonts w:cs="FrankRuehl"/>
          <w:rtl/>
        </w:rPr>
        <w:t>תב</w:t>
      </w:r>
      <w:r>
        <w:rPr>
          <w:rStyle w:val="default"/>
          <w:rFonts w:cs="FrankRuehl" w:hint="cs"/>
          <w:rtl/>
        </w:rPr>
        <w:t>יעה על עבירה לפי חוק זה לא תוגש אלא על ידי היועץ המשפטי לממשלת ישראל או בא-כוחו.</w:t>
      </w:r>
    </w:p>
    <w:p w:rsidR="00844851" w:rsidRDefault="00844851">
      <w:pPr>
        <w:pStyle w:val="P00"/>
        <w:spacing w:before="72"/>
        <w:ind w:left="0" w:right="1134"/>
        <w:rPr>
          <w:rStyle w:val="default"/>
          <w:rFonts w:cs="FrankRuehl"/>
          <w:rtl/>
        </w:rPr>
      </w:pPr>
      <w:bookmarkStart w:id="15" w:name="Seif14"/>
      <w:bookmarkEnd w:id="15"/>
      <w:r>
        <w:rPr>
          <w:lang w:val="he-IL"/>
        </w:rPr>
        <w:pict>
          <v:rect id="_x0000_s1040" style="position:absolute;left:0;text-align:left;margin-left:464.5pt;margin-top:8.05pt;width:75.05pt;height:15.1pt;z-index:251663360" o:allowincell="f" filled="f" stroked="f" strokecolor="lime" strokeweight=".25pt">
            <v:textbox inset="0,0,0,0">
              <w:txbxContent>
                <w:p w:rsidR="00844851" w:rsidRDefault="00844851">
                  <w:pPr>
                    <w:spacing w:line="160" w:lineRule="exact"/>
                    <w:jc w:val="left"/>
                    <w:rPr>
                      <w:rFonts w:cs="Miriam"/>
                      <w:noProof/>
                      <w:sz w:val="18"/>
                      <w:szCs w:val="18"/>
                      <w:rtl/>
                    </w:rPr>
                  </w:pPr>
                  <w:r>
                    <w:rPr>
                      <w:rFonts w:cs="Miriam"/>
                      <w:sz w:val="18"/>
                      <w:szCs w:val="18"/>
                      <w:rtl/>
                    </w:rPr>
                    <w:t>רא</w:t>
                  </w:r>
                  <w:r>
                    <w:rPr>
                      <w:rFonts w:cs="Miriam" w:hint="cs"/>
                      <w:sz w:val="18"/>
                      <w:szCs w:val="18"/>
                      <w:rtl/>
                    </w:rPr>
                    <w:t>יות</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משפט על עבירה לפי חוק זה, רשאי בית המשפט לסטות מדיני הראיה, אם הוא משוכנע שהדבר יועיל לגילוי האמת ולעשיית משפט צדק.</w:t>
      </w:r>
    </w:p>
    <w:p w:rsidR="00844851" w:rsidRDefault="008448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אימת שבית המשפט מחליט לס</w:t>
      </w:r>
      <w:r>
        <w:rPr>
          <w:rStyle w:val="default"/>
          <w:rFonts w:cs="FrankRuehl"/>
          <w:rtl/>
        </w:rPr>
        <w:t>טו</w:t>
      </w:r>
      <w:r>
        <w:rPr>
          <w:rStyle w:val="default"/>
          <w:rFonts w:cs="FrankRuehl" w:hint="cs"/>
          <w:rtl/>
        </w:rPr>
        <w:t>ת לפי סעיף קטן (א) מדיני הראיה ירשום בית המשפט את הטעמים שהניעוהו להחלטתו.</w:t>
      </w:r>
    </w:p>
    <w:p w:rsidR="00844851" w:rsidRDefault="00844851">
      <w:pPr>
        <w:pStyle w:val="P00"/>
        <w:spacing w:before="72"/>
        <w:ind w:left="0" w:right="1134"/>
        <w:rPr>
          <w:rStyle w:val="default"/>
          <w:rFonts w:cs="FrankRuehl" w:hint="cs"/>
          <w:rtl/>
        </w:rPr>
      </w:pPr>
      <w:bookmarkStart w:id="16" w:name="Seif15"/>
      <w:bookmarkEnd w:id="16"/>
      <w:r>
        <w:rPr>
          <w:lang w:val="he-IL"/>
        </w:rPr>
        <w:pict>
          <v:rect id="_x0000_s1041" style="position:absolute;left:0;text-align:left;margin-left:464.5pt;margin-top:8.05pt;width:75.05pt;height:11.95pt;z-index:251664384" o:allowincell="f" filled="f" stroked="f" strokecolor="lime" strokeweight=".25pt">
            <v:textbox inset="0,0,0,0">
              <w:txbxContent>
                <w:p w:rsidR="00844851" w:rsidRDefault="00844851">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16.</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844851" w:rsidRDefault="00844851">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קופת השלטון הנאצי" פירושו </w:t>
      </w:r>
      <w:r>
        <w:rPr>
          <w:rStyle w:val="default"/>
          <w:rFonts w:cs="FrankRuehl"/>
          <w:rtl/>
        </w:rPr>
        <w:t xml:space="preserve">– </w:t>
      </w:r>
      <w:r>
        <w:rPr>
          <w:rStyle w:val="default"/>
          <w:rFonts w:cs="FrankRuehl" w:hint="cs"/>
          <w:rtl/>
        </w:rPr>
        <w:t>התקופה שהחלה ביום ג' בשבט תרצ"ג (30 בינואר 1933) ונסתיימה ביום כ"ה באייר תש"ה (8 במאי 1945).</w:t>
      </w:r>
    </w:p>
    <w:p w:rsidR="00844851" w:rsidRDefault="00844851">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קופת מלחמת העולם השניה" פירושו </w:t>
      </w:r>
      <w:r>
        <w:rPr>
          <w:rStyle w:val="default"/>
          <w:rFonts w:cs="FrankRuehl"/>
          <w:rtl/>
        </w:rPr>
        <w:t xml:space="preserve">– </w:t>
      </w:r>
      <w:r>
        <w:rPr>
          <w:rStyle w:val="default"/>
          <w:rFonts w:cs="FrankRuehl" w:hint="cs"/>
          <w:rtl/>
        </w:rPr>
        <w:t>התקו</w:t>
      </w:r>
      <w:r>
        <w:rPr>
          <w:rStyle w:val="default"/>
          <w:rFonts w:cs="FrankRuehl"/>
          <w:rtl/>
        </w:rPr>
        <w:t>פה</w:t>
      </w:r>
      <w:r>
        <w:rPr>
          <w:rStyle w:val="default"/>
          <w:rFonts w:cs="FrankRuehl" w:hint="cs"/>
          <w:rtl/>
        </w:rPr>
        <w:t xml:space="preserve"> שהחלה ביום י"ז באלול תרצ"ט (1 בספטמבר 1939) ונסתיימה ביום ה' באלול תש"ה (14 באוגוסט 1945);</w:t>
      </w:r>
    </w:p>
    <w:p w:rsidR="00844851" w:rsidRDefault="0084485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עצמות הברית" פירושו </w:t>
      </w:r>
      <w:r>
        <w:rPr>
          <w:rStyle w:val="default"/>
          <w:rFonts w:cs="FrankRuehl"/>
          <w:rtl/>
        </w:rPr>
        <w:t xml:space="preserve">– </w:t>
      </w:r>
      <w:r>
        <w:rPr>
          <w:rStyle w:val="default"/>
          <w:rFonts w:cs="FrankRuehl" w:hint="cs"/>
          <w:rtl/>
        </w:rPr>
        <w:t>המדינות שחתמו על הצהרת האומות המאוחדות מיום 1 בינואר 1942 או שהצטרפו אליה בתקופת מלחמת העולם השניה;</w:t>
      </w:r>
    </w:p>
    <w:p w:rsidR="00844851" w:rsidRDefault="0084485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דינת הציר" </w:t>
      </w:r>
      <w:r>
        <w:rPr>
          <w:rStyle w:val="default"/>
          <w:rFonts w:cs="FrankRuehl"/>
          <w:rtl/>
        </w:rPr>
        <w:t xml:space="preserve">– </w:t>
      </w:r>
      <w:r>
        <w:rPr>
          <w:rStyle w:val="default"/>
          <w:rFonts w:cs="FrankRuehl" w:hint="cs"/>
          <w:rtl/>
        </w:rPr>
        <w:t xml:space="preserve">פירושו </w:t>
      </w:r>
      <w:r>
        <w:rPr>
          <w:rStyle w:val="default"/>
          <w:rFonts w:cs="FrankRuehl"/>
          <w:rtl/>
        </w:rPr>
        <w:t xml:space="preserve">– </w:t>
      </w:r>
      <w:r>
        <w:rPr>
          <w:rStyle w:val="default"/>
          <w:rFonts w:cs="FrankRuehl" w:hint="cs"/>
          <w:rtl/>
        </w:rPr>
        <w:t>מדינה שבתקופ</w:t>
      </w:r>
      <w:r>
        <w:rPr>
          <w:rStyle w:val="default"/>
          <w:rFonts w:cs="FrankRuehl"/>
          <w:rtl/>
        </w:rPr>
        <w:t xml:space="preserve">ת </w:t>
      </w:r>
      <w:r>
        <w:rPr>
          <w:rStyle w:val="default"/>
          <w:rFonts w:cs="FrankRuehl" w:hint="cs"/>
          <w:rtl/>
        </w:rPr>
        <w:t>מלחמת העולם השניה, כולה או מקצתה, היה קיים מצב מלחמה בינה ובין מעצמות הברית; וכתקופת המלח</w:t>
      </w:r>
      <w:r>
        <w:rPr>
          <w:rStyle w:val="default"/>
          <w:rFonts w:cs="FrankRuehl"/>
          <w:rtl/>
        </w:rPr>
        <w:t>מ</w:t>
      </w:r>
      <w:r>
        <w:rPr>
          <w:rStyle w:val="default"/>
          <w:rFonts w:cs="FrankRuehl" w:hint="cs"/>
          <w:rtl/>
        </w:rPr>
        <w:t>ה שבין מדינת הציר ובין מעצמות הברית רואים את התקופה שהתחילה ביום בו התחיל מצב המלחמה בין אותה מדינה ובין הראשונה, מבחינת הזמן, מבין מעצמות הברית, וסיומה ביום שבו פ</w:t>
      </w:r>
      <w:r>
        <w:rPr>
          <w:rStyle w:val="default"/>
          <w:rFonts w:cs="FrankRuehl"/>
          <w:rtl/>
        </w:rPr>
        <w:t>ס</w:t>
      </w:r>
      <w:r>
        <w:rPr>
          <w:rStyle w:val="default"/>
          <w:rFonts w:cs="FrankRuehl" w:hint="cs"/>
          <w:rtl/>
        </w:rPr>
        <w:t>ק</w:t>
      </w:r>
      <w:r>
        <w:rPr>
          <w:rStyle w:val="default"/>
          <w:rFonts w:cs="FrankRuehl"/>
          <w:rtl/>
        </w:rPr>
        <w:t>ו</w:t>
      </w:r>
      <w:r>
        <w:rPr>
          <w:rStyle w:val="default"/>
          <w:rFonts w:cs="FrankRuehl" w:hint="cs"/>
          <w:rtl/>
        </w:rPr>
        <w:t xml:space="preserve"> פעולות האיבה בין אותה מדינה ובין האחרונה, מבחינת הזמן, מבין מעצמות הברית;</w:t>
      </w:r>
    </w:p>
    <w:p w:rsidR="00844851" w:rsidRDefault="00844851">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 xml:space="preserve">רץ עויינת" </w:t>
      </w:r>
      <w:r>
        <w:rPr>
          <w:rStyle w:val="default"/>
          <w:rFonts w:cs="FrankRuehl"/>
          <w:rtl/>
        </w:rPr>
        <w:t>פ</w:t>
      </w:r>
      <w:r>
        <w:rPr>
          <w:rStyle w:val="default"/>
          <w:rFonts w:cs="FrankRuehl" w:hint="cs"/>
          <w:rtl/>
        </w:rPr>
        <w:t xml:space="preserve">ירושו </w:t>
      </w:r>
      <w:r>
        <w:rPr>
          <w:rStyle w:val="default"/>
          <w:rFonts w:cs="FrankRuehl"/>
          <w:rtl/>
        </w:rPr>
        <w:t>–</w:t>
      </w:r>
    </w:p>
    <w:p w:rsidR="00844851" w:rsidRDefault="0084485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 xml:space="preserve">רמניה </w:t>
      </w:r>
      <w:r>
        <w:rPr>
          <w:rStyle w:val="default"/>
          <w:rFonts w:cs="FrankRuehl"/>
          <w:rtl/>
        </w:rPr>
        <w:t xml:space="preserve">– </w:t>
      </w:r>
      <w:r>
        <w:rPr>
          <w:rStyle w:val="default"/>
          <w:rFonts w:cs="FrankRuehl" w:hint="cs"/>
          <w:rtl/>
        </w:rPr>
        <w:t>בתקופת השלטון הנאצי;</w:t>
      </w:r>
    </w:p>
    <w:p w:rsidR="00844851" w:rsidRDefault="0084485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ל מדינה אחרת ממדינות הציר </w:t>
      </w:r>
      <w:r>
        <w:rPr>
          <w:rStyle w:val="default"/>
          <w:rFonts w:cs="FrankRuehl"/>
          <w:rtl/>
        </w:rPr>
        <w:t xml:space="preserve">– </w:t>
      </w:r>
      <w:r>
        <w:rPr>
          <w:rStyle w:val="default"/>
          <w:rFonts w:cs="FrankRuehl" w:hint="cs"/>
          <w:rtl/>
        </w:rPr>
        <w:t>בתקופת המלחמה שבינה ובין מעצמות הברית;</w:t>
      </w:r>
    </w:p>
    <w:p w:rsidR="00844851" w:rsidRDefault="00844851">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ש</w:t>
      </w:r>
      <w:r>
        <w:rPr>
          <w:rStyle w:val="default"/>
          <w:rFonts w:cs="FrankRuehl"/>
          <w:rtl/>
        </w:rPr>
        <w:t>ט</w:t>
      </w:r>
      <w:r>
        <w:rPr>
          <w:rStyle w:val="default"/>
          <w:rFonts w:cs="FrankRuehl" w:hint="cs"/>
          <w:rtl/>
        </w:rPr>
        <w:t xml:space="preserve">ח אשר בתקופת השלטון הנאצי, כולה או מקצתה, היה נתון למעשה למרותה של גרמניה </w:t>
      </w:r>
      <w:r>
        <w:rPr>
          <w:rStyle w:val="default"/>
          <w:rFonts w:cs="FrankRuehl"/>
          <w:rtl/>
        </w:rPr>
        <w:t xml:space="preserve">– </w:t>
      </w:r>
      <w:r>
        <w:rPr>
          <w:rStyle w:val="default"/>
          <w:rFonts w:cs="FrankRuehl" w:hint="cs"/>
          <w:rtl/>
        </w:rPr>
        <w:t>בעת שהיה נתון למעשה למרותה של גרמניה, כאמור;</w:t>
      </w:r>
    </w:p>
    <w:p w:rsidR="00844851" w:rsidRDefault="0084485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שטח שהיה נתון למעשה למרותה של כל מדי</w:t>
      </w:r>
      <w:r>
        <w:rPr>
          <w:rStyle w:val="default"/>
          <w:rFonts w:cs="FrankRuehl"/>
          <w:rtl/>
        </w:rPr>
        <w:t>נה</w:t>
      </w:r>
      <w:r>
        <w:rPr>
          <w:rStyle w:val="default"/>
          <w:rFonts w:cs="FrankRuehl" w:hint="cs"/>
          <w:rtl/>
        </w:rPr>
        <w:t xml:space="preserve"> אחרת ממדינות הציר בתקופת המלחמה שבינה ובין מעצמות הברית, כולה או מקצתה </w:t>
      </w:r>
      <w:r>
        <w:rPr>
          <w:rStyle w:val="default"/>
          <w:rFonts w:cs="FrankRuehl"/>
          <w:rtl/>
        </w:rPr>
        <w:t xml:space="preserve">– </w:t>
      </w:r>
      <w:r>
        <w:rPr>
          <w:rStyle w:val="default"/>
          <w:rFonts w:cs="FrankRuehl" w:hint="cs"/>
          <w:rtl/>
        </w:rPr>
        <w:t>בעת שהיה נתון למעשה למרותה של אותה מדינת הציר, כאמור;</w:t>
      </w:r>
    </w:p>
    <w:p w:rsidR="00844851" w:rsidRDefault="00844851">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לטון עויין" פירושו </w:t>
      </w:r>
      <w:r>
        <w:rPr>
          <w:rStyle w:val="default"/>
          <w:rFonts w:cs="FrankRuehl"/>
          <w:rtl/>
        </w:rPr>
        <w:t xml:space="preserve">– </w:t>
      </w:r>
      <w:r>
        <w:rPr>
          <w:rStyle w:val="default"/>
          <w:rFonts w:cs="FrankRuehl" w:hint="cs"/>
          <w:rtl/>
        </w:rPr>
        <w:t>השלטון שהיה קיים בארץ עויינת;</w:t>
      </w:r>
    </w:p>
    <w:p w:rsidR="00844851" w:rsidRDefault="00844851">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דם נרדף" פירושו </w:t>
      </w:r>
      <w:r>
        <w:rPr>
          <w:rStyle w:val="default"/>
          <w:rFonts w:cs="FrankRuehl"/>
          <w:rtl/>
        </w:rPr>
        <w:t xml:space="preserve">– </w:t>
      </w:r>
      <w:r>
        <w:rPr>
          <w:rStyle w:val="default"/>
          <w:rFonts w:cs="FrankRuehl" w:hint="cs"/>
          <w:rtl/>
        </w:rPr>
        <w:t>אדם הנמנה עם קיבוץ לאומי, גזעי, דתי או פוליטי שנרדף</w:t>
      </w:r>
      <w:r>
        <w:rPr>
          <w:rStyle w:val="default"/>
          <w:rFonts w:cs="FrankRuehl"/>
          <w:rtl/>
        </w:rPr>
        <w:t xml:space="preserve"> ע</w:t>
      </w:r>
      <w:r>
        <w:rPr>
          <w:rStyle w:val="default"/>
          <w:rFonts w:cs="FrankRuehl" w:hint="cs"/>
          <w:rtl/>
        </w:rPr>
        <w:t>ל ידי שלטון עויין;</w:t>
      </w:r>
    </w:p>
    <w:p w:rsidR="00844851" w:rsidRDefault="0084485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חוק הפלילי" פירושו </w:t>
      </w:r>
      <w:r>
        <w:rPr>
          <w:rStyle w:val="default"/>
          <w:rFonts w:cs="FrankRuehl"/>
          <w:rtl/>
        </w:rPr>
        <w:t xml:space="preserve">– </w:t>
      </w:r>
      <w:r>
        <w:rPr>
          <w:rStyle w:val="default"/>
          <w:rFonts w:cs="FrankRuehl" w:hint="cs"/>
          <w:rtl/>
        </w:rPr>
        <w:t>פקודת החוק הפלילי, 1936.</w:t>
      </w:r>
    </w:p>
    <w:p w:rsidR="00844851" w:rsidRDefault="00844851">
      <w:pPr>
        <w:pStyle w:val="P00"/>
        <w:spacing w:before="72"/>
        <w:ind w:left="0" w:right="1134"/>
        <w:rPr>
          <w:rStyle w:val="default"/>
          <w:rFonts w:cs="FrankRuehl"/>
          <w:rtl/>
        </w:rPr>
      </w:pPr>
      <w:bookmarkStart w:id="17" w:name="Seif16"/>
      <w:bookmarkEnd w:id="17"/>
      <w:r>
        <w:rPr>
          <w:lang w:val="he-IL"/>
        </w:rPr>
        <w:pict>
          <v:rect id="_x0000_s1042" style="position:absolute;left:0;text-align:left;margin-left:464.5pt;margin-top:8.05pt;width:75.05pt;height:14pt;z-index:251665408" o:allowincell="f" filled="f" stroked="f" strokecolor="lime" strokeweight=".25pt">
            <v:textbox inset="0,0,0,0">
              <w:txbxContent>
                <w:p w:rsidR="00844851" w:rsidRDefault="00844851">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txbxContent>
            </v:textbox>
            <w10:anchorlock/>
          </v:rect>
        </w:pict>
      </w:r>
      <w:r>
        <w:rPr>
          <w:rStyle w:val="big-number"/>
          <w:rFonts w:cs="Miriam"/>
          <w:rtl/>
        </w:rPr>
        <w:t>17.</w:t>
      </w:r>
      <w:r>
        <w:rPr>
          <w:rStyle w:val="big-number"/>
          <w:rFonts w:cs="Miriam"/>
          <w:rtl/>
        </w:rPr>
        <w:tab/>
      </w:r>
      <w:r>
        <w:rPr>
          <w:rStyle w:val="default"/>
          <w:rFonts w:cs="FrankRuehl"/>
          <w:rtl/>
        </w:rPr>
        <w:t>שר</w:t>
      </w:r>
      <w:r>
        <w:rPr>
          <w:rStyle w:val="default"/>
          <w:rFonts w:cs="FrankRuehl" w:hint="cs"/>
          <w:rtl/>
        </w:rPr>
        <w:t xml:space="preserve"> המשפטים ממונה על ביצוע חוק זה.</w:t>
      </w:r>
    </w:p>
    <w:p w:rsidR="00844851" w:rsidRDefault="00844851">
      <w:pPr>
        <w:pStyle w:val="P00"/>
        <w:spacing w:before="72"/>
        <w:ind w:left="0" w:right="1134"/>
        <w:rPr>
          <w:rStyle w:val="default"/>
          <w:rFonts w:cs="FrankRuehl" w:hint="cs"/>
          <w:rtl/>
        </w:rPr>
      </w:pPr>
    </w:p>
    <w:p w:rsidR="00844851" w:rsidRDefault="00844851">
      <w:pPr>
        <w:pStyle w:val="P00"/>
        <w:spacing w:before="72"/>
        <w:ind w:left="0" w:right="1134"/>
        <w:rPr>
          <w:rStyle w:val="default"/>
          <w:rFonts w:cs="FrankRuehl" w:hint="cs"/>
          <w:rtl/>
        </w:rPr>
      </w:pPr>
    </w:p>
    <w:p w:rsidR="00844851" w:rsidRDefault="00844851" w:rsidP="006E5931">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ד</w:t>
      </w:r>
      <w:r>
        <w:rPr>
          <w:rFonts w:cs="FrankRuehl" w:hint="cs"/>
          <w:sz w:val="26"/>
          <w:szCs w:val="26"/>
          <w:rtl/>
        </w:rPr>
        <w:t>וד בן-גוריון</w:t>
      </w:r>
      <w:r>
        <w:rPr>
          <w:rFonts w:cs="FrankRuehl"/>
          <w:sz w:val="26"/>
          <w:szCs w:val="26"/>
          <w:rtl/>
        </w:rPr>
        <w:tab/>
        <w:t>פ</w:t>
      </w:r>
      <w:r>
        <w:rPr>
          <w:rFonts w:cs="FrankRuehl" w:hint="cs"/>
          <w:sz w:val="26"/>
          <w:szCs w:val="26"/>
          <w:rtl/>
        </w:rPr>
        <w:t>נחס רוזן</w:t>
      </w:r>
    </w:p>
    <w:p w:rsidR="00844851" w:rsidRDefault="00844851" w:rsidP="006E5931">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המשפטים</w:t>
      </w:r>
    </w:p>
    <w:p w:rsidR="00844851" w:rsidRDefault="00844851" w:rsidP="006E5931">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י</w:t>
      </w:r>
      <w:r>
        <w:rPr>
          <w:rFonts w:cs="FrankRuehl" w:hint="cs"/>
          <w:sz w:val="26"/>
          <w:szCs w:val="26"/>
          <w:rtl/>
        </w:rPr>
        <w:t>וסף שפרינצק</w:t>
      </w:r>
    </w:p>
    <w:p w:rsidR="00844851" w:rsidRDefault="00844851" w:rsidP="006E5931">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י</w:t>
      </w:r>
      <w:r>
        <w:rPr>
          <w:rFonts w:cs="FrankRuehl" w:hint="cs"/>
          <w:sz w:val="22"/>
          <w:rtl/>
        </w:rPr>
        <w:t>ו"ר הכנסת ומ"מ נשיא המדינה</w:t>
      </w:r>
    </w:p>
    <w:p w:rsidR="00844851" w:rsidRDefault="00844851">
      <w:pPr>
        <w:pStyle w:val="P00"/>
        <w:spacing w:before="72"/>
        <w:ind w:left="0" w:right="1134"/>
        <w:rPr>
          <w:rStyle w:val="default"/>
          <w:rFonts w:cs="FrankRuehl" w:hint="cs"/>
          <w:rtl/>
        </w:rPr>
      </w:pPr>
    </w:p>
    <w:p w:rsidR="006E5931" w:rsidRDefault="006E5931">
      <w:pPr>
        <w:pStyle w:val="P00"/>
        <w:spacing w:before="72"/>
        <w:ind w:left="0" w:right="1134"/>
        <w:rPr>
          <w:rStyle w:val="default"/>
          <w:rFonts w:cs="FrankRuehl" w:hint="cs"/>
          <w:rtl/>
        </w:rPr>
      </w:pPr>
    </w:p>
    <w:p w:rsidR="006E5931" w:rsidRDefault="006E5931">
      <w:pPr>
        <w:pStyle w:val="P00"/>
        <w:spacing w:before="72"/>
        <w:ind w:left="0" w:right="1134"/>
        <w:rPr>
          <w:rStyle w:val="default"/>
          <w:rFonts w:cs="FrankRuehl" w:hint="cs"/>
          <w:rtl/>
        </w:rPr>
      </w:pPr>
    </w:p>
    <w:sectPr w:rsidR="006E5931">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37C4" w:rsidRDefault="00AC37C4">
      <w:r>
        <w:separator/>
      </w:r>
    </w:p>
  </w:endnote>
  <w:endnote w:type="continuationSeparator" w:id="0">
    <w:p w:rsidR="00AC37C4" w:rsidRDefault="00AC3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4851" w:rsidRDefault="0084485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44851" w:rsidRDefault="0084485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44851" w:rsidRDefault="0084485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Z:\00000000-law\yael\revadim\06-08-17\p184_001.doc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4851" w:rsidRDefault="0084485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E5931">
      <w:rPr>
        <w:rFonts w:hAnsi="FrankRuehl" w:cs="FrankRuehl"/>
        <w:noProof/>
        <w:sz w:val="24"/>
        <w:szCs w:val="24"/>
        <w:rtl/>
      </w:rPr>
      <w:t>2</w:t>
    </w:r>
    <w:r>
      <w:rPr>
        <w:rFonts w:hAnsi="FrankRuehl" w:cs="FrankRuehl"/>
        <w:sz w:val="24"/>
        <w:szCs w:val="24"/>
        <w:rtl/>
      </w:rPr>
      <w:fldChar w:fldCharType="end"/>
    </w:r>
  </w:p>
  <w:p w:rsidR="00844851" w:rsidRDefault="0084485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44851" w:rsidRDefault="0084485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Z:\00000000-law\yael\revadim\06-08-17\p184_001.doc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37C4" w:rsidRDefault="00AC37C4">
      <w:pPr>
        <w:spacing w:before="60" w:line="240" w:lineRule="auto"/>
        <w:ind w:right="1134"/>
      </w:pPr>
      <w:r>
        <w:separator/>
      </w:r>
    </w:p>
  </w:footnote>
  <w:footnote w:type="continuationSeparator" w:id="0">
    <w:p w:rsidR="00AC37C4" w:rsidRDefault="00AC37C4">
      <w:r>
        <w:separator/>
      </w:r>
    </w:p>
  </w:footnote>
  <w:footnote w:id="1">
    <w:p w:rsidR="00844851" w:rsidRDefault="008448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 מס' 57</w:t>
        </w:r>
      </w:hyperlink>
      <w:r>
        <w:rPr>
          <w:rFonts w:cs="FrankRuehl" w:hint="cs"/>
          <w:rtl/>
        </w:rPr>
        <w:t xml:space="preserve"> מיום 9.8.1950 עמ' 281 (</w:t>
      </w:r>
      <w:hyperlink r:id="rId2" w:history="1">
        <w:r>
          <w:rPr>
            <w:rStyle w:val="Hyperlink"/>
            <w:rFonts w:cs="FrankRuehl" w:hint="cs"/>
            <w:rtl/>
          </w:rPr>
          <w:t>ה"ח תש"י מס' 36</w:t>
        </w:r>
      </w:hyperlink>
      <w:r>
        <w:rPr>
          <w:rFonts w:cs="FrankRuehl" w:hint="cs"/>
          <w:rtl/>
        </w:rPr>
        <w:t xml:space="preserve"> עמ' 119).</w:t>
      </w:r>
    </w:p>
    <w:p w:rsidR="00844851" w:rsidRDefault="008448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Pr>
            <w:rStyle w:val="Hyperlink"/>
            <w:rFonts w:cs="FrankRuehl" w:hint="cs"/>
            <w:rtl/>
          </w:rPr>
          <w:t>ס"ח תשכ"ג מס' 404</w:t>
        </w:r>
      </w:hyperlink>
      <w:r>
        <w:rPr>
          <w:rFonts w:cs="FrankRuehl" w:hint="cs"/>
          <w:rtl/>
        </w:rPr>
        <w:t xml:space="preserve"> מיום 16.8.1963 עמ' 140 (</w:t>
      </w:r>
      <w:hyperlink r:id="rId4" w:history="1">
        <w:r>
          <w:rPr>
            <w:rStyle w:val="Hyperlink"/>
            <w:rFonts w:cs="FrankRuehl" w:hint="eastAsia"/>
            <w:rtl/>
          </w:rPr>
          <w:t>ה</w:t>
        </w:r>
        <w:r>
          <w:rPr>
            <w:rStyle w:val="Hyperlink"/>
            <w:rFonts w:cs="FrankRuehl"/>
            <w:rtl/>
          </w:rPr>
          <w:t>"ח תשכ"ג מס' 576</w:t>
        </w:r>
      </w:hyperlink>
      <w:r>
        <w:rPr>
          <w:rFonts w:cs="FrankRuehl" w:hint="cs"/>
          <w:rtl/>
        </w:rPr>
        <w:t xml:space="preserve"> עמ' 350) </w:t>
      </w:r>
      <w:r>
        <w:rPr>
          <w:rFonts w:cs="FrankRuehl"/>
          <w:rtl/>
        </w:rPr>
        <w:t>–</w:t>
      </w:r>
      <w:r>
        <w:rPr>
          <w:rFonts w:cs="FrankRuehl" w:hint="cs"/>
          <w:rtl/>
        </w:rPr>
        <w:t xml:space="preserve"> תיקון מס' 1; תוקפו מיום תחילת החוק.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4851" w:rsidRDefault="0084485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לעשיית דין בנאצים ובעוזריהם, תש"י–1950</w:t>
    </w:r>
  </w:p>
  <w:p w:rsidR="00844851" w:rsidRDefault="0084485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44851" w:rsidRDefault="0084485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4851" w:rsidRDefault="0084485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לעשיית דין בנאצים ובעוזריהם, תש"י</w:t>
    </w:r>
    <w:r>
      <w:rPr>
        <w:rFonts w:hAnsi="FrankRuehl" w:cs="FrankRuehl" w:hint="cs"/>
        <w:color w:val="000000"/>
        <w:sz w:val="28"/>
        <w:szCs w:val="28"/>
        <w:rtl/>
      </w:rPr>
      <w:t>-</w:t>
    </w:r>
    <w:r>
      <w:rPr>
        <w:rFonts w:hAnsi="FrankRuehl" w:cs="FrankRuehl"/>
        <w:color w:val="000000"/>
        <w:sz w:val="28"/>
        <w:szCs w:val="28"/>
        <w:rtl/>
      </w:rPr>
      <w:t>1950</w:t>
    </w:r>
  </w:p>
  <w:p w:rsidR="00844851" w:rsidRDefault="0084485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44851" w:rsidRDefault="0084485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53E1"/>
    <w:rsid w:val="006E5931"/>
    <w:rsid w:val="00844851"/>
    <w:rsid w:val="00AC37C4"/>
    <w:rsid w:val="00C353E1"/>
    <w:rsid w:val="00EE5A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B75A8E29-2948-414C-92CE-B50A991C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17/PROP-0576.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0404.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404.pdf" TargetMode="External"/><Relationship Id="rId2" Type="http://schemas.openxmlformats.org/officeDocument/2006/relationships/hyperlink" Target="http://www.nevo.co.il/Law_word/law17/PROP-0036.pdf" TargetMode="External"/><Relationship Id="rId1" Type="http://schemas.openxmlformats.org/officeDocument/2006/relationships/hyperlink" Target="http://www.nevo.co.il/Law_word/law14/LAW-0057.pdf" TargetMode="External"/><Relationship Id="rId4" Type="http://schemas.openxmlformats.org/officeDocument/2006/relationships/hyperlink" Target="http://www.nevo.co.il/Law_word/law17/PROP-05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פרק 184</vt:lpstr>
    </vt:vector>
  </TitlesOfParts>
  <Company/>
  <LinksUpToDate>false</LinksUpToDate>
  <CharactersWithSpaces>9659</CharactersWithSpaces>
  <SharedDoc>false</SharedDoc>
  <HLinks>
    <vt:vector size="138" baseType="variant">
      <vt:variant>
        <vt:i4>655482</vt:i4>
      </vt:variant>
      <vt:variant>
        <vt:i4>105</vt:i4>
      </vt:variant>
      <vt:variant>
        <vt:i4>0</vt:i4>
      </vt:variant>
      <vt:variant>
        <vt:i4>5</vt:i4>
      </vt:variant>
      <vt:variant>
        <vt:lpwstr>http://www.nevo.co.il/Law_word/law17/PROP-0576.pdf</vt:lpwstr>
      </vt:variant>
      <vt:variant>
        <vt:lpwstr/>
      </vt:variant>
      <vt:variant>
        <vt:i4>8323081</vt:i4>
      </vt:variant>
      <vt:variant>
        <vt:i4>102</vt:i4>
      </vt:variant>
      <vt:variant>
        <vt:i4>0</vt:i4>
      </vt:variant>
      <vt:variant>
        <vt:i4>5</vt:i4>
      </vt:variant>
      <vt:variant>
        <vt:lpwstr>http://www.nevo.co.il/Law_word/law14/LAW-0404.pdf</vt:lpwstr>
      </vt:variant>
      <vt:variant>
        <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655482</vt:i4>
      </vt:variant>
      <vt:variant>
        <vt:i4>9</vt:i4>
      </vt:variant>
      <vt:variant>
        <vt:i4>0</vt:i4>
      </vt:variant>
      <vt:variant>
        <vt:i4>5</vt:i4>
      </vt:variant>
      <vt:variant>
        <vt:lpwstr>http://www.nevo.co.il/Law_word/law17/PROP-0576.pdf</vt:lpwstr>
      </vt:variant>
      <vt:variant>
        <vt:lpwstr/>
      </vt:variant>
      <vt:variant>
        <vt:i4>8323081</vt:i4>
      </vt:variant>
      <vt:variant>
        <vt:i4>6</vt:i4>
      </vt:variant>
      <vt:variant>
        <vt:i4>0</vt:i4>
      </vt:variant>
      <vt:variant>
        <vt:i4>5</vt:i4>
      </vt:variant>
      <vt:variant>
        <vt:lpwstr>http://www.nevo.co.il/Law_word/law14/LAW-0404.pdf</vt:lpwstr>
      </vt:variant>
      <vt:variant>
        <vt:lpwstr/>
      </vt:variant>
      <vt:variant>
        <vt:i4>983166</vt:i4>
      </vt:variant>
      <vt:variant>
        <vt:i4>3</vt:i4>
      </vt:variant>
      <vt:variant>
        <vt:i4>0</vt:i4>
      </vt:variant>
      <vt:variant>
        <vt:i4>5</vt:i4>
      </vt:variant>
      <vt:variant>
        <vt:lpwstr>http://www.nevo.co.il/Law_word/law17/PROP-0036.pdf</vt:lpwstr>
      </vt:variant>
      <vt:variant>
        <vt:lpwstr/>
      </vt:variant>
      <vt:variant>
        <vt:i4>7995406</vt:i4>
      </vt:variant>
      <vt:variant>
        <vt:i4>0</vt:i4>
      </vt:variant>
      <vt:variant>
        <vt:i4>0</vt:i4>
      </vt:variant>
      <vt:variant>
        <vt:i4>5</vt:i4>
      </vt:variant>
      <vt:variant>
        <vt:lpwstr>http://www.nevo.co.il/Law_word/law14/LAW-0057.pdf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184</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p184</vt:lpwstr>
  </property>
  <property fmtid="{D5CDD505-2E9C-101B-9397-08002B2CF9AE}" pid="3" name="CHNAME">
    <vt:lpwstr>עשיית דין בנאצים ובעוזריהם</vt:lpwstr>
  </property>
  <property fmtid="{D5CDD505-2E9C-101B-9397-08002B2CF9AE}" pid="4" name="LAWNAME">
    <vt:lpwstr>חוק לעשיית דין בנאצים ובעוזריהם, תש"י-1950</vt:lpwstr>
  </property>
  <property fmtid="{D5CDD505-2E9C-101B-9397-08002B2CF9AE}" pid="5" name="LAWNUMBER">
    <vt:lpwstr>0001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עונשין ומשפט פלילי</vt:lpwstr>
  </property>
  <property fmtid="{D5CDD505-2E9C-101B-9397-08002B2CF9AE}" pid="23" name="NOSE21">
    <vt:lpwstr>עבירות</vt:lpwstr>
  </property>
  <property fmtid="{D5CDD505-2E9C-101B-9397-08002B2CF9AE}" pid="24" name="NOSE31">
    <vt:lpwstr>עשיית דין בנאצים ובעוזריהם</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