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AD48" w14:textId="77777777" w:rsidR="00F864C9" w:rsidRDefault="00F864C9">
      <w:pPr>
        <w:pStyle w:val="big-header"/>
        <w:ind w:left="0" w:right="1134"/>
        <w:rPr>
          <w:rFonts w:hint="cs"/>
          <w:rtl/>
        </w:rPr>
      </w:pPr>
      <w:r>
        <w:rPr>
          <w:rtl/>
        </w:rPr>
        <w:t>ח</w:t>
      </w:r>
      <w:r>
        <w:rPr>
          <w:rFonts w:hint="cs"/>
          <w:rtl/>
        </w:rPr>
        <w:t>וק לתיקון דיני המשפחה (מזונות), תשי"ט-1959</w:t>
      </w:r>
    </w:p>
    <w:p w14:paraId="10F553CA" w14:textId="77777777" w:rsidR="000F0E2E" w:rsidRDefault="000F0E2E" w:rsidP="000F0E2E">
      <w:pPr>
        <w:spacing w:line="320" w:lineRule="auto"/>
        <w:jc w:val="left"/>
        <w:rPr>
          <w:rFonts w:hint="cs"/>
          <w:rtl/>
        </w:rPr>
      </w:pPr>
    </w:p>
    <w:p w14:paraId="2E9C1B70" w14:textId="77777777" w:rsidR="00912A63" w:rsidRDefault="00912A63" w:rsidP="000F0E2E">
      <w:pPr>
        <w:spacing w:line="320" w:lineRule="auto"/>
        <w:jc w:val="left"/>
        <w:rPr>
          <w:rFonts w:hint="cs"/>
          <w:rtl/>
        </w:rPr>
      </w:pPr>
    </w:p>
    <w:p w14:paraId="35D5743A" w14:textId="77777777" w:rsidR="000F0E2E" w:rsidRDefault="000F0E2E" w:rsidP="000F0E2E">
      <w:pPr>
        <w:spacing w:line="320" w:lineRule="auto"/>
        <w:jc w:val="left"/>
        <w:rPr>
          <w:rFonts w:cs="FrankRuehl"/>
          <w:szCs w:val="26"/>
          <w:rtl/>
        </w:rPr>
      </w:pPr>
      <w:r w:rsidRPr="000F0E2E">
        <w:rPr>
          <w:rFonts w:cs="Miriam"/>
          <w:szCs w:val="22"/>
          <w:rtl/>
        </w:rPr>
        <w:t>מעמד אישי ומשפחה</w:t>
      </w:r>
      <w:r w:rsidRPr="000F0E2E">
        <w:rPr>
          <w:rFonts w:cs="FrankRuehl"/>
          <w:szCs w:val="26"/>
          <w:rtl/>
        </w:rPr>
        <w:t xml:space="preserve"> – מזונות</w:t>
      </w:r>
    </w:p>
    <w:p w14:paraId="58D8950F" w14:textId="77777777" w:rsidR="000F0E2E" w:rsidRDefault="000F0E2E" w:rsidP="000F0E2E">
      <w:pPr>
        <w:spacing w:line="320" w:lineRule="auto"/>
        <w:jc w:val="left"/>
        <w:rPr>
          <w:rFonts w:cs="FrankRuehl"/>
          <w:szCs w:val="26"/>
          <w:rtl/>
        </w:rPr>
      </w:pPr>
      <w:r w:rsidRPr="000F0E2E">
        <w:rPr>
          <w:rFonts w:cs="Miriam"/>
          <w:szCs w:val="22"/>
          <w:rtl/>
        </w:rPr>
        <w:t>מעמד אישי ומשפחה</w:t>
      </w:r>
      <w:r w:rsidRPr="000F0E2E">
        <w:rPr>
          <w:rFonts w:cs="FrankRuehl"/>
          <w:szCs w:val="26"/>
          <w:rtl/>
        </w:rPr>
        <w:t xml:space="preserve"> – בימ"ש לענייני משפחה</w:t>
      </w:r>
    </w:p>
    <w:p w14:paraId="07DB3EF0" w14:textId="77777777" w:rsidR="000F0E2E" w:rsidRDefault="000F0E2E" w:rsidP="000F0E2E">
      <w:pPr>
        <w:spacing w:line="320" w:lineRule="auto"/>
        <w:jc w:val="left"/>
        <w:rPr>
          <w:rFonts w:cs="FrankRuehl"/>
          <w:szCs w:val="26"/>
          <w:rtl/>
        </w:rPr>
      </w:pPr>
      <w:r w:rsidRPr="000F0E2E">
        <w:rPr>
          <w:rFonts w:cs="Miriam"/>
          <w:szCs w:val="22"/>
          <w:rtl/>
        </w:rPr>
        <w:t>מעמד אישי ומשפחה</w:t>
      </w:r>
      <w:r w:rsidRPr="000F0E2E">
        <w:rPr>
          <w:rFonts w:cs="FrankRuehl"/>
          <w:szCs w:val="26"/>
          <w:rtl/>
        </w:rPr>
        <w:t xml:space="preserve"> – בתי דין רבניים</w:t>
      </w:r>
    </w:p>
    <w:p w14:paraId="010A328A" w14:textId="77777777" w:rsidR="000F0E2E" w:rsidRDefault="000F0E2E" w:rsidP="000F0E2E">
      <w:pPr>
        <w:spacing w:line="320" w:lineRule="auto"/>
        <w:jc w:val="left"/>
        <w:rPr>
          <w:rFonts w:cs="FrankRuehl"/>
          <w:szCs w:val="26"/>
          <w:rtl/>
        </w:rPr>
      </w:pPr>
      <w:r w:rsidRPr="000F0E2E">
        <w:rPr>
          <w:rFonts w:cs="Miriam"/>
          <w:szCs w:val="22"/>
          <w:rtl/>
        </w:rPr>
        <w:t>בתי משפט וסדרי דין</w:t>
      </w:r>
      <w:r w:rsidRPr="000F0E2E">
        <w:rPr>
          <w:rFonts w:cs="FrankRuehl"/>
          <w:szCs w:val="26"/>
          <w:rtl/>
        </w:rPr>
        <w:t xml:space="preserve"> – בתי משפט ובתי דין – בימ"ש לענייני משפחה</w:t>
      </w:r>
    </w:p>
    <w:p w14:paraId="7F419831" w14:textId="77777777" w:rsidR="000F0E2E" w:rsidRPr="000F0E2E" w:rsidRDefault="000F0E2E" w:rsidP="000F0E2E">
      <w:pPr>
        <w:spacing w:line="320" w:lineRule="auto"/>
        <w:jc w:val="left"/>
        <w:rPr>
          <w:rFonts w:cs="Miriam"/>
          <w:szCs w:val="22"/>
          <w:rtl/>
        </w:rPr>
      </w:pPr>
      <w:r w:rsidRPr="000F0E2E">
        <w:rPr>
          <w:rFonts w:cs="Miriam"/>
          <w:szCs w:val="22"/>
          <w:rtl/>
        </w:rPr>
        <w:t>בתי משפט וסדרי דין</w:t>
      </w:r>
      <w:r w:rsidRPr="000F0E2E">
        <w:rPr>
          <w:rFonts w:cs="FrankRuehl"/>
          <w:szCs w:val="26"/>
          <w:rtl/>
        </w:rPr>
        <w:t xml:space="preserve"> – בתי משפט ובתי דין – בתי דין רבניים </w:t>
      </w:r>
    </w:p>
    <w:p w14:paraId="12789B9F" w14:textId="77777777" w:rsidR="00F864C9" w:rsidRDefault="00F864C9">
      <w:pPr>
        <w:pStyle w:val="big-header"/>
        <w:ind w:left="0" w:right="1134"/>
        <w:rPr>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D0B16" w:rsidRPr="00DD0B16" w14:paraId="75141340" w14:textId="77777777" w:rsidTr="00DD0B16">
        <w:tblPrEx>
          <w:tblCellMar>
            <w:top w:w="0" w:type="dxa"/>
            <w:bottom w:w="0" w:type="dxa"/>
          </w:tblCellMar>
        </w:tblPrEx>
        <w:tc>
          <w:tcPr>
            <w:tcW w:w="1247" w:type="dxa"/>
          </w:tcPr>
          <w:p w14:paraId="37F6DF88"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 </w:t>
            </w:r>
          </w:p>
        </w:tc>
        <w:tc>
          <w:tcPr>
            <w:tcW w:w="5669" w:type="dxa"/>
          </w:tcPr>
          <w:p w14:paraId="14EA23CC" w14:textId="77777777" w:rsidR="00DD0B16" w:rsidRPr="00DD0B16" w:rsidRDefault="00DD0B16" w:rsidP="00DD0B16">
            <w:pPr>
              <w:spacing w:line="240" w:lineRule="auto"/>
              <w:jc w:val="left"/>
              <w:rPr>
                <w:rFonts w:cs="Frankruhel" w:hint="cs"/>
                <w:sz w:val="24"/>
                <w:rtl/>
              </w:rPr>
            </w:pPr>
            <w:r>
              <w:rPr>
                <w:rFonts w:cs="Times New Roman"/>
                <w:sz w:val="24"/>
                <w:rtl/>
              </w:rPr>
              <w:t>פרשנות</w:t>
            </w:r>
          </w:p>
        </w:tc>
        <w:tc>
          <w:tcPr>
            <w:tcW w:w="567" w:type="dxa"/>
          </w:tcPr>
          <w:p w14:paraId="756C1635" w14:textId="77777777" w:rsidR="00DD0B16" w:rsidRPr="00DD0B16" w:rsidRDefault="00DD0B16" w:rsidP="00DD0B16">
            <w:pPr>
              <w:spacing w:line="240" w:lineRule="auto"/>
              <w:jc w:val="left"/>
              <w:rPr>
                <w:rStyle w:val="Hyperlink"/>
                <w:rFonts w:hint="cs"/>
                <w:rtl/>
              </w:rPr>
            </w:pPr>
            <w:hyperlink w:anchor="Seif1" w:tooltip="פרשנות" w:history="1">
              <w:r w:rsidRPr="00DD0B16">
                <w:rPr>
                  <w:rStyle w:val="Hyperlink"/>
                </w:rPr>
                <w:t>Go</w:t>
              </w:r>
            </w:hyperlink>
          </w:p>
        </w:tc>
        <w:tc>
          <w:tcPr>
            <w:tcW w:w="850" w:type="dxa"/>
          </w:tcPr>
          <w:p w14:paraId="4E9CEBEF"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D0B16" w:rsidRPr="00DD0B16" w14:paraId="6D47D3D1" w14:textId="77777777" w:rsidTr="00DD0B16">
        <w:tblPrEx>
          <w:tblCellMar>
            <w:top w:w="0" w:type="dxa"/>
            <w:bottom w:w="0" w:type="dxa"/>
          </w:tblCellMar>
        </w:tblPrEx>
        <w:tc>
          <w:tcPr>
            <w:tcW w:w="1247" w:type="dxa"/>
          </w:tcPr>
          <w:p w14:paraId="1E337FE1"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2 </w:t>
            </w:r>
          </w:p>
        </w:tc>
        <w:tc>
          <w:tcPr>
            <w:tcW w:w="5669" w:type="dxa"/>
          </w:tcPr>
          <w:p w14:paraId="38BD9782" w14:textId="77777777" w:rsidR="00DD0B16" w:rsidRPr="00DD0B16" w:rsidRDefault="00DD0B16" w:rsidP="00DD0B16">
            <w:pPr>
              <w:spacing w:line="240" w:lineRule="auto"/>
              <w:jc w:val="left"/>
              <w:rPr>
                <w:rFonts w:cs="Frankruhel" w:hint="cs"/>
                <w:sz w:val="24"/>
                <w:rtl/>
              </w:rPr>
            </w:pPr>
            <w:r>
              <w:rPr>
                <w:rFonts w:cs="Times New Roman"/>
                <w:sz w:val="24"/>
                <w:rtl/>
              </w:rPr>
              <w:t>מזונות לבן זוג</w:t>
            </w:r>
          </w:p>
        </w:tc>
        <w:tc>
          <w:tcPr>
            <w:tcW w:w="567" w:type="dxa"/>
          </w:tcPr>
          <w:p w14:paraId="5C6A159D" w14:textId="77777777" w:rsidR="00DD0B16" w:rsidRPr="00DD0B16" w:rsidRDefault="00DD0B16" w:rsidP="00DD0B16">
            <w:pPr>
              <w:spacing w:line="240" w:lineRule="auto"/>
              <w:jc w:val="left"/>
              <w:rPr>
                <w:rStyle w:val="Hyperlink"/>
                <w:rFonts w:hint="cs"/>
                <w:rtl/>
              </w:rPr>
            </w:pPr>
            <w:hyperlink w:anchor="Seif2" w:tooltip="מזונות לבן זוג" w:history="1">
              <w:r w:rsidRPr="00DD0B16">
                <w:rPr>
                  <w:rStyle w:val="Hyperlink"/>
                </w:rPr>
                <w:t>Go</w:t>
              </w:r>
            </w:hyperlink>
          </w:p>
        </w:tc>
        <w:tc>
          <w:tcPr>
            <w:tcW w:w="850" w:type="dxa"/>
          </w:tcPr>
          <w:p w14:paraId="6CCC1B7F"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D0B16" w:rsidRPr="00DD0B16" w14:paraId="65F0A609" w14:textId="77777777" w:rsidTr="00DD0B16">
        <w:tblPrEx>
          <w:tblCellMar>
            <w:top w:w="0" w:type="dxa"/>
            <w:bottom w:w="0" w:type="dxa"/>
          </w:tblCellMar>
        </w:tblPrEx>
        <w:tc>
          <w:tcPr>
            <w:tcW w:w="1247" w:type="dxa"/>
          </w:tcPr>
          <w:p w14:paraId="7795DC5A"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2א </w:t>
            </w:r>
          </w:p>
        </w:tc>
        <w:tc>
          <w:tcPr>
            <w:tcW w:w="5669" w:type="dxa"/>
          </w:tcPr>
          <w:p w14:paraId="4B336A65" w14:textId="77777777" w:rsidR="00DD0B16" w:rsidRPr="00DD0B16" w:rsidRDefault="00DD0B16" w:rsidP="00DD0B16">
            <w:pPr>
              <w:spacing w:line="240" w:lineRule="auto"/>
              <w:jc w:val="left"/>
              <w:rPr>
                <w:rFonts w:cs="Frankruhel" w:hint="cs"/>
                <w:sz w:val="24"/>
                <w:rtl/>
              </w:rPr>
            </w:pPr>
            <w:r>
              <w:rPr>
                <w:rFonts w:cs="Times New Roman"/>
                <w:sz w:val="24"/>
                <w:rtl/>
              </w:rPr>
              <w:t>התחשבות בהכנסות של בן זוג</w:t>
            </w:r>
          </w:p>
        </w:tc>
        <w:tc>
          <w:tcPr>
            <w:tcW w:w="567" w:type="dxa"/>
          </w:tcPr>
          <w:p w14:paraId="0E858EB8" w14:textId="77777777" w:rsidR="00DD0B16" w:rsidRPr="00DD0B16" w:rsidRDefault="00DD0B16" w:rsidP="00DD0B16">
            <w:pPr>
              <w:spacing w:line="240" w:lineRule="auto"/>
              <w:jc w:val="left"/>
              <w:rPr>
                <w:rStyle w:val="Hyperlink"/>
                <w:rFonts w:hint="cs"/>
                <w:rtl/>
              </w:rPr>
            </w:pPr>
            <w:hyperlink w:anchor="Seif3" w:tooltip="התחשבות בהכנסות של בן זוג" w:history="1">
              <w:r w:rsidRPr="00DD0B16">
                <w:rPr>
                  <w:rStyle w:val="Hyperlink"/>
                </w:rPr>
                <w:t>Go</w:t>
              </w:r>
            </w:hyperlink>
          </w:p>
        </w:tc>
        <w:tc>
          <w:tcPr>
            <w:tcW w:w="850" w:type="dxa"/>
          </w:tcPr>
          <w:p w14:paraId="34C0DD25"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D0B16" w:rsidRPr="00DD0B16" w14:paraId="1E296E08" w14:textId="77777777" w:rsidTr="00DD0B16">
        <w:tblPrEx>
          <w:tblCellMar>
            <w:top w:w="0" w:type="dxa"/>
            <w:bottom w:w="0" w:type="dxa"/>
          </w:tblCellMar>
        </w:tblPrEx>
        <w:tc>
          <w:tcPr>
            <w:tcW w:w="1247" w:type="dxa"/>
          </w:tcPr>
          <w:p w14:paraId="5C1EA00D"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3 </w:t>
            </w:r>
          </w:p>
        </w:tc>
        <w:tc>
          <w:tcPr>
            <w:tcW w:w="5669" w:type="dxa"/>
          </w:tcPr>
          <w:p w14:paraId="1DEF0B6F" w14:textId="77777777" w:rsidR="00DD0B16" w:rsidRPr="00DD0B16" w:rsidRDefault="00DD0B16" w:rsidP="00DD0B16">
            <w:pPr>
              <w:spacing w:line="240" w:lineRule="auto"/>
              <w:jc w:val="left"/>
              <w:rPr>
                <w:rFonts w:cs="Frankruhel" w:hint="cs"/>
                <w:sz w:val="24"/>
                <w:rtl/>
              </w:rPr>
            </w:pPr>
            <w:r>
              <w:rPr>
                <w:rFonts w:cs="Times New Roman"/>
                <w:sz w:val="24"/>
                <w:rtl/>
              </w:rPr>
              <w:t>מזונות לילדים קטינים</w:t>
            </w:r>
          </w:p>
        </w:tc>
        <w:tc>
          <w:tcPr>
            <w:tcW w:w="567" w:type="dxa"/>
          </w:tcPr>
          <w:p w14:paraId="76966CB3" w14:textId="77777777" w:rsidR="00DD0B16" w:rsidRPr="00DD0B16" w:rsidRDefault="00DD0B16" w:rsidP="00DD0B16">
            <w:pPr>
              <w:spacing w:line="240" w:lineRule="auto"/>
              <w:jc w:val="left"/>
              <w:rPr>
                <w:rStyle w:val="Hyperlink"/>
                <w:rFonts w:hint="cs"/>
                <w:rtl/>
              </w:rPr>
            </w:pPr>
            <w:hyperlink w:anchor="Seif4" w:tooltip="מזונות לילדים קטינים" w:history="1">
              <w:r w:rsidRPr="00DD0B16">
                <w:rPr>
                  <w:rStyle w:val="Hyperlink"/>
                </w:rPr>
                <w:t>Go</w:t>
              </w:r>
            </w:hyperlink>
          </w:p>
        </w:tc>
        <w:tc>
          <w:tcPr>
            <w:tcW w:w="850" w:type="dxa"/>
          </w:tcPr>
          <w:p w14:paraId="03D504E5"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D0B16" w:rsidRPr="00DD0B16" w14:paraId="04DF22AD" w14:textId="77777777" w:rsidTr="00DD0B16">
        <w:tblPrEx>
          <w:tblCellMar>
            <w:top w:w="0" w:type="dxa"/>
            <w:bottom w:w="0" w:type="dxa"/>
          </w:tblCellMar>
        </w:tblPrEx>
        <w:tc>
          <w:tcPr>
            <w:tcW w:w="1247" w:type="dxa"/>
          </w:tcPr>
          <w:p w14:paraId="366EDC28"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3א </w:t>
            </w:r>
          </w:p>
        </w:tc>
        <w:tc>
          <w:tcPr>
            <w:tcW w:w="5669" w:type="dxa"/>
          </w:tcPr>
          <w:p w14:paraId="5600CDA9" w14:textId="77777777" w:rsidR="00DD0B16" w:rsidRPr="00DD0B16" w:rsidRDefault="00DD0B16" w:rsidP="00DD0B16">
            <w:pPr>
              <w:spacing w:line="240" w:lineRule="auto"/>
              <w:jc w:val="left"/>
              <w:rPr>
                <w:rFonts w:cs="Frankruhel" w:hint="cs"/>
                <w:sz w:val="24"/>
                <w:rtl/>
              </w:rPr>
            </w:pPr>
            <w:r>
              <w:rPr>
                <w:rFonts w:cs="Times New Roman"/>
                <w:sz w:val="24"/>
                <w:rtl/>
              </w:rPr>
              <w:t>מזונות קטין</w:t>
            </w:r>
          </w:p>
        </w:tc>
        <w:tc>
          <w:tcPr>
            <w:tcW w:w="567" w:type="dxa"/>
          </w:tcPr>
          <w:p w14:paraId="77DEB225" w14:textId="77777777" w:rsidR="00DD0B16" w:rsidRPr="00DD0B16" w:rsidRDefault="00DD0B16" w:rsidP="00DD0B16">
            <w:pPr>
              <w:spacing w:line="240" w:lineRule="auto"/>
              <w:jc w:val="left"/>
              <w:rPr>
                <w:rStyle w:val="Hyperlink"/>
                <w:rFonts w:hint="cs"/>
                <w:rtl/>
              </w:rPr>
            </w:pPr>
            <w:hyperlink w:anchor="Seif5" w:tooltip="מזונות קטין" w:history="1">
              <w:r w:rsidRPr="00DD0B16">
                <w:rPr>
                  <w:rStyle w:val="Hyperlink"/>
                </w:rPr>
                <w:t>Go</w:t>
              </w:r>
            </w:hyperlink>
          </w:p>
        </w:tc>
        <w:tc>
          <w:tcPr>
            <w:tcW w:w="850" w:type="dxa"/>
          </w:tcPr>
          <w:p w14:paraId="356528E8"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D0B16" w:rsidRPr="00DD0B16" w14:paraId="73E967E5" w14:textId="77777777" w:rsidTr="00DD0B16">
        <w:tblPrEx>
          <w:tblCellMar>
            <w:top w:w="0" w:type="dxa"/>
            <w:bottom w:w="0" w:type="dxa"/>
          </w:tblCellMar>
        </w:tblPrEx>
        <w:tc>
          <w:tcPr>
            <w:tcW w:w="1247" w:type="dxa"/>
          </w:tcPr>
          <w:p w14:paraId="7F420AE1"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4 </w:t>
            </w:r>
          </w:p>
        </w:tc>
        <w:tc>
          <w:tcPr>
            <w:tcW w:w="5669" w:type="dxa"/>
          </w:tcPr>
          <w:p w14:paraId="23A8573F" w14:textId="77777777" w:rsidR="00DD0B16" w:rsidRPr="00DD0B16" w:rsidRDefault="00DD0B16" w:rsidP="00DD0B16">
            <w:pPr>
              <w:spacing w:line="240" w:lineRule="auto"/>
              <w:jc w:val="left"/>
              <w:rPr>
                <w:rFonts w:cs="Frankruhel" w:hint="cs"/>
                <w:sz w:val="24"/>
                <w:rtl/>
              </w:rPr>
            </w:pPr>
            <w:r>
              <w:rPr>
                <w:rFonts w:cs="Times New Roman"/>
                <w:sz w:val="24"/>
                <w:rtl/>
              </w:rPr>
              <w:t>מזונות בין שאר בני משפחה</w:t>
            </w:r>
          </w:p>
        </w:tc>
        <w:tc>
          <w:tcPr>
            <w:tcW w:w="567" w:type="dxa"/>
          </w:tcPr>
          <w:p w14:paraId="0C27C8F5" w14:textId="77777777" w:rsidR="00DD0B16" w:rsidRPr="00DD0B16" w:rsidRDefault="00DD0B16" w:rsidP="00DD0B16">
            <w:pPr>
              <w:spacing w:line="240" w:lineRule="auto"/>
              <w:jc w:val="left"/>
              <w:rPr>
                <w:rStyle w:val="Hyperlink"/>
                <w:rFonts w:hint="cs"/>
                <w:rtl/>
              </w:rPr>
            </w:pPr>
            <w:hyperlink w:anchor="Seif6" w:tooltip="מזונות בין שאר בני משפחה" w:history="1">
              <w:r w:rsidRPr="00DD0B16">
                <w:rPr>
                  <w:rStyle w:val="Hyperlink"/>
                </w:rPr>
                <w:t>Go</w:t>
              </w:r>
            </w:hyperlink>
          </w:p>
        </w:tc>
        <w:tc>
          <w:tcPr>
            <w:tcW w:w="850" w:type="dxa"/>
          </w:tcPr>
          <w:p w14:paraId="6D5513E7"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D0B16" w:rsidRPr="00DD0B16" w14:paraId="428430C4" w14:textId="77777777" w:rsidTr="00DD0B16">
        <w:tblPrEx>
          <w:tblCellMar>
            <w:top w:w="0" w:type="dxa"/>
            <w:bottom w:w="0" w:type="dxa"/>
          </w:tblCellMar>
        </w:tblPrEx>
        <w:tc>
          <w:tcPr>
            <w:tcW w:w="1247" w:type="dxa"/>
          </w:tcPr>
          <w:p w14:paraId="5C43BA72"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5 </w:t>
            </w:r>
          </w:p>
        </w:tc>
        <w:tc>
          <w:tcPr>
            <w:tcW w:w="5669" w:type="dxa"/>
          </w:tcPr>
          <w:p w14:paraId="2D5483CD" w14:textId="77777777" w:rsidR="00DD0B16" w:rsidRPr="00DD0B16" w:rsidRDefault="00DD0B16" w:rsidP="00DD0B16">
            <w:pPr>
              <w:spacing w:line="240" w:lineRule="auto"/>
              <w:jc w:val="left"/>
              <w:rPr>
                <w:rFonts w:cs="Frankruhel" w:hint="cs"/>
                <w:sz w:val="24"/>
                <w:rtl/>
              </w:rPr>
            </w:pPr>
            <w:r>
              <w:rPr>
                <w:rFonts w:cs="Times New Roman"/>
                <w:sz w:val="24"/>
                <w:rtl/>
              </w:rPr>
              <w:t>סולם המזונות</w:t>
            </w:r>
          </w:p>
        </w:tc>
        <w:tc>
          <w:tcPr>
            <w:tcW w:w="567" w:type="dxa"/>
          </w:tcPr>
          <w:p w14:paraId="1E5127E4" w14:textId="77777777" w:rsidR="00DD0B16" w:rsidRPr="00DD0B16" w:rsidRDefault="00DD0B16" w:rsidP="00DD0B16">
            <w:pPr>
              <w:spacing w:line="240" w:lineRule="auto"/>
              <w:jc w:val="left"/>
              <w:rPr>
                <w:rStyle w:val="Hyperlink"/>
                <w:rFonts w:hint="cs"/>
                <w:rtl/>
              </w:rPr>
            </w:pPr>
            <w:hyperlink w:anchor="Seif7" w:tooltip="סולם המזונות" w:history="1">
              <w:r w:rsidRPr="00DD0B16">
                <w:rPr>
                  <w:rStyle w:val="Hyperlink"/>
                </w:rPr>
                <w:t>Go</w:t>
              </w:r>
            </w:hyperlink>
          </w:p>
        </w:tc>
        <w:tc>
          <w:tcPr>
            <w:tcW w:w="850" w:type="dxa"/>
          </w:tcPr>
          <w:p w14:paraId="2A741631"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D0B16" w:rsidRPr="00DD0B16" w14:paraId="482E6B6E" w14:textId="77777777" w:rsidTr="00DD0B16">
        <w:tblPrEx>
          <w:tblCellMar>
            <w:top w:w="0" w:type="dxa"/>
            <w:bottom w:w="0" w:type="dxa"/>
          </w:tblCellMar>
        </w:tblPrEx>
        <w:tc>
          <w:tcPr>
            <w:tcW w:w="1247" w:type="dxa"/>
          </w:tcPr>
          <w:p w14:paraId="644F964F"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6 </w:t>
            </w:r>
          </w:p>
        </w:tc>
        <w:tc>
          <w:tcPr>
            <w:tcW w:w="5669" w:type="dxa"/>
          </w:tcPr>
          <w:p w14:paraId="5C463CFF" w14:textId="77777777" w:rsidR="00DD0B16" w:rsidRPr="00DD0B16" w:rsidRDefault="00DD0B16" w:rsidP="00DD0B16">
            <w:pPr>
              <w:spacing w:line="240" w:lineRule="auto"/>
              <w:jc w:val="left"/>
              <w:rPr>
                <w:rFonts w:cs="Frankruhel" w:hint="cs"/>
                <w:sz w:val="24"/>
                <w:rtl/>
              </w:rPr>
            </w:pPr>
            <w:r>
              <w:rPr>
                <w:rFonts w:cs="Times New Roman"/>
                <w:sz w:val="24"/>
                <w:rtl/>
              </w:rPr>
              <w:t>היקף המזונות</w:t>
            </w:r>
          </w:p>
        </w:tc>
        <w:tc>
          <w:tcPr>
            <w:tcW w:w="567" w:type="dxa"/>
          </w:tcPr>
          <w:p w14:paraId="0D9EFCD9" w14:textId="77777777" w:rsidR="00DD0B16" w:rsidRPr="00DD0B16" w:rsidRDefault="00DD0B16" w:rsidP="00DD0B16">
            <w:pPr>
              <w:spacing w:line="240" w:lineRule="auto"/>
              <w:jc w:val="left"/>
              <w:rPr>
                <w:rStyle w:val="Hyperlink"/>
                <w:rFonts w:hint="cs"/>
                <w:rtl/>
              </w:rPr>
            </w:pPr>
            <w:hyperlink w:anchor="Seif8" w:tooltip="היקף המזונות" w:history="1">
              <w:r w:rsidRPr="00DD0B16">
                <w:rPr>
                  <w:rStyle w:val="Hyperlink"/>
                </w:rPr>
                <w:t>Go</w:t>
              </w:r>
            </w:hyperlink>
          </w:p>
        </w:tc>
        <w:tc>
          <w:tcPr>
            <w:tcW w:w="850" w:type="dxa"/>
          </w:tcPr>
          <w:p w14:paraId="2756CE20"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6F75B831" w14:textId="77777777" w:rsidTr="00DD0B16">
        <w:tblPrEx>
          <w:tblCellMar>
            <w:top w:w="0" w:type="dxa"/>
            <w:bottom w:w="0" w:type="dxa"/>
          </w:tblCellMar>
        </w:tblPrEx>
        <w:tc>
          <w:tcPr>
            <w:tcW w:w="1247" w:type="dxa"/>
          </w:tcPr>
          <w:p w14:paraId="37DC3194"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7 </w:t>
            </w:r>
          </w:p>
        </w:tc>
        <w:tc>
          <w:tcPr>
            <w:tcW w:w="5669" w:type="dxa"/>
          </w:tcPr>
          <w:p w14:paraId="1566D3B5" w14:textId="77777777" w:rsidR="00DD0B16" w:rsidRPr="00DD0B16" w:rsidRDefault="00DD0B16" w:rsidP="00DD0B16">
            <w:pPr>
              <w:spacing w:line="240" w:lineRule="auto"/>
              <w:jc w:val="left"/>
              <w:rPr>
                <w:rFonts w:cs="Frankruhel" w:hint="cs"/>
                <w:sz w:val="24"/>
                <w:rtl/>
              </w:rPr>
            </w:pPr>
            <w:r>
              <w:rPr>
                <w:rFonts w:cs="Times New Roman"/>
                <w:sz w:val="24"/>
                <w:rtl/>
              </w:rPr>
              <w:t>חייבים אחרים</w:t>
            </w:r>
          </w:p>
        </w:tc>
        <w:tc>
          <w:tcPr>
            <w:tcW w:w="567" w:type="dxa"/>
          </w:tcPr>
          <w:p w14:paraId="24D49189" w14:textId="77777777" w:rsidR="00DD0B16" w:rsidRPr="00DD0B16" w:rsidRDefault="00DD0B16" w:rsidP="00DD0B16">
            <w:pPr>
              <w:spacing w:line="240" w:lineRule="auto"/>
              <w:jc w:val="left"/>
              <w:rPr>
                <w:rStyle w:val="Hyperlink"/>
                <w:rFonts w:hint="cs"/>
                <w:rtl/>
              </w:rPr>
            </w:pPr>
            <w:hyperlink w:anchor="Seif9" w:tooltip="חייבים אחרים" w:history="1">
              <w:r w:rsidRPr="00DD0B16">
                <w:rPr>
                  <w:rStyle w:val="Hyperlink"/>
                </w:rPr>
                <w:t>Go</w:t>
              </w:r>
            </w:hyperlink>
          </w:p>
        </w:tc>
        <w:tc>
          <w:tcPr>
            <w:tcW w:w="850" w:type="dxa"/>
          </w:tcPr>
          <w:p w14:paraId="09DFF2E4"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34EDCC89" w14:textId="77777777" w:rsidTr="00DD0B16">
        <w:tblPrEx>
          <w:tblCellMar>
            <w:top w:w="0" w:type="dxa"/>
            <w:bottom w:w="0" w:type="dxa"/>
          </w:tblCellMar>
        </w:tblPrEx>
        <w:tc>
          <w:tcPr>
            <w:tcW w:w="1247" w:type="dxa"/>
          </w:tcPr>
          <w:p w14:paraId="122825D1"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8 </w:t>
            </w:r>
          </w:p>
        </w:tc>
        <w:tc>
          <w:tcPr>
            <w:tcW w:w="5669" w:type="dxa"/>
          </w:tcPr>
          <w:p w14:paraId="293F79B3" w14:textId="77777777" w:rsidR="00DD0B16" w:rsidRPr="00DD0B16" w:rsidRDefault="00DD0B16" w:rsidP="00DD0B16">
            <w:pPr>
              <w:spacing w:line="240" w:lineRule="auto"/>
              <w:jc w:val="left"/>
              <w:rPr>
                <w:rFonts w:cs="Frankruhel" w:hint="cs"/>
                <w:sz w:val="24"/>
                <w:rtl/>
              </w:rPr>
            </w:pPr>
            <w:r>
              <w:rPr>
                <w:rFonts w:cs="Times New Roman"/>
                <w:sz w:val="24"/>
                <w:rtl/>
              </w:rPr>
              <w:t>הבטחת מזונות</w:t>
            </w:r>
          </w:p>
        </w:tc>
        <w:tc>
          <w:tcPr>
            <w:tcW w:w="567" w:type="dxa"/>
          </w:tcPr>
          <w:p w14:paraId="032C9967" w14:textId="77777777" w:rsidR="00DD0B16" w:rsidRPr="00DD0B16" w:rsidRDefault="00DD0B16" w:rsidP="00DD0B16">
            <w:pPr>
              <w:spacing w:line="240" w:lineRule="auto"/>
              <w:jc w:val="left"/>
              <w:rPr>
                <w:rStyle w:val="Hyperlink"/>
                <w:rFonts w:hint="cs"/>
                <w:rtl/>
              </w:rPr>
            </w:pPr>
            <w:hyperlink w:anchor="Seif10" w:tooltip="הבטחת מזונות" w:history="1">
              <w:r w:rsidRPr="00DD0B16">
                <w:rPr>
                  <w:rStyle w:val="Hyperlink"/>
                </w:rPr>
                <w:t>Go</w:t>
              </w:r>
            </w:hyperlink>
          </w:p>
        </w:tc>
        <w:tc>
          <w:tcPr>
            <w:tcW w:w="850" w:type="dxa"/>
          </w:tcPr>
          <w:p w14:paraId="6105C1EF"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3083E897" w14:textId="77777777" w:rsidTr="00DD0B16">
        <w:tblPrEx>
          <w:tblCellMar>
            <w:top w:w="0" w:type="dxa"/>
            <w:bottom w:w="0" w:type="dxa"/>
          </w:tblCellMar>
        </w:tblPrEx>
        <w:tc>
          <w:tcPr>
            <w:tcW w:w="1247" w:type="dxa"/>
          </w:tcPr>
          <w:p w14:paraId="21CC8507"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9 </w:t>
            </w:r>
          </w:p>
        </w:tc>
        <w:tc>
          <w:tcPr>
            <w:tcW w:w="5669" w:type="dxa"/>
          </w:tcPr>
          <w:p w14:paraId="3E182E8A" w14:textId="77777777" w:rsidR="00DD0B16" w:rsidRPr="00DD0B16" w:rsidRDefault="00DD0B16" w:rsidP="00DD0B16">
            <w:pPr>
              <w:spacing w:line="240" w:lineRule="auto"/>
              <w:jc w:val="left"/>
              <w:rPr>
                <w:rFonts w:cs="Frankruhel" w:hint="cs"/>
                <w:sz w:val="24"/>
                <w:rtl/>
              </w:rPr>
            </w:pPr>
            <w:r>
              <w:rPr>
                <w:rFonts w:cs="Times New Roman"/>
                <w:sz w:val="24"/>
                <w:rtl/>
              </w:rPr>
              <w:t>פטור ממזונות</w:t>
            </w:r>
          </w:p>
        </w:tc>
        <w:tc>
          <w:tcPr>
            <w:tcW w:w="567" w:type="dxa"/>
          </w:tcPr>
          <w:p w14:paraId="40BE4B89" w14:textId="77777777" w:rsidR="00DD0B16" w:rsidRPr="00DD0B16" w:rsidRDefault="00DD0B16" w:rsidP="00DD0B16">
            <w:pPr>
              <w:spacing w:line="240" w:lineRule="auto"/>
              <w:jc w:val="left"/>
              <w:rPr>
                <w:rStyle w:val="Hyperlink"/>
                <w:rFonts w:hint="cs"/>
                <w:rtl/>
              </w:rPr>
            </w:pPr>
            <w:hyperlink w:anchor="Seif11" w:tooltip="פטור ממזונות" w:history="1">
              <w:r w:rsidRPr="00DD0B16">
                <w:rPr>
                  <w:rStyle w:val="Hyperlink"/>
                </w:rPr>
                <w:t>Go</w:t>
              </w:r>
            </w:hyperlink>
          </w:p>
        </w:tc>
        <w:tc>
          <w:tcPr>
            <w:tcW w:w="850" w:type="dxa"/>
          </w:tcPr>
          <w:p w14:paraId="5F6493B8"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4E405CEA" w14:textId="77777777" w:rsidTr="00DD0B16">
        <w:tblPrEx>
          <w:tblCellMar>
            <w:top w:w="0" w:type="dxa"/>
            <w:bottom w:w="0" w:type="dxa"/>
          </w:tblCellMar>
        </w:tblPrEx>
        <w:tc>
          <w:tcPr>
            <w:tcW w:w="1247" w:type="dxa"/>
          </w:tcPr>
          <w:p w14:paraId="4F7EAE2A"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10 </w:t>
            </w:r>
          </w:p>
        </w:tc>
        <w:tc>
          <w:tcPr>
            <w:tcW w:w="5669" w:type="dxa"/>
          </w:tcPr>
          <w:p w14:paraId="49EC5BC5" w14:textId="77777777" w:rsidR="00DD0B16" w:rsidRPr="00DD0B16" w:rsidRDefault="00DD0B16" w:rsidP="00DD0B16">
            <w:pPr>
              <w:spacing w:line="240" w:lineRule="auto"/>
              <w:jc w:val="left"/>
              <w:rPr>
                <w:rFonts w:cs="Frankruhel" w:hint="cs"/>
                <w:sz w:val="24"/>
                <w:rtl/>
              </w:rPr>
            </w:pPr>
            <w:r>
              <w:rPr>
                <w:rFonts w:cs="Times New Roman"/>
                <w:sz w:val="24"/>
                <w:rtl/>
              </w:rPr>
              <w:t>מזונות זמניים</w:t>
            </w:r>
          </w:p>
        </w:tc>
        <w:tc>
          <w:tcPr>
            <w:tcW w:w="567" w:type="dxa"/>
          </w:tcPr>
          <w:p w14:paraId="0B897E98" w14:textId="77777777" w:rsidR="00DD0B16" w:rsidRPr="00DD0B16" w:rsidRDefault="00DD0B16" w:rsidP="00DD0B16">
            <w:pPr>
              <w:spacing w:line="240" w:lineRule="auto"/>
              <w:jc w:val="left"/>
              <w:rPr>
                <w:rStyle w:val="Hyperlink"/>
                <w:rFonts w:hint="cs"/>
                <w:rtl/>
              </w:rPr>
            </w:pPr>
            <w:hyperlink w:anchor="Seif12" w:tooltip="מזונות זמניים" w:history="1">
              <w:r w:rsidRPr="00DD0B16">
                <w:rPr>
                  <w:rStyle w:val="Hyperlink"/>
                </w:rPr>
                <w:t>Go</w:t>
              </w:r>
            </w:hyperlink>
          </w:p>
        </w:tc>
        <w:tc>
          <w:tcPr>
            <w:tcW w:w="850" w:type="dxa"/>
          </w:tcPr>
          <w:p w14:paraId="34CA4185"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66823B54" w14:textId="77777777" w:rsidTr="00DD0B16">
        <w:tblPrEx>
          <w:tblCellMar>
            <w:top w:w="0" w:type="dxa"/>
            <w:bottom w:w="0" w:type="dxa"/>
          </w:tblCellMar>
        </w:tblPrEx>
        <w:tc>
          <w:tcPr>
            <w:tcW w:w="1247" w:type="dxa"/>
          </w:tcPr>
          <w:p w14:paraId="16394F6F"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11 </w:t>
            </w:r>
          </w:p>
        </w:tc>
        <w:tc>
          <w:tcPr>
            <w:tcW w:w="5669" w:type="dxa"/>
          </w:tcPr>
          <w:p w14:paraId="2FA9014F" w14:textId="77777777" w:rsidR="00DD0B16" w:rsidRPr="00DD0B16" w:rsidRDefault="00DD0B16" w:rsidP="00DD0B16">
            <w:pPr>
              <w:spacing w:line="240" w:lineRule="auto"/>
              <w:jc w:val="left"/>
              <w:rPr>
                <w:rFonts w:cs="Frankruhel" w:hint="cs"/>
                <w:sz w:val="24"/>
                <w:rtl/>
              </w:rPr>
            </w:pPr>
            <w:r>
              <w:rPr>
                <w:rFonts w:cs="Times New Roman"/>
                <w:sz w:val="24"/>
                <w:rtl/>
              </w:rPr>
              <w:t>סייג למזונות בעד העבר</w:t>
            </w:r>
          </w:p>
        </w:tc>
        <w:tc>
          <w:tcPr>
            <w:tcW w:w="567" w:type="dxa"/>
          </w:tcPr>
          <w:p w14:paraId="01A3FF15" w14:textId="77777777" w:rsidR="00DD0B16" w:rsidRPr="00DD0B16" w:rsidRDefault="00DD0B16" w:rsidP="00DD0B16">
            <w:pPr>
              <w:spacing w:line="240" w:lineRule="auto"/>
              <w:jc w:val="left"/>
              <w:rPr>
                <w:rStyle w:val="Hyperlink"/>
                <w:rFonts w:hint="cs"/>
                <w:rtl/>
              </w:rPr>
            </w:pPr>
            <w:hyperlink w:anchor="Seif13" w:tooltip="סייג למזונות בעד העבר" w:history="1">
              <w:r w:rsidRPr="00DD0B16">
                <w:rPr>
                  <w:rStyle w:val="Hyperlink"/>
                </w:rPr>
                <w:t>Go</w:t>
              </w:r>
            </w:hyperlink>
          </w:p>
        </w:tc>
        <w:tc>
          <w:tcPr>
            <w:tcW w:w="850" w:type="dxa"/>
          </w:tcPr>
          <w:p w14:paraId="0B7D71C5"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1FD8CCD0" w14:textId="77777777" w:rsidTr="00DD0B16">
        <w:tblPrEx>
          <w:tblCellMar>
            <w:top w:w="0" w:type="dxa"/>
            <w:bottom w:w="0" w:type="dxa"/>
          </w:tblCellMar>
        </w:tblPrEx>
        <w:tc>
          <w:tcPr>
            <w:tcW w:w="1247" w:type="dxa"/>
          </w:tcPr>
          <w:p w14:paraId="2D2AE3AA"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11א </w:t>
            </w:r>
          </w:p>
        </w:tc>
        <w:tc>
          <w:tcPr>
            <w:tcW w:w="5669" w:type="dxa"/>
          </w:tcPr>
          <w:p w14:paraId="616CC054" w14:textId="77777777" w:rsidR="00DD0B16" w:rsidRPr="00DD0B16" w:rsidRDefault="00DD0B16" w:rsidP="00DD0B16">
            <w:pPr>
              <w:spacing w:line="240" w:lineRule="auto"/>
              <w:jc w:val="left"/>
              <w:rPr>
                <w:rFonts w:cs="Frankruhel" w:hint="cs"/>
                <w:sz w:val="24"/>
                <w:rtl/>
              </w:rPr>
            </w:pPr>
            <w:r>
              <w:rPr>
                <w:rFonts w:cs="Times New Roman"/>
                <w:sz w:val="24"/>
                <w:rtl/>
              </w:rPr>
              <w:t>תשלום בשיעורים של מזונות בעד העבר</w:t>
            </w:r>
          </w:p>
        </w:tc>
        <w:tc>
          <w:tcPr>
            <w:tcW w:w="567" w:type="dxa"/>
          </w:tcPr>
          <w:p w14:paraId="241B52F9" w14:textId="77777777" w:rsidR="00DD0B16" w:rsidRPr="00DD0B16" w:rsidRDefault="00DD0B16" w:rsidP="00DD0B16">
            <w:pPr>
              <w:spacing w:line="240" w:lineRule="auto"/>
              <w:jc w:val="left"/>
              <w:rPr>
                <w:rStyle w:val="Hyperlink"/>
                <w:rFonts w:hint="cs"/>
                <w:rtl/>
              </w:rPr>
            </w:pPr>
            <w:hyperlink w:anchor="Seif23" w:tooltip="תשלום בשיעורים של מזונות בעד העבר" w:history="1">
              <w:r w:rsidRPr="00DD0B16">
                <w:rPr>
                  <w:rStyle w:val="Hyperlink"/>
                </w:rPr>
                <w:t>Go</w:t>
              </w:r>
            </w:hyperlink>
          </w:p>
        </w:tc>
        <w:tc>
          <w:tcPr>
            <w:tcW w:w="850" w:type="dxa"/>
          </w:tcPr>
          <w:p w14:paraId="474AE8FB"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6AE14C58" w14:textId="77777777" w:rsidTr="00DD0B16">
        <w:tblPrEx>
          <w:tblCellMar>
            <w:top w:w="0" w:type="dxa"/>
            <w:bottom w:w="0" w:type="dxa"/>
          </w:tblCellMar>
        </w:tblPrEx>
        <w:tc>
          <w:tcPr>
            <w:tcW w:w="1247" w:type="dxa"/>
          </w:tcPr>
          <w:p w14:paraId="5B36030E"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12 </w:t>
            </w:r>
          </w:p>
        </w:tc>
        <w:tc>
          <w:tcPr>
            <w:tcW w:w="5669" w:type="dxa"/>
          </w:tcPr>
          <w:p w14:paraId="42201278" w14:textId="77777777" w:rsidR="00DD0B16" w:rsidRPr="00DD0B16" w:rsidRDefault="00DD0B16" w:rsidP="00DD0B16">
            <w:pPr>
              <w:spacing w:line="240" w:lineRule="auto"/>
              <w:jc w:val="left"/>
              <w:rPr>
                <w:rFonts w:cs="Frankruhel" w:hint="cs"/>
                <w:sz w:val="24"/>
                <w:rtl/>
              </w:rPr>
            </w:pPr>
            <w:r>
              <w:rPr>
                <w:rFonts w:cs="Times New Roman"/>
                <w:sz w:val="24"/>
                <w:rtl/>
              </w:rPr>
              <w:t>הסכמים בדבר מזונות</w:t>
            </w:r>
          </w:p>
        </w:tc>
        <w:tc>
          <w:tcPr>
            <w:tcW w:w="567" w:type="dxa"/>
          </w:tcPr>
          <w:p w14:paraId="63714C06" w14:textId="77777777" w:rsidR="00DD0B16" w:rsidRPr="00DD0B16" w:rsidRDefault="00DD0B16" w:rsidP="00DD0B16">
            <w:pPr>
              <w:spacing w:line="240" w:lineRule="auto"/>
              <w:jc w:val="left"/>
              <w:rPr>
                <w:rStyle w:val="Hyperlink"/>
                <w:rFonts w:hint="cs"/>
                <w:rtl/>
              </w:rPr>
            </w:pPr>
            <w:hyperlink w:anchor="Seif14" w:tooltip="הסכמים בדבר מזונות" w:history="1">
              <w:r w:rsidRPr="00DD0B16">
                <w:rPr>
                  <w:rStyle w:val="Hyperlink"/>
                </w:rPr>
                <w:t>Go</w:t>
              </w:r>
            </w:hyperlink>
          </w:p>
        </w:tc>
        <w:tc>
          <w:tcPr>
            <w:tcW w:w="850" w:type="dxa"/>
          </w:tcPr>
          <w:p w14:paraId="0C7E787F"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0FA09FB5" w14:textId="77777777" w:rsidTr="00DD0B16">
        <w:tblPrEx>
          <w:tblCellMar>
            <w:top w:w="0" w:type="dxa"/>
            <w:bottom w:w="0" w:type="dxa"/>
          </w:tblCellMar>
        </w:tblPrEx>
        <w:tc>
          <w:tcPr>
            <w:tcW w:w="1247" w:type="dxa"/>
          </w:tcPr>
          <w:p w14:paraId="603AAC40"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13 </w:t>
            </w:r>
          </w:p>
        </w:tc>
        <w:tc>
          <w:tcPr>
            <w:tcW w:w="5669" w:type="dxa"/>
          </w:tcPr>
          <w:p w14:paraId="45EEFCD3" w14:textId="77777777" w:rsidR="00DD0B16" w:rsidRPr="00DD0B16" w:rsidRDefault="00DD0B16" w:rsidP="00DD0B16">
            <w:pPr>
              <w:spacing w:line="240" w:lineRule="auto"/>
              <w:jc w:val="left"/>
              <w:rPr>
                <w:rFonts w:cs="Frankruhel" w:hint="cs"/>
                <w:sz w:val="24"/>
                <w:rtl/>
              </w:rPr>
            </w:pPr>
            <w:r>
              <w:rPr>
                <w:rFonts w:cs="Times New Roman"/>
                <w:sz w:val="24"/>
                <w:rtl/>
              </w:rPr>
              <w:t>שינויים בנסיבות</w:t>
            </w:r>
          </w:p>
        </w:tc>
        <w:tc>
          <w:tcPr>
            <w:tcW w:w="567" w:type="dxa"/>
          </w:tcPr>
          <w:p w14:paraId="7C6601DE" w14:textId="77777777" w:rsidR="00DD0B16" w:rsidRPr="00DD0B16" w:rsidRDefault="00DD0B16" w:rsidP="00DD0B16">
            <w:pPr>
              <w:spacing w:line="240" w:lineRule="auto"/>
              <w:jc w:val="left"/>
              <w:rPr>
                <w:rStyle w:val="Hyperlink"/>
                <w:rFonts w:hint="cs"/>
                <w:rtl/>
              </w:rPr>
            </w:pPr>
            <w:hyperlink w:anchor="Seif15" w:tooltip="שינויים בנסיבות" w:history="1">
              <w:r w:rsidRPr="00DD0B16">
                <w:rPr>
                  <w:rStyle w:val="Hyperlink"/>
                </w:rPr>
                <w:t>Go</w:t>
              </w:r>
            </w:hyperlink>
          </w:p>
        </w:tc>
        <w:tc>
          <w:tcPr>
            <w:tcW w:w="850" w:type="dxa"/>
          </w:tcPr>
          <w:p w14:paraId="70628BF8"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0293E3B6" w14:textId="77777777" w:rsidTr="00DD0B16">
        <w:tblPrEx>
          <w:tblCellMar>
            <w:top w:w="0" w:type="dxa"/>
            <w:bottom w:w="0" w:type="dxa"/>
          </w:tblCellMar>
        </w:tblPrEx>
        <w:tc>
          <w:tcPr>
            <w:tcW w:w="1247" w:type="dxa"/>
          </w:tcPr>
          <w:p w14:paraId="201BAAEA"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14 </w:t>
            </w:r>
          </w:p>
        </w:tc>
        <w:tc>
          <w:tcPr>
            <w:tcW w:w="5669" w:type="dxa"/>
          </w:tcPr>
          <w:p w14:paraId="60788369" w14:textId="77777777" w:rsidR="00DD0B16" w:rsidRPr="00DD0B16" w:rsidRDefault="00DD0B16" w:rsidP="00DD0B16">
            <w:pPr>
              <w:spacing w:line="240" w:lineRule="auto"/>
              <w:jc w:val="left"/>
              <w:rPr>
                <w:rFonts w:cs="Frankruhel" w:hint="cs"/>
                <w:sz w:val="24"/>
                <w:rtl/>
              </w:rPr>
            </w:pPr>
            <w:r>
              <w:rPr>
                <w:rFonts w:cs="Times New Roman"/>
                <w:sz w:val="24"/>
                <w:rtl/>
              </w:rPr>
              <w:t>עסקאות בדבר מזונות</w:t>
            </w:r>
          </w:p>
        </w:tc>
        <w:tc>
          <w:tcPr>
            <w:tcW w:w="567" w:type="dxa"/>
          </w:tcPr>
          <w:p w14:paraId="0A563A06" w14:textId="77777777" w:rsidR="00DD0B16" w:rsidRPr="00DD0B16" w:rsidRDefault="00DD0B16" w:rsidP="00DD0B16">
            <w:pPr>
              <w:spacing w:line="240" w:lineRule="auto"/>
              <w:jc w:val="left"/>
              <w:rPr>
                <w:rStyle w:val="Hyperlink"/>
                <w:rFonts w:hint="cs"/>
                <w:rtl/>
              </w:rPr>
            </w:pPr>
            <w:hyperlink w:anchor="Seif16" w:tooltip="עסקאות בדבר מזונות" w:history="1">
              <w:r w:rsidRPr="00DD0B16">
                <w:rPr>
                  <w:rStyle w:val="Hyperlink"/>
                </w:rPr>
                <w:t>Go</w:t>
              </w:r>
            </w:hyperlink>
          </w:p>
        </w:tc>
        <w:tc>
          <w:tcPr>
            <w:tcW w:w="850" w:type="dxa"/>
          </w:tcPr>
          <w:p w14:paraId="28FCBAB8"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67FF0713" w14:textId="77777777" w:rsidTr="00DD0B16">
        <w:tblPrEx>
          <w:tblCellMar>
            <w:top w:w="0" w:type="dxa"/>
            <w:bottom w:w="0" w:type="dxa"/>
          </w:tblCellMar>
        </w:tblPrEx>
        <w:tc>
          <w:tcPr>
            <w:tcW w:w="1247" w:type="dxa"/>
          </w:tcPr>
          <w:p w14:paraId="7E937FCD"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15 </w:t>
            </w:r>
          </w:p>
        </w:tc>
        <w:tc>
          <w:tcPr>
            <w:tcW w:w="5669" w:type="dxa"/>
          </w:tcPr>
          <w:p w14:paraId="7B9ACEA3" w14:textId="77777777" w:rsidR="00DD0B16" w:rsidRPr="00DD0B16" w:rsidRDefault="00DD0B16" w:rsidP="00DD0B16">
            <w:pPr>
              <w:spacing w:line="240" w:lineRule="auto"/>
              <w:jc w:val="left"/>
              <w:rPr>
                <w:rFonts w:cs="Frankruhel" w:hint="cs"/>
                <w:sz w:val="24"/>
                <w:rtl/>
              </w:rPr>
            </w:pPr>
            <w:r>
              <w:rPr>
                <w:rFonts w:cs="Times New Roman"/>
                <w:sz w:val="24"/>
                <w:rtl/>
              </w:rPr>
              <w:t>פקיעת זכות המזונות</w:t>
            </w:r>
          </w:p>
        </w:tc>
        <w:tc>
          <w:tcPr>
            <w:tcW w:w="567" w:type="dxa"/>
          </w:tcPr>
          <w:p w14:paraId="7CF63B06" w14:textId="77777777" w:rsidR="00DD0B16" w:rsidRPr="00DD0B16" w:rsidRDefault="00DD0B16" w:rsidP="00DD0B16">
            <w:pPr>
              <w:spacing w:line="240" w:lineRule="auto"/>
              <w:jc w:val="left"/>
              <w:rPr>
                <w:rStyle w:val="Hyperlink"/>
                <w:rFonts w:hint="cs"/>
                <w:rtl/>
              </w:rPr>
            </w:pPr>
            <w:hyperlink w:anchor="Seif17" w:tooltip="פקיעת זכות המזונות" w:history="1">
              <w:r w:rsidRPr="00DD0B16">
                <w:rPr>
                  <w:rStyle w:val="Hyperlink"/>
                </w:rPr>
                <w:t>Go</w:t>
              </w:r>
            </w:hyperlink>
          </w:p>
        </w:tc>
        <w:tc>
          <w:tcPr>
            <w:tcW w:w="850" w:type="dxa"/>
          </w:tcPr>
          <w:p w14:paraId="0D43401B"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5E1115DB" w14:textId="77777777" w:rsidTr="00DD0B16">
        <w:tblPrEx>
          <w:tblCellMar>
            <w:top w:w="0" w:type="dxa"/>
            <w:bottom w:w="0" w:type="dxa"/>
          </w:tblCellMar>
        </w:tblPrEx>
        <w:tc>
          <w:tcPr>
            <w:tcW w:w="1247" w:type="dxa"/>
          </w:tcPr>
          <w:p w14:paraId="3DBF57BE"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16 </w:t>
            </w:r>
          </w:p>
        </w:tc>
        <w:tc>
          <w:tcPr>
            <w:tcW w:w="5669" w:type="dxa"/>
          </w:tcPr>
          <w:p w14:paraId="7095E6D1" w14:textId="77777777" w:rsidR="00DD0B16" w:rsidRPr="00DD0B16" w:rsidRDefault="00DD0B16" w:rsidP="00DD0B16">
            <w:pPr>
              <w:spacing w:line="240" w:lineRule="auto"/>
              <w:jc w:val="left"/>
              <w:rPr>
                <w:rFonts w:cs="Frankruhel" w:hint="cs"/>
                <w:sz w:val="24"/>
                <w:rtl/>
              </w:rPr>
            </w:pPr>
            <w:r>
              <w:rPr>
                <w:rFonts w:cs="Times New Roman"/>
                <w:sz w:val="24"/>
                <w:rtl/>
              </w:rPr>
              <w:t>זכות חזרה</w:t>
            </w:r>
          </w:p>
        </w:tc>
        <w:tc>
          <w:tcPr>
            <w:tcW w:w="567" w:type="dxa"/>
          </w:tcPr>
          <w:p w14:paraId="41C4D51D" w14:textId="77777777" w:rsidR="00DD0B16" w:rsidRPr="00DD0B16" w:rsidRDefault="00DD0B16" w:rsidP="00DD0B16">
            <w:pPr>
              <w:spacing w:line="240" w:lineRule="auto"/>
              <w:jc w:val="left"/>
              <w:rPr>
                <w:rStyle w:val="Hyperlink"/>
                <w:rFonts w:hint="cs"/>
                <w:rtl/>
              </w:rPr>
            </w:pPr>
            <w:hyperlink w:anchor="Seif18" w:tooltip="זכות חזרה" w:history="1">
              <w:r w:rsidRPr="00DD0B16">
                <w:rPr>
                  <w:rStyle w:val="Hyperlink"/>
                </w:rPr>
                <w:t>Go</w:t>
              </w:r>
            </w:hyperlink>
          </w:p>
        </w:tc>
        <w:tc>
          <w:tcPr>
            <w:tcW w:w="850" w:type="dxa"/>
          </w:tcPr>
          <w:p w14:paraId="373096AC"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3FC07391" w14:textId="77777777" w:rsidTr="00DD0B16">
        <w:tblPrEx>
          <w:tblCellMar>
            <w:top w:w="0" w:type="dxa"/>
            <w:bottom w:w="0" w:type="dxa"/>
          </w:tblCellMar>
        </w:tblPrEx>
        <w:tc>
          <w:tcPr>
            <w:tcW w:w="1247" w:type="dxa"/>
          </w:tcPr>
          <w:p w14:paraId="50805670"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17 </w:t>
            </w:r>
          </w:p>
        </w:tc>
        <w:tc>
          <w:tcPr>
            <w:tcW w:w="5669" w:type="dxa"/>
          </w:tcPr>
          <w:p w14:paraId="6680E565" w14:textId="77777777" w:rsidR="00DD0B16" w:rsidRPr="00DD0B16" w:rsidRDefault="00DD0B16" w:rsidP="00DD0B16">
            <w:pPr>
              <w:spacing w:line="240" w:lineRule="auto"/>
              <w:jc w:val="left"/>
              <w:rPr>
                <w:rFonts w:cs="Frankruhel" w:hint="cs"/>
                <w:sz w:val="24"/>
                <w:rtl/>
              </w:rPr>
            </w:pPr>
            <w:r>
              <w:rPr>
                <w:rFonts w:cs="Times New Roman"/>
                <w:sz w:val="24"/>
                <w:rtl/>
              </w:rPr>
              <w:t>משפט בין לאומי פרטי</w:t>
            </w:r>
          </w:p>
        </w:tc>
        <w:tc>
          <w:tcPr>
            <w:tcW w:w="567" w:type="dxa"/>
          </w:tcPr>
          <w:p w14:paraId="79ED444E" w14:textId="77777777" w:rsidR="00DD0B16" w:rsidRPr="00DD0B16" w:rsidRDefault="00DD0B16" w:rsidP="00DD0B16">
            <w:pPr>
              <w:spacing w:line="240" w:lineRule="auto"/>
              <w:jc w:val="left"/>
              <w:rPr>
                <w:rStyle w:val="Hyperlink"/>
                <w:rFonts w:hint="cs"/>
                <w:rtl/>
              </w:rPr>
            </w:pPr>
            <w:hyperlink w:anchor="Seif19" w:tooltip="משפט בין לאומי פרטי" w:history="1">
              <w:r w:rsidRPr="00DD0B16">
                <w:rPr>
                  <w:rStyle w:val="Hyperlink"/>
                </w:rPr>
                <w:t>Go</w:t>
              </w:r>
            </w:hyperlink>
          </w:p>
        </w:tc>
        <w:tc>
          <w:tcPr>
            <w:tcW w:w="850" w:type="dxa"/>
          </w:tcPr>
          <w:p w14:paraId="1E6264C4"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0B16" w:rsidRPr="00DD0B16" w14:paraId="4ADBBFFF" w14:textId="77777777" w:rsidTr="00DD0B16">
        <w:tblPrEx>
          <w:tblCellMar>
            <w:top w:w="0" w:type="dxa"/>
            <w:bottom w:w="0" w:type="dxa"/>
          </w:tblCellMar>
        </w:tblPrEx>
        <w:tc>
          <w:tcPr>
            <w:tcW w:w="1247" w:type="dxa"/>
          </w:tcPr>
          <w:p w14:paraId="551E5CA3"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18 </w:t>
            </w:r>
          </w:p>
        </w:tc>
        <w:tc>
          <w:tcPr>
            <w:tcW w:w="5669" w:type="dxa"/>
          </w:tcPr>
          <w:p w14:paraId="08D4C6B0" w14:textId="77777777" w:rsidR="00DD0B16" w:rsidRPr="00DD0B16" w:rsidRDefault="00DD0B16" w:rsidP="00DD0B16">
            <w:pPr>
              <w:spacing w:line="240" w:lineRule="auto"/>
              <w:jc w:val="left"/>
              <w:rPr>
                <w:rFonts w:cs="Frankruhel" w:hint="cs"/>
                <w:sz w:val="24"/>
                <w:rtl/>
              </w:rPr>
            </w:pPr>
            <w:r>
              <w:rPr>
                <w:rFonts w:cs="Times New Roman"/>
                <w:sz w:val="24"/>
                <w:rtl/>
              </w:rPr>
              <w:t>סמכות בית משפט מחוזי</w:t>
            </w:r>
          </w:p>
        </w:tc>
        <w:tc>
          <w:tcPr>
            <w:tcW w:w="567" w:type="dxa"/>
          </w:tcPr>
          <w:p w14:paraId="65D70FDF" w14:textId="77777777" w:rsidR="00DD0B16" w:rsidRPr="00DD0B16" w:rsidRDefault="00DD0B16" w:rsidP="00DD0B16">
            <w:pPr>
              <w:spacing w:line="240" w:lineRule="auto"/>
              <w:jc w:val="left"/>
              <w:rPr>
                <w:rStyle w:val="Hyperlink"/>
                <w:rFonts w:hint="cs"/>
                <w:rtl/>
              </w:rPr>
            </w:pPr>
            <w:hyperlink w:anchor="Seif20" w:tooltip="סמכות בית משפט מחוזי" w:history="1">
              <w:r w:rsidRPr="00DD0B16">
                <w:rPr>
                  <w:rStyle w:val="Hyperlink"/>
                </w:rPr>
                <w:t>Go</w:t>
              </w:r>
            </w:hyperlink>
          </w:p>
        </w:tc>
        <w:tc>
          <w:tcPr>
            <w:tcW w:w="850" w:type="dxa"/>
          </w:tcPr>
          <w:p w14:paraId="0688D839"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D0B16" w:rsidRPr="00DD0B16" w14:paraId="53D45F69" w14:textId="77777777" w:rsidTr="00DD0B16">
        <w:tblPrEx>
          <w:tblCellMar>
            <w:top w:w="0" w:type="dxa"/>
            <w:bottom w:w="0" w:type="dxa"/>
          </w:tblCellMar>
        </w:tblPrEx>
        <w:tc>
          <w:tcPr>
            <w:tcW w:w="1247" w:type="dxa"/>
          </w:tcPr>
          <w:p w14:paraId="6B6189CD"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19 </w:t>
            </w:r>
          </w:p>
        </w:tc>
        <w:tc>
          <w:tcPr>
            <w:tcW w:w="5669" w:type="dxa"/>
          </w:tcPr>
          <w:p w14:paraId="17F07A75" w14:textId="77777777" w:rsidR="00DD0B16" w:rsidRPr="00DD0B16" w:rsidRDefault="00DD0B16" w:rsidP="00DD0B16">
            <w:pPr>
              <w:spacing w:line="240" w:lineRule="auto"/>
              <w:jc w:val="left"/>
              <w:rPr>
                <w:rFonts w:cs="Frankruhel" w:hint="cs"/>
                <w:sz w:val="24"/>
                <w:rtl/>
              </w:rPr>
            </w:pPr>
            <w:r>
              <w:rPr>
                <w:rFonts w:cs="Times New Roman"/>
                <w:sz w:val="24"/>
                <w:rtl/>
              </w:rPr>
              <w:t>שמירת סמכויות, דינים והסכמים</w:t>
            </w:r>
          </w:p>
        </w:tc>
        <w:tc>
          <w:tcPr>
            <w:tcW w:w="567" w:type="dxa"/>
          </w:tcPr>
          <w:p w14:paraId="7F968D14" w14:textId="77777777" w:rsidR="00DD0B16" w:rsidRPr="00DD0B16" w:rsidRDefault="00DD0B16" w:rsidP="00DD0B16">
            <w:pPr>
              <w:spacing w:line="240" w:lineRule="auto"/>
              <w:jc w:val="left"/>
              <w:rPr>
                <w:rStyle w:val="Hyperlink"/>
                <w:rFonts w:hint="cs"/>
                <w:rtl/>
              </w:rPr>
            </w:pPr>
            <w:hyperlink w:anchor="Seif21" w:tooltip="שמירת סמכויות, דינים והסכמים" w:history="1">
              <w:r w:rsidRPr="00DD0B16">
                <w:rPr>
                  <w:rStyle w:val="Hyperlink"/>
                </w:rPr>
                <w:t>Go</w:t>
              </w:r>
            </w:hyperlink>
          </w:p>
        </w:tc>
        <w:tc>
          <w:tcPr>
            <w:tcW w:w="850" w:type="dxa"/>
          </w:tcPr>
          <w:p w14:paraId="4DAF2968"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D0B16" w:rsidRPr="00DD0B16" w14:paraId="03AAB2BC" w14:textId="77777777" w:rsidTr="00DD0B16">
        <w:tblPrEx>
          <w:tblCellMar>
            <w:top w:w="0" w:type="dxa"/>
            <w:bottom w:w="0" w:type="dxa"/>
          </w:tblCellMar>
        </w:tblPrEx>
        <w:tc>
          <w:tcPr>
            <w:tcW w:w="1247" w:type="dxa"/>
          </w:tcPr>
          <w:p w14:paraId="155D16D0" w14:textId="77777777" w:rsidR="00DD0B16" w:rsidRPr="00DD0B16" w:rsidRDefault="00DD0B16" w:rsidP="00DD0B16">
            <w:pPr>
              <w:spacing w:line="240" w:lineRule="auto"/>
              <w:jc w:val="left"/>
              <w:rPr>
                <w:rFonts w:cs="Frankruhel" w:hint="cs"/>
                <w:sz w:val="24"/>
                <w:rtl/>
              </w:rPr>
            </w:pPr>
            <w:r>
              <w:rPr>
                <w:rFonts w:cs="Times New Roman"/>
                <w:sz w:val="24"/>
                <w:rtl/>
              </w:rPr>
              <w:t xml:space="preserve">סעיף 20 </w:t>
            </w:r>
          </w:p>
        </w:tc>
        <w:tc>
          <w:tcPr>
            <w:tcW w:w="5669" w:type="dxa"/>
          </w:tcPr>
          <w:p w14:paraId="2F40F0F8" w14:textId="77777777" w:rsidR="00DD0B16" w:rsidRPr="00DD0B16" w:rsidRDefault="00DD0B16" w:rsidP="00DD0B16">
            <w:pPr>
              <w:spacing w:line="240" w:lineRule="auto"/>
              <w:jc w:val="left"/>
              <w:rPr>
                <w:rFonts w:cs="Frankruhel" w:hint="cs"/>
                <w:sz w:val="24"/>
                <w:rtl/>
              </w:rPr>
            </w:pPr>
            <w:r>
              <w:rPr>
                <w:rFonts w:cs="Times New Roman"/>
                <w:sz w:val="24"/>
                <w:rtl/>
              </w:rPr>
              <w:t>ניכויים ממס הכנסה</w:t>
            </w:r>
          </w:p>
        </w:tc>
        <w:tc>
          <w:tcPr>
            <w:tcW w:w="567" w:type="dxa"/>
          </w:tcPr>
          <w:p w14:paraId="696937E7" w14:textId="77777777" w:rsidR="00DD0B16" w:rsidRPr="00DD0B16" w:rsidRDefault="00DD0B16" w:rsidP="00DD0B16">
            <w:pPr>
              <w:spacing w:line="240" w:lineRule="auto"/>
              <w:jc w:val="left"/>
              <w:rPr>
                <w:rStyle w:val="Hyperlink"/>
                <w:rFonts w:hint="cs"/>
                <w:rtl/>
              </w:rPr>
            </w:pPr>
            <w:hyperlink w:anchor="Seif22" w:tooltip="ניכויים ממס הכנסה" w:history="1">
              <w:r w:rsidRPr="00DD0B16">
                <w:rPr>
                  <w:rStyle w:val="Hyperlink"/>
                </w:rPr>
                <w:t>Go</w:t>
              </w:r>
            </w:hyperlink>
          </w:p>
        </w:tc>
        <w:tc>
          <w:tcPr>
            <w:tcW w:w="850" w:type="dxa"/>
          </w:tcPr>
          <w:p w14:paraId="049282A5" w14:textId="77777777" w:rsidR="00DD0B16" w:rsidRPr="00DD0B16" w:rsidRDefault="00DD0B16" w:rsidP="00DD0B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6979204" w14:textId="77777777" w:rsidR="00F864C9" w:rsidRDefault="00F864C9">
      <w:pPr>
        <w:pStyle w:val="big-header"/>
        <w:ind w:left="0" w:right="1134"/>
        <w:rPr>
          <w:rFonts w:hint="cs"/>
          <w:rtl/>
        </w:rPr>
      </w:pPr>
    </w:p>
    <w:p w14:paraId="3FC97460" w14:textId="77777777" w:rsidR="00F864C9" w:rsidRDefault="00F864C9" w:rsidP="000F0E2E">
      <w:pPr>
        <w:pStyle w:val="big-header"/>
        <w:ind w:left="0" w:right="1134"/>
        <w:rPr>
          <w:rStyle w:val="default"/>
          <w:rFonts w:cs="FrankRuehl" w:hint="cs"/>
          <w:rtl/>
        </w:rPr>
      </w:pPr>
      <w:r>
        <w:rPr>
          <w:rtl/>
        </w:rPr>
        <w:br w:type="page"/>
      </w:r>
      <w:r>
        <w:rPr>
          <w:rtl/>
        </w:rPr>
        <w:lastRenderedPageBreak/>
        <w:t>ח</w:t>
      </w:r>
      <w:r>
        <w:rPr>
          <w:rFonts w:hint="cs"/>
          <w:rtl/>
        </w:rPr>
        <w:t>וק לתיקון דיני המשפחה (מזונות), תשי"ט-1959</w:t>
      </w:r>
      <w:r>
        <w:rPr>
          <w:rStyle w:val="default"/>
          <w:rtl/>
        </w:rPr>
        <w:footnoteReference w:customMarkFollows="1" w:id="1"/>
        <w:t>*</w:t>
      </w:r>
    </w:p>
    <w:p w14:paraId="2E82674F" w14:textId="77777777" w:rsidR="00F864C9" w:rsidRDefault="00F864C9">
      <w:pPr>
        <w:pStyle w:val="P00"/>
        <w:spacing w:before="72"/>
        <w:ind w:left="0" w:right="1134"/>
        <w:rPr>
          <w:rStyle w:val="default"/>
          <w:rFonts w:cs="FrankRuehl" w:hint="cs"/>
          <w:rtl/>
        </w:rPr>
      </w:pPr>
      <w:bookmarkStart w:id="0" w:name="Seif1"/>
      <w:bookmarkEnd w:id="0"/>
      <w:r>
        <w:rPr>
          <w:lang w:val="he-IL"/>
        </w:rPr>
        <w:pict w14:anchorId="4A878201">
          <v:rect id="_x0000_s1026" style="position:absolute;left:0;text-align:left;margin-left:464.5pt;margin-top:8.05pt;width:75.05pt;height:8pt;z-index:251646464" o:allowincell="f" filled="f" stroked="f" strokecolor="lime" strokeweight=".25pt">
            <v:textbox style="mso-next-textbox:#_x0000_s1026" inset="0,0,0,0">
              <w:txbxContent>
                <w:p w14:paraId="2F4CF610" w14:textId="77777777" w:rsidR="00F864C9" w:rsidRDefault="00F864C9">
                  <w:pPr>
                    <w:spacing w:line="160" w:lineRule="exact"/>
                    <w:jc w:val="left"/>
                    <w:rPr>
                      <w:rFonts w:cs="Miriam"/>
                      <w:noProof/>
                      <w:szCs w:val="18"/>
                      <w:rtl/>
                    </w:rPr>
                  </w:pPr>
                  <w:r>
                    <w:rPr>
                      <w:rFonts w:cs="Miriam"/>
                      <w:szCs w:val="18"/>
                      <w:rtl/>
                    </w:rPr>
                    <w:t>פ</w:t>
                  </w:r>
                  <w:r>
                    <w:rPr>
                      <w:rFonts w:cs="Miriam" w:hint="cs"/>
                      <w:szCs w:val="18"/>
                      <w:rtl/>
                    </w:rPr>
                    <w:t>רשנו</w:t>
                  </w:r>
                  <w:r>
                    <w:rPr>
                      <w:rFonts w:cs="Miriam"/>
                      <w:szCs w:val="18"/>
                      <w:rtl/>
                    </w:rPr>
                    <w:t>ת</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בחוק זה </w:t>
      </w:r>
      <w:r w:rsidR="00912A63">
        <w:rPr>
          <w:rStyle w:val="default"/>
          <w:rFonts w:cs="FrankRuehl"/>
          <w:rtl/>
        </w:rPr>
        <w:t>–</w:t>
      </w:r>
    </w:p>
    <w:p w14:paraId="5BC212C5" w14:textId="77777777" w:rsidR="00F864C9" w:rsidRDefault="00F864C9" w:rsidP="00912A63">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בגיר" </w:t>
      </w:r>
      <w:r w:rsidR="00912A63">
        <w:rPr>
          <w:rStyle w:val="default"/>
          <w:rFonts w:cs="FrankRuehl"/>
          <w:rtl/>
        </w:rPr>
        <w:t>–</w:t>
      </w:r>
      <w:r>
        <w:rPr>
          <w:rStyle w:val="default"/>
          <w:rFonts w:cs="FrankRuehl" w:hint="cs"/>
          <w:rtl/>
        </w:rPr>
        <w:t xml:space="preserve"> מי שמלאו לו שמונה-עשרה שנה;</w:t>
      </w:r>
    </w:p>
    <w:p w14:paraId="3F56FDF0" w14:textId="77777777" w:rsidR="00F864C9" w:rsidRDefault="00F864C9" w:rsidP="00912A63">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קטין" </w:t>
      </w:r>
      <w:r w:rsidR="00912A63">
        <w:rPr>
          <w:rStyle w:val="default"/>
          <w:rFonts w:cs="FrankRuehl"/>
          <w:rtl/>
        </w:rPr>
        <w:t>–</w:t>
      </w:r>
      <w:r>
        <w:rPr>
          <w:rStyle w:val="default"/>
          <w:rFonts w:cs="FrankRuehl" w:hint="cs"/>
          <w:rtl/>
        </w:rPr>
        <w:t xml:space="preserve"> מי שאינו בגיר;</w:t>
      </w:r>
    </w:p>
    <w:p w14:paraId="0758A906" w14:textId="77777777" w:rsidR="00F864C9" w:rsidRDefault="00F864C9" w:rsidP="00912A63">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ילד" </w:t>
      </w:r>
      <w:r w:rsidR="00912A63">
        <w:rPr>
          <w:rStyle w:val="default"/>
          <w:rFonts w:cs="FrankRuehl"/>
          <w:rtl/>
        </w:rPr>
        <w:t>–</w:t>
      </w:r>
      <w:r>
        <w:rPr>
          <w:rStyle w:val="default"/>
          <w:rFonts w:cs="FrankRuehl" w:hint="cs"/>
          <w:rtl/>
        </w:rPr>
        <w:t xml:space="preserve"> בין שנולד מנישואין ובין שלא מנישואין לרבות מאומץ.</w:t>
      </w:r>
    </w:p>
    <w:p w14:paraId="6F58ED92"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אומץ ילד, יבואו לענין חוק זה המאמץ ובני משפחתו במקום הורי המאומץ ובני משפחתם.</w:t>
      </w:r>
    </w:p>
    <w:p w14:paraId="419EE231" w14:textId="77777777" w:rsidR="00F864C9" w:rsidRDefault="00F864C9">
      <w:pPr>
        <w:pStyle w:val="P00"/>
        <w:spacing w:before="72"/>
        <w:ind w:left="0" w:right="1134"/>
        <w:rPr>
          <w:rStyle w:val="default"/>
          <w:rFonts w:cs="FrankRuehl"/>
          <w:rtl/>
        </w:rPr>
      </w:pPr>
      <w:bookmarkStart w:id="1" w:name="Seif2"/>
      <w:bookmarkEnd w:id="1"/>
      <w:r>
        <w:rPr>
          <w:lang w:val="he-IL"/>
        </w:rPr>
        <w:pict w14:anchorId="4B933927">
          <v:rect id="_x0000_s1027" style="position:absolute;left:0;text-align:left;margin-left:464.5pt;margin-top:8.05pt;width:75.05pt;height:8pt;z-index:251647488" o:allowincell="f" filled="f" stroked="f" strokecolor="lime" strokeweight=".25pt">
            <v:textbox inset="0,0,0,0">
              <w:txbxContent>
                <w:p w14:paraId="2E045028" w14:textId="77777777" w:rsidR="00F864C9" w:rsidRDefault="00F864C9">
                  <w:pPr>
                    <w:spacing w:line="160" w:lineRule="exact"/>
                    <w:jc w:val="left"/>
                    <w:rPr>
                      <w:rFonts w:cs="Miriam"/>
                      <w:noProof/>
                      <w:szCs w:val="18"/>
                      <w:rtl/>
                    </w:rPr>
                  </w:pPr>
                  <w:r>
                    <w:rPr>
                      <w:rFonts w:cs="Miriam"/>
                      <w:szCs w:val="18"/>
                      <w:rtl/>
                    </w:rPr>
                    <w:t>מ</w:t>
                  </w:r>
                  <w:r>
                    <w:rPr>
                      <w:rFonts w:cs="Miriam" w:hint="cs"/>
                      <w:szCs w:val="18"/>
                      <w:rtl/>
                    </w:rPr>
                    <w:t>זונות לבן-זוג</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חיי</w:t>
      </w:r>
      <w:r>
        <w:rPr>
          <w:rStyle w:val="default"/>
          <w:rFonts w:cs="FrankRuehl"/>
          <w:rtl/>
        </w:rPr>
        <w:t>ב</w:t>
      </w:r>
      <w:r>
        <w:rPr>
          <w:rStyle w:val="default"/>
          <w:rFonts w:cs="FrankRuehl" w:hint="cs"/>
          <w:rtl/>
        </w:rPr>
        <w:t xml:space="preserve"> במזונות בן-זוגו לפי הוראות הדין האישי החל עליו, והוראות חוק זה לא יחולו על מזונות אלה.</w:t>
      </w:r>
    </w:p>
    <w:p w14:paraId="075837DD"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שאינו יהודי או מושלמי או דרוזי או חבר אחת העדות הדתיות המפורטות בתוספת הראשונה לפקודת הירושה, או שלא חל עליו דין אישי, חייב במזונות בן-זוגו, והוראות חוק זה יח</w:t>
      </w:r>
      <w:r>
        <w:rPr>
          <w:rStyle w:val="default"/>
          <w:rFonts w:cs="FrankRuehl"/>
          <w:rtl/>
        </w:rPr>
        <w:t>ו</w:t>
      </w:r>
      <w:r>
        <w:rPr>
          <w:rStyle w:val="default"/>
          <w:rFonts w:cs="FrankRuehl" w:hint="cs"/>
          <w:rtl/>
        </w:rPr>
        <w:t>לו על מזונות אלה.</w:t>
      </w:r>
    </w:p>
    <w:p w14:paraId="5E63C664" w14:textId="77777777" w:rsidR="00F864C9" w:rsidRDefault="00F864C9">
      <w:pPr>
        <w:pStyle w:val="P00"/>
        <w:spacing w:before="72"/>
        <w:ind w:left="0" w:right="1134"/>
        <w:rPr>
          <w:rStyle w:val="default"/>
          <w:rFonts w:cs="FrankRuehl" w:hint="cs"/>
          <w:rtl/>
        </w:rPr>
      </w:pPr>
      <w:bookmarkStart w:id="2" w:name="Seif3"/>
      <w:bookmarkEnd w:id="2"/>
      <w:r>
        <w:rPr>
          <w:lang w:val="he-IL"/>
        </w:rPr>
        <w:pict w14:anchorId="6A04705F">
          <v:rect id="_x0000_s1028" style="position:absolute;left:0;text-align:left;margin-left:464.5pt;margin-top:8.05pt;width:75.05pt;height:32pt;z-index:251648512" o:allowincell="f" filled="f" stroked="f" strokecolor="lime" strokeweight=".25pt">
            <v:textbox inset="0,0,0,0">
              <w:txbxContent>
                <w:p w14:paraId="3CBE5E76" w14:textId="77777777" w:rsidR="00F864C9" w:rsidRDefault="00F864C9">
                  <w:pPr>
                    <w:spacing w:line="160" w:lineRule="exact"/>
                    <w:jc w:val="left"/>
                    <w:rPr>
                      <w:rFonts w:cs="Miriam"/>
                      <w:noProof/>
                      <w:szCs w:val="18"/>
                      <w:rtl/>
                    </w:rPr>
                  </w:pPr>
                  <w:r>
                    <w:rPr>
                      <w:rFonts w:cs="Miriam"/>
                      <w:szCs w:val="18"/>
                      <w:rtl/>
                    </w:rPr>
                    <w:t>הת</w:t>
                  </w:r>
                  <w:r>
                    <w:rPr>
                      <w:rFonts w:cs="Miriam" w:hint="cs"/>
                      <w:szCs w:val="18"/>
                      <w:rtl/>
                    </w:rPr>
                    <w:t xml:space="preserve">חשבות </w:t>
                  </w:r>
                  <w:r>
                    <w:rPr>
                      <w:rFonts w:cs="Miriam"/>
                      <w:szCs w:val="18"/>
                      <w:rtl/>
                    </w:rPr>
                    <w:t>ב</w:t>
                  </w:r>
                  <w:r>
                    <w:rPr>
                      <w:rFonts w:cs="Miriam" w:hint="cs"/>
                      <w:szCs w:val="18"/>
                      <w:rtl/>
                    </w:rPr>
                    <w:t>הכנסות</w:t>
                  </w:r>
                </w:p>
                <w:p w14:paraId="6E3AA99C" w14:textId="77777777" w:rsidR="00F864C9" w:rsidRDefault="00F864C9">
                  <w:pPr>
                    <w:spacing w:line="160" w:lineRule="exact"/>
                    <w:jc w:val="left"/>
                    <w:rPr>
                      <w:rFonts w:cs="Miriam"/>
                      <w:noProof/>
                      <w:szCs w:val="18"/>
                      <w:rtl/>
                    </w:rPr>
                  </w:pPr>
                  <w:r>
                    <w:rPr>
                      <w:rFonts w:cs="Miriam"/>
                      <w:szCs w:val="18"/>
                      <w:rtl/>
                    </w:rPr>
                    <w:t>ש</w:t>
                  </w:r>
                  <w:r>
                    <w:rPr>
                      <w:rFonts w:cs="Miriam" w:hint="cs"/>
                      <w:szCs w:val="18"/>
                      <w:rtl/>
                    </w:rPr>
                    <w:t>ל בן-זוג</w:t>
                  </w:r>
                </w:p>
                <w:p w14:paraId="5B89B038" w14:textId="77777777" w:rsidR="00F864C9" w:rsidRDefault="00F864C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תשל"ו-1976</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על אף האמור בחוק שיווי זכויות האשה, תשי"א-1951, בקביעת מידת המזונות שאדם חייב לספק לבן-זוגו רשאי בית המשפט להתחשב בהכנסותיו של בן הזוג מעבודה ומנכסים, ואם ראה לנכון </w:t>
      </w:r>
      <w:r>
        <w:rPr>
          <w:rStyle w:val="default"/>
          <w:rFonts w:cs="FrankRuehl"/>
          <w:rtl/>
        </w:rPr>
        <w:t>–</w:t>
      </w:r>
      <w:r>
        <w:rPr>
          <w:rStyle w:val="default"/>
          <w:rFonts w:cs="FrankRuehl" w:hint="cs"/>
          <w:rtl/>
        </w:rPr>
        <w:t xml:space="preserve"> גם מכל מקור אחר.</w:t>
      </w:r>
    </w:p>
    <w:p w14:paraId="34BED181" w14:textId="77777777" w:rsidR="00F864C9" w:rsidRDefault="00F864C9">
      <w:pPr>
        <w:pStyle w:val="P00"/>
        <w:spacing w:before="0"/>
        <w:ind w:left="0" w:right="1134"/>
        <w:rPr>
          <w:rStyle w:val="default"/>
          <w:rFonts w:cs="FrankRuehl" w:hint="cs"/>
          <w:vanish/>
          <w:color w:val="FF0000"/>
          <w:szCs w:val="20"/>
          <w:shd w:val="clear" w:color="auto" w:fill="FFFF99"/>
          <w:rtl/>
        </w:rPr>
      </w:pPr>
      <w:bookmarkStart w:id="3" w:name="Rov24"/>
      <w:r>
        <w:rPr>
          <w:rStyle w:val="default"/>
          <w:rFonts w:cs="FrankRuehl" w:hint="cs"/>
          <w:vanish/>
          <w:color w:val="FF0000"/>
          <w:szCs w:val="20"/>
          <w:shd w:val="clear" w:color="auto" w:fill="FFFF99"/>
          <w:rtl/>
        </w:rPr>
        <w:t>מיום 29.1.1976</w:t>
      </w:r>
    </w:p>
    <w:p w14:paraId="17782047" w14:textId="77777777" w:rsidR="00F864C9" w:rsidRDefault="00F864C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767AF22C" w14:textId="77777777" w:rsidR="00F864C9" w:rsidRDefault="00F864C9">
      <w:pPr>
        <w:pStyle w:val="P00"/>
        <w:spacing w:before="0"/>
        <w:ind w:left="0" w:right="1134"/>
        <w:rPr>
          <w:rStyle w:val="default"/>
          <w:rFonts w:cs="FrankRuehl" w:hint="cs"/>
          <w:vanish/>
          <w:szCs w:val="20"/>
          <w:shd w:val="clear" w:color="auto" w:fill="FFFF99"/>
          <w:rtl/>
        </w:rPr>
      </w:pPr>
      <w:hyperlink r:id="rId6" w:history="1">
        <w:r>
          <w:rPr>
            <w:rStyle w:val="Hyperlink"/>
            <w:rFonts w:hint="cs"/>
            <w:vanish/>
            <w:szCs w:val="20"/>
            <w:shd w:val="clear" w:color="auto" w:fill="FFFF99"/>
            <w:rtl/>
          </w:rPr>
          <w:t>ס"ח תשל"ו מס' 794</w:t>
        </w:r>
      </w:hyperlink>
      <w:r>
        <w:rPr>
          <w:rStyle w:val="default"/>
          <w:rFonts w:cs="FrankRuehl" w:hint="cs"/>
          <w:vanish/>
          <w:szCs w:val="20"/>
          <w:shd w:val="clear" w:color="auto" w:fill="FFFF99"/>
          <w:rtl/>
        </w:rPr>
        <w:t xml:space="preserve"> מיום 29.1.1976 עמ' 93 (</w:t>
      </w:r>
      <w:hyperlink r:id="rId7" w:history="1">
        <w:r>
          <w:rPr>
            <w:rStyle w:val="Hyperlink"/>
            <w:rFonts w:hint="cs"/>
            <w:vanish/>
            <w:szCs w:val="20"/>
            <w:shd w:val="clear" w:color="auto" w:fill="FFFF99"/>
            <w:rtl/>
          </w:rPr>
          <w:t>ה"ח 1168</w:t>
        </w:r>
      </w:hyperlink>
      <w:r>
        <w:rPr>
          <w:rStyle w:val="default"/>
          <w:rFonts w:cs="FrankRuehl" w:hint="cs"/>
          <w:vanish/>
          <w:szCs w:val="20"/>
          <w:shd w:val="clear" w:color="auto" w:fill="FFFF99"/>
          <w:rtl/>
        </w:rPr>
        <w:t>)</w:t>
      </w:r>
    </w:p>
    <w:p w14:paraId="65A96C88" w14:textId="77777777" w:rsidR="00F864C9" w:rsidRDefault="00F864C9">
      <w:pPr>
        <w:pStyle w:val="P00"/>
        <w:spacing w:before="0"/>
        <w:ind w:left="0" w:right="1134"/>
        <w:rPr>
          <w:rFonts w:hint="cs"/>
          <w:b/>
          <w:bCs/>
          <w:sz w:val="2"/>
          <w:szCs w:val="2"/>
          <w:rtl/>
        </w:rPr>
      </w:pPr>
      <w:r>
        <w:rPr>
          <w:rStyle w:val="default"/>
          <w:rFonts w:cs="FrankRuehl" w:hint="cs"/>
          <w:b/>
          <w:bCs/>
          <w:vanish/>
          <w:szCs w:val="20"/>
          <w:shd w:val="clear" w:color="auto" w:fill="FFFF99"/>
          <w:rtl/>
        </w:rPr>
        <w:t>הוספת סעיף 2א</w:t>
      </w:r>
      <w:bookmarkEnd w:id="3"/>
    </w:p>
    <w:p w14:paraId="2FB582A3" w14:textId="77777777" w:rsidR="00F864C9" w:rsidRDefault="00F864C9">
      <w:pPr>
        <w:pStyle w:val="P00"/>
        <w:spacing w:before="72"/>
        <w:ind w:left="0" w:right="1134"/>
        <w:rPr>
          <w:rStyle w:val="default"/>
          <w:rFonts w:cs="FrankRuehl"/>
          <w:rtl/>
        </w:rPr>
      </w:pPr>
      <w:bookmarkStart w:id="4" w:name="Seif4"/>
      <w:bookmarkEnd w:id="4"/>
      <w:r>
        <w:rPr>
          <w:lang w:val="he-IL"/>
        </w:rPr>
        <w:pict w14:anchorId="4757D93C">
          <v:rect id="_x0000_s1029" style="position:absolute;left:0;text-align:left;margin-left:464.5pt;margin-top:8.05pt;width:75.05pt;height:16pt;z-index:251649536" o:allowincell="f" filled="f" stroked="f" strokecolor="lime" strokeweight=".25pt">
            <v:textbox inset="0,0,0,0">
              <w:txbxContent>
                <w:p w14:paraId="70BF7F16" w14:textId="77777777" w:rsidR="00F864C9" w:rsidRDefault="00F864C9">
                  <w:pPr>
                    <w:spacing w:line="160" w:lineRule="exact"/>
                    <w:jc w:val="left"/>
                    <w:rPr>
                      <w:rFonts w:cs="Miriam"/>
                      <w:noProof/>
                      <w:szCs w:val="18"/>
                      <w:rtl/>
                    </w:rPr>
                  </w:pPr>
                  <w:r>
                    <w:rPr>
                      <w:rFonts w:cs="Miriam"/>
                      <w:szCs w:val="18"/>
                      <w:rtl/>
                    </w:rPr>
                    <w:t>מ</w:t>
                  </w:r>
                  <w:r>
                    <w:rPr>
                      <w:rFonts w:cs="Miriam" w:hint="cs"/>
                      <w:szCs w:val="18"/>
                      <w:rtl/>
                    </w:rPr>
                    <w:t>זונות לילדים</w:t>
                  </w:r>
                </w:p>
                <w:p w14:paraId="7D7B6227" w14:textId="77777777" w:rsidR="00F864C9" w:rsidRDefault="00F864C9">
                  <w:pPr>
                    <w:spacing w:line="160" w:lineRule="exact"/>
                    <w:jc w:val="left"/>
                    <w:rPr>
                      <w:rFonts w:cs="Miriam"/>
                      <w:noProof/>
                      <w:szCs w:val="18"/>
                      <w:rtl/>
                    </w:rPr>
                  </w:pPr>
                  <w:r>
                    <w:rPr>
                      <w:rFonts w:cs="Miriam"/>
                      <w:szCs w:val="18"/>
                      <w:rtl/>
                    </w:rPr>
                    <w:t>ק</w:t>
                  </w:r>
                  <w:r>
                    <w:rPr>
                      <w:rFonts w:cs="Miriam" w:hint="cs"/>
                      <w:szCs w:val="18"/>
                      <w:rtl/>
                    </w:rPr>
                    <w:t>טינים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חייב במזונות הילדים הקטינים שלו והילדים הקטינים של בן-ז</w:t>
      </w:r>
      <w:r>
        <w:rPr>
          <w:rStyle w:val="default"/>
          <w:rFonts w:cs="FrankRuehl"/>
          <w:rtl/>
        </w:rPr>
        <w:t>ו</w:t>
      </w:r>
      <w:r>
        <w:rPr>
          <w:rStyle w:val="default"/>
          <w:rFonts w:cs="FrankRuehl" w:hint="cs"/>
          <w:rtl/>
        </w:rPr>
        <w:t>גו לפי הוראות הדין האישי החל עליו, והוראות חוק זה לא יחולו על מזונות אלה.</w:t>
      </w:r>
    </w:p>
    <w:p w14:paraId="616169E6" w14:textId="77777777" w:rsidR="00F864C9" w:rsidRDefault="00F864C9" w:rsidP="00912A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שאינו חייב במזונות הילדים הקטינים שלו והילדים</w:t>
      </w:r>
      <w:r>
        <w:rPr>
          <w:rStyle w:val="default"/>
          <w:rFonts w:cs="FrankRuehl"/>
          <w:rtl/>
        </w:rPr>
        <w:t xml:space="preserve"> </w:t>
      </w:r>
      <w:r>
        <w:rPr>
          <w:rStyle w:val="default"/>
          <w:rFonts w:cs="FrankRuehl" w:hint="cs"/>
          <w:rtl/>
        </w:rPr>
        <w:t>הקטינים של בן-זוגו לפי הוראות הדין האישי החל עליו, או שלא חל עליו דין אישי, חייב במזונותיהם, והוראות חוק זה יחולו על מזונות א</w:t>
      </w:r>
      <w:r>
        <w:rPr>
          <w:rStyle w:val="default"/>
          <w:rFonts w:cs="FrankRuehl"/>
          <w:rtl/>
        </w:rPr>
        <w:t>ל</w:t>
      </w:r>
      <w:r>
        <w:rPr>
          <w:rStyle w:val="default"/>
          <w:rFonts w:cs="FrankRuehl" w:hint="cs"/>
          <w:rtl/>
        </w:rPr>
        <w:t>ה.</w:t>
      </w:r>
    </w:p>
    <w:p w14:paraId="71288FB7" w14:textId="77777777" w:rsidR="00F864C9" w:rsidRDefault="00F864C9">
      <w:pPr>
        <w:pStyle w:val="P00"/>
        <w:spacing w:before="72"/>
        <w:ind w:left="0" w:right="1134"/>
        <w:rPr>
          <w:rStyle w:val="default"/>
          <w:rFonts w:cs="FrankRuehl"/>
          <w:rtl/>
        </w:rPr>
      </w:pPr>
      <w:bookmarkStart w:id="5" w:name="Seif5"/>
      <w:bookmarkEnd w:id="5"/>
      <w:r>
        <w:rPr>
          <w:lang w:val="he-IL"/>
        </w:rPr>
        <w:pict w14:anchorId="10359BC8">
          <v:rect id="_x0000_s1030" style="position:absolute;left:0;text-align:left;margin-left:464.5pt;margin-top:8.05pt;width:75.05pt;height:24pt;z-index:251650560" o:allowincell="f" filled="f" stroked="f" strokecolor="lime" strokeweight=".25pt">
            <v:textbox inset="0,0,0,0">
              <w:txbxContent>
                <w:p w14:paraId="794BAC19" w14:textId="77777777" w:rsidR="00F864C9" w:rsidRDefault="00F864C9">
                  <w:pPr>
                    <w:spacing w:line="160" w:lineRule="exact"/>
                    <w:jc w:val="left"/>
                    <w:rPr>
                      <w:rFonts w:cs="Miriam"/>
                      <w:noProof/>
                      <w:szCs w:val="18"/>
                      <w:rtl/>
                    </w:rPr>
                  </w:pPr>
                  <w:r>
                    <w:rPr>
                      <w:rFonts w:cs="Miriam"/>
                      <w:szCs w:val="18"/>
                      <w:rtl/>
                    </w:rPr>
                    <w:t>מ</w:t>
                  </w:r>
                  <w:r>
                    <w:rPr>
                      <w:rFonts w:cs="Miriam" w:hint="cs"/>
                      <w:szCs w:val="18"/>
                      <w:rtl/>
                    </w:rPr>
                    <w:t>זונות קטין</w:t>
                  </w:r>
                </w:p>
                <w:p w14:paraId="67163E0E" w14:textId="77777777" w:rsidR="00F864C9" w:rsidRDefault="00F864C9">
                  <w:pPr>
                    <w:spacing w:line="160" w:lineRule="exact"/>
                    <w:jc w:val="left"/>
                    <w:rPr>
                      <w:rFonts w:cs="Miriam"/>
                      <w:noProof/>
                      <w:szCs w:val="18"/>
                      <w:rtl/>
                    </w:rPr>
                  </w:pPr>
                  <w:r>
                    <w:rPr>
                      <w:rFonts w:cs="Miriam" w:hint="cs"/>
                      <w:szCs w:val="18"/>
                      <w:rtl/>
                    </w:rPr>
                    <w:t>(תיקון מס' 2)</w:t>
                  </w:r>
                </w:p>
                <w:p w14:paraId="5B5797F2" w14:textId="77777777" w:rsidR="00F864C9" w:rsidRDefault="00F864C9">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אביו ואמו של קטין חייבים במזונותיו.</w:t>
      </w:r>
    </w:p>
    <w:p w14:paraId="3C1E66A7" w14:textId="77777777" w:rsidR="00F864C9" w:rsidRDefault="00F864C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 להתחשב בעובדה בידי מי מוחזק קטין יחולו המזונות על הוריו בשיעור יחסי להכנסותיהם מכל מקור שהוא.</w:t>
      </w:r>
    </w:p>
    <w:p w14:paraId="7554E237" w14:textId="77777777" w:rsidR="00F864C9" w:rsidRDefault="00F864C9">
      <w:pPr>
        <w:pStyle w:val="P00"/>
        <w:spacing w:before="0"/>
        <w:ind w:left="0" w:right="1134"/>
        <w:rPr>
          <w:rStyle w:val="default"/>
          <w:rFonts w:cs="FrankRuehl" w:hint="cs"/>
          <w:vanish/>
          <w:color w:val="FF0000"/>
          <w:szCs w:val="20"/>
          <w:shd w:val="clear" w:color="auto" w:fill="FFFF99"/>
          <w:rtl/>
        </w:rPr>
      </w:pPr>
      <w:bookmarkStart w:id="6" w:name="Rov25"/>
      <w:r>
        <w:rPr>
          <w:rStyle w:val="default"/>
          <w:rFonts w:cs="FrankRuehl" w:hint="cs"/>
          <w:vanish/>
          <w:color w:val="FF0000"/>
          <w:szCs w:val="20"/>
          <w:shd w:val="clear" w:color="auto" w:fill="FFFF99"/>
          <w:rtl/>
        </w:rPr>
        <w:t>מיום 28.5.1981</w:t>
      </w:r>
    </w:p>
    <w:p w14:paraId="5477581B" w14:textId="77777777" w:rsidR="00F864C9" w:rsidRDefault="00F864C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2</w:t>
      </w:r>
    </w:p>
    <w:p w14:paraId="017BF508" w14:textId="77777777" w:rsidR="00F864C9" w:rsidRDefault="00F864C9">
      <w:pPr>
        <w:pStyle w:val="P00"/>
        <w:spacing w:before="0"/>
        <w:ind w:left="0" w:right="1134"/>
        <w:rPr>
          <w:rStyle w:val="default"/>
          <w:rFonts w:cs="FrankRuehl" w:hint="cs"/>
          <w:vanish/>
          <w:szCs w:val="20"/>
          <w:shd w:val="clear" w:color="auto" w:fill="FFFF99"/>
          <w:rtl/>
        </w:rPr>
      </w:pPr>
      <w:hyperlink r:id="rId8" w:history="1">
        <w:r>
          <w:rPr>
            <w:rStyle w:val="Hyperlink"/>
            <w:rFonts w:hint="cs"/>
            <w:vanish/>
            <w:szCs w:val="20"/>
            <w:shd w:val="clear" w:color="auto" w:fill="FFFF99"/>
            <w:rtl/>
          </w:rPr>
          <w:t>ס"ח תשמ"א מס' 1027</w:t>
        </w:r>
      </w:hyperlink>
      <w:r>
        <w:rPr>
          <w:rStyle w:val="default"/>
          <w:rFonts w:cs="FrankRuehl" w:hint="cs"/>
          <w:vanish/>
          <w:szCs w:val="20"/>
          <w:shd w:val="clear" w:color="auto" w:fill="FFFF99"/>
          <w:rtl/>
        </w:rPr>
        <w:t xml:space="preserve"> מיום 28.5.1981 עמ' 288 (</w:t>
      </w:r>
      <w:hyperlink r:id="rId9" w:history="1">
        <w:r>
          <w:rPr>
            <w:rStyle w:val="Hyperlink"/>
            <w:rFonts w:hint="cs"/>
            <w:vanish/>
            <w:szCs w:val="20"/>
            <w:shd w:val="clear" w:color="auto" w:fill="FFFF99"/>
            <w:rtl/>
          </w:rPr>
          <w:t>ה"ח 1530</w:t>
        </w:r>
      </w:hyperlink>
      <w:r>
        <w:rPr>
          <w:rStyle w:val="default"/>
          <w:rFonts w:cs="FrankRuehl" w:hint="cs"/>
          <w:vanish/>
          <w:szCs w:val="20"/>
          <w:shd w:val="clear" w:color="auto" w:fill="FFFF99"/>
          <w:rtl/>
        </w:rPr>
        <w:t>)</w:t>
      </w:r>
    </w:p>
    <w:p w14:paraId="0B73D2A1" w14:textId="77777777" w:rsidR="00F864C9" w:rsidRDefault="00F864C9">
      <w:pPr>
        <w:pStyle w:val="P00"/>
        <w:spacing w:before="0"/>
        <w:ind w:left="0" w:right="1134"/>
        <w:rPr>
          <w:rStyle w:val="default"/>
          <w:rFonts w:cs="FrankRuehl" w:hint="cs"/>
          <w:b/>
          <w:bCs/>
          <w:sz w:val="2"/>
          <w:szCs w:val="2"/>
          <w:rtl/>
        </w:rPr>
      </w:pPr>
      <w:r>
        <w:rPr>
          <w:rStyle w:val="default"/>
          <w:rFonts w:cs="FrankRuehl" w:hint="cs"/>
          <w:b/>
          <w:bCs/>
          <w:vanish/>
          <w:szCs w:val="20"/>
          <w:shd w:val="clear" w:color="auto" w:fill="FFFF99"/>
          <w:rtl/>
        </w:rPr>
        <w:t>הוספת סעיף 3א</w:t>
      </w:r>
      <w:bookmarkEnd w:id="6"/>
    </w:p>
    <w:p w14:paraId="75643018" w14:textId="77777777" w:rsidR="00F864C9" w:rsidRDefault="00F864C9">
      <w:pPr>
        <w:pStyle w:val="P00"/>
        <w:spacing w:before="72"/>
        <w:ind w:left="0" w:right="1134"/>
        <w:rPr>
          <w:rStyle w:val="default"/>
          <w:rFonts w:cs="FrankRuehl" w:hint="cs"/>
          <w:rtl/>
        </w:rPr>
      </w:pPr>
      <w:bookmarkStart w:id="7" w:name="Seif6"/>
      <w:bookmarkEnd w:id="7"/>
      <w:r>
        <w:rPr>
          <w:lang w:val="he-IL"/>
        </w:rPr>
        <w:pict w14:anchorId="73A5F7FB">
          <v:rect id="_x0000_s1031" style="position:absolute;left:0;text-align:left;margin-left:464.5pt;margin-top:8.05pt;width:75.05pt;height:16pt;z-index:251651584" o:allowincell="f" filled="f" stroked="f" strokecolor="lime" strokeweight=".25pt">
            <v:textbox inset="0,0,0,0">
              <w:txbxContent>
                <w:p w14:paraId="517BB6B1" w14:textId="77777777" w:rsidR="00F864C9" w:rsidRDefault="00F864C9">
                  <w:pPr>
                    <w:spacing w:line="160" w:lineRule="exact"/>
                    <w:jc w:val="left"/>
                    <w:rPr>
                      <w:rFonts w:cs="Miriam"/>
                      <w:noProof/>
                      <w:szCs w:val="18"/>
                      <w:rtl/>
                    </w:rPr>
                  </w:pPr>
                  <w:r>
                    <w:rPr>
                      <w:rFonts w:cs="Miriam"/>
                      <w:szCs w:val="18"/>
                      <w:rtl/>
                    </w:rPr>
                    <w:t>מ</w:t>
                  </w:r>
                  <w:r>
                    <w:rPr>
                      <w:rFonts w:cs="Miriam" w:hint="cs"/>
                      <w:szCs w:val="18"/>
                      <w:rtl/>
                    </w:rPr>
                    <w:t>זו</w:t>
                  </w:r>
                  <w:r>
                    <w:rPr>
                      <w:rFonts w:cs="Miriam"/>
                      <w:szCs w:val="18"/>
                      <w:rtl/>
                    </w:rPr>
                    <w:t>נ</w:t>
                  </w:r>
                  <w:r>
                    <w:rPr>
                      <w:rFonts w:cs="Miriam" w:hint="cs"/>
                      <w:szCs w:val="18"/>
                      <w:rtl/>
                    </w:rPr>
                    <w:t>ות בין שאר</w:t>
                  </w:r>
                </w:p>
                <w:p w14:paraId="121C742D" w14:textId="77777777" w:rsidR="00F864C9" w:rsidRDefault="00F864C9">
                  <w:pPr>
                    <w:spacing w:line="160" w:lineRule="exact"/>
                    <w:jc w:val="left"/>
                    <w:rPr>
                      <w:rFonts w:cs="Miriam"/>
                      <w:noProof/>
                      <w:szCs w:val="18"/>
                      <w:rtl/>
                    </w:rPr>
                  </w:pPr>
                  <w:r>
                    <w:rPr>
                      <w:rFonts w:cs="Miriam"/>
                      <w:szCs w:val="18"/>
                      <w:rtl/>
                    </w:rPr>
                    <w:t>ב</w:t>
                  </w:r>
                  <w:r>
                    <w:rPr>
                      <w:rFonts w:cs="Miriam" w:hint="cs"/>
                      <w:szCs w:val="18"/>
                      <w:rtl/>
                    </w:rPr>
                    <w:t>ני-משפחה</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דם חייב במזונות שאר בני-משפחתו, והם</w:t>
      </w:r>
      <w:r w:rsidR="00912A63">
        <w:rPr>
          <w:rStyle w:val="default"/>
          <w:rFonts w:cs="FrankRuehl"/>
          <w:rtl/>
        </w:rPr>
        <w:t xml:space="preserve"> –</w:t>
      </w:r>
    </w:p>
    <w:p w14:paraId="1F960A9C" w14:textId="77777777" w:rsidR="00F864C9" w:rsidRDefault="00F864C9" w:rsidP="00912A6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הוריו והורי בן-זוגו;</w:t>
      </w:r>
    </w:p>
    <w:p w14:paraId="5A21C488" w14:textId="77777777" w:rsidR="00F864C9" w:rsidRDefault="00F864C9" w:rsidP="00912A63">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ילדיו הבגירים ובני-זוגם; </w:t>
      </w:r>
    </w:p>
    <w:p w14:paraId="5C7D88A5" w14:textId="77777777" w:rsidR="00F864C9" w:rsidRDefault="00F864C9" w:rsidP="00912A63">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נכדיו; </w:t>
      </w:r>
    </w:p>
    <w:p w14:paraId="56F009B7" w14:textId="77777777" w:rsidR="00F864C9" w:rsidRDefault="00F864C9" w:rsidP="00912A63">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הורי הוריו שלו ושל בן-זוגו; </w:t>
      </w:r>
    </w:p>
    <w:p w14:paraId="51B1A146" w14:textId="77777777" w:rsidR="00F864C9" w:rsidRDefault="00F864C9" w:rsidP="00912A63">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אחיו ואחיותיו שלו ושל בן-זוגו. </w:t>
      </w:r>
    </w:p>
    <w:p w14:paraId="2684D492" w14:textId="77777777" w:rsidR="00F864C9" w:rsidRDefault="00F864C9">
      <w:pPr>
        <w:pStyle w:val="P00"/>
        <w:spacing w:before="72"/>
        <w:ind w:left="0" w:right="1134"/>
        <w:rPr>
          <w:rStyle w:val="default"/>
          <w:rFonts w:cs="FrankRuehl"/>
          <w:rtl/>
        </w:rPr>
      </w:pPr>
      <w:bookmarkStart w:id="8" w:name="Seif7"/>
      <w:bookmarkEnd w:id="8"/>
      <w:r>
        <w:rPr>
          <w:lang w:val="he-IL"/>
        </w:rPr>
        <w:pict w14:anchorId="41275E75">
          <v:rect id="_x0000_s1032" style="position:absolute;left:0;text-align:left;margin-left:464.5pt;margin-top:8.05pt;width:75.05pt;height:8pt;z-index:251652608" o:allowincell="f" filled="f" stroked="f" strokecolor="lime" strokeweight=".25pt">
            <v:textbox inset="0,0,0,0">
              <w:txbxContent>
                <w:p w14:paraId="1D9B27AF" w14:textId="77777777" w:rsidR="00F864C9" w:rsidRDefault="00F864C9">
                  <w:pPr>
                    <w:spacing w:line="160" w:lineRule="exact"/>
                    <w:jc w:val="left"/>
                    <w:rPr>
                      <w:rFonts w:cs="Miriam"/>
                      <w:noProof/>
                      <w:szCs w:val="18"/>
                      <w:rtl/>
                    </w:rPr>
                  </w:pPr>
                  <w:r>
                    <w:rPr>
                      <w:rFonts w:cs="Miriam"/>
                      <w:szCs w:val="18"/>
                      <w:rtl/>
                    </w:rPr>
                    <w:t>ס</w:t>
                  </w:r>
                  <w:r>
                    <w:rPr>
                      <w:rFonts w:cs="Miriam" w:hint="cs"/>
                      <w:szCs w:val="18"/>
                      <w:rtl/>
                    </w:rPr>
                    <w:t>ולם</w:t>
                  </w:r>
                  <w:r>
                    <w:rPr>
                      <w:rFonts w:cs="Miriam"/>
                      <w:szCs w:val="18"/>
                      <w:rtl/>
                    </w:rPr>
                    <w:t xml:space="preserve"> </w:t>
                  </w:r>
                  <w:r>
                    <w:rPr>
                      <w:rFonts w:cs="Miriam" w:hint="cs"/>
                      <w:szCs w:val="18"/>
                      <w:rtl/>
                    </w:rPr>
                    <w:t>המזונות</w:t>
                  </w:r>
                </w:p>
              </w:txbxContent>
            </v:textbox>
            <w10:anchorlock/>
          </v:rect>
        </w:pict>
      </w:r>
      <w:r>
        <w:rPr>
          <w:rStyle w:val="big-number"/>
          <w:rtl/>
        </w:rPr>
        <w:t>5.</w:t>
      </w:r>
      <w:r>
        <w:rPr>
          <w:rStyle w:val="big-number"/>
          <w:rtl/>
        </w:rPr>
        <w:tab/>
      </w:r>
      <w:r>
        <w:rPr>
          <w:rStyle w:val="default"/>
          <w:rFonts w:cs="FrankRuehl"/>
          <w:rtl/>
        </w:rPr>
        <w:t>א</w:t>
      </w:r>
      <w:r>
        <w:rPr>
          <w:rStyle w:val="default"/>
          <w:rFonts w:cs="FrankRuehl" w:hint="cs"/>
          <w:rtl/>
        </w:rPr>
        <w:t>ין אדם חייב לספק מזונות לבן-משפחה לפי סעיף 4 אלא במידה שנתקיימו שלוש אלה:</w:t>
      </w:r>
    </w:p>
    <w:p w14:paraId="50DBAC38" w14:textId="77777777" w:rsidR="00F864C9" w:rsidRDefault="00F864C9">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יש בידו לעשות כן </w:t>
      </w:r>
      <w:r>
        <w:rPr>
          <w:rStyle w:val="default"/>
          <w:rFonts w:cs="FrankRuehl"/>
          <w:rtl/>
        </w:rPr>
        <w:t>ל</w:t>
      </w:r>
      <w:r>
        <w:rPr>
          <w:rStyle w:val="default"/>
          <w:rFonts w:cs="FrankRuehl" w:hint="cs"/>
          <w:rtl/>
        </w:rPr>
        <w:t>אחר סיפוק הצרכים של עצמו, של בן-זוגו ושל הילדים הקטינים שלו והילדים הקטינים של בן-זוגו;</w:t>
      </w:r>
    </w:p>
    <w:p w14:paraId="166ACF9D" w14:textId="77777777" w:rsidR="00F864C9" w:rsidRDefault="00F864C9">
      <w:pPr>
        <w:pStyle w:val="P00"/>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אותו בן-משפחה, על אף מאמציו, אינו יכול לספק צרכיו מעבודה, מנכסיו או ממקור אחר;</w:t>
      </w:r>
    </w:p>
    <w:p w14:paraId="1AAB89C3" w14:textId="77777777" w:rsidR="00F864C9" w:rsidRDefault="00F864C9">
      <w:pPr>
        <w:pStyle w:val="P00"/>
        <w:spacing w:before="72"/>
        <w:ind w:left="624" w:right="1134"/>
        <w:rPr>
          <w:rStyle w:val="default"/>
          <w:rFonts w:cs="FrankRuehl"/>
          <w:rtl/>
        </w:rPr>
      </w:pPr>
      <w:r>
        <w:rPr>
          <w:rStyle w:val="default"/>
          <w:rFonts w:cs="FrankRuehl"/>
          <w:rtl/>
        </w:rPr>
        <w:lastRenderedPageBreak/>
        <w:t>(3)</w:t>
      </w:r>
      <w:r>
        <w:rPr>
          <w:rStyle w:val="default"/>
          <w:rFonts w:cs="FrankRuehl"/>
          <w:rtl/>
        </w:rPr>
        <w:tab/>
      </w:r>
      <w:r>
        <w:rPr>
          <w:rStyle w:val="default"/>
          <w:rFonts w:cs="FrankRuehl" w:hint="cs"/>
          <w:rtl/>
        </w:rPr>
        <w:t xml:space="preserve">אותו בן-משפחה אינו יכול לקבל מזונות לפי סעיף 2 או לפי סעיף 3 או מעזבון, ואינו </w:t>
      </w:r>
      <w:r>
        <w:rPr>
          <w:rStyle w:val="default"/>
          <w:rFonts w:cs="FrankRuehl"/>
          <w:rtl/>
        </w:rPr>
        <w:t>י</w:t>
      </w:r>
      <w:r>
        <w:rPr>
          <w:rStyle w:val="default"/>
          <w:rFonts w:cs="FrankRuehl" w:hint="cs"/>
          <w:rtl/>
        </w:rPr>
        <w:t xml:space="preserve">כול לקבלם מבן-משפחה הקודם לאותו אדם לפי הסדר שנקבע בסעיף 4. </w:t>
      </w:r>
    </w:p>
    <w:p w14:paraId="41D0BB82" w14:textId="77777777" w:rsidR="00F864C9" w:rsidRDefault="00F864C9" w:rsidP="00912A63">
      <w:pPr>
        <w:pStyle w:val="P00"/>
        <w:spacing w:before="72"/>
        <w:ind w:left="0" w:right="1134"/>
        <w:rPr>
          <w:rStyle w:val="default"/>
          <w:rFonts w:cs="FrankRuehl"/>
          <w:rtl/>
        </w:rPr>
      </w:pPr>
      <w:bookmarkStart w:id="9" w:name="Seif8"/>
      <w:bookmarkEnd w:id="9"/>
      <w:r>
        <w:rPr>
          <w:lang w:val="he-IL"/>
        </w:rPr>
        <w:pict w14:anchorId="1E5F752A">
          <v:rect id="_x0000_s1033" style="position:absolute;left:0;text-align:left;margin-left:464.5pt;margin-top:8.05pt;width:75.05pt;height:8pt;z-index:251653632" o:allowincell="f" filled="f" stroked="f" strokecolor="lime" strokeweight=".25pt">
            <v:textbox inset="0,0,0,0">
              <w:txbxContent>
                <w:p w14:paraId="2547E204" w14:textId="77777777" w:rsidR="00F864C9" w:rsidRDefault="00F864C9">
                  <w:pPr>
                    <w:spacing w:line="160" w:lineRule="exact"/>
                    <w:jc w:val="left"/>
                    <w:rPr>
                      <w:rFonts w:cs="Miriam"/>
                      <w:noProof/>
                      <w:szCs w:val="18"/>
                      <w:rtl/>
                    </w:rPr>
                  </w:pPr>
                  <w:r>
                    <w:rPr>
                      <w:rFonts w:cs="Miriam"/>
                      <w:szCs w:val="18"/>
                      <w:rtl/>
                    </w:rPr>
                    <w:t>ה</w:t>
                  </w:r>
                  <w:r>
                    <w:rPr>
                      <w:rFonts w:cs="Miriam" w:hint="cs"/>
                      <w:szCs w:val="18"/>
                      <w:rtl/>
                    </w:rPr>
                    <w:t>יקף המזונות</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 xml:space="preserve">יקף המזונות, מידתם ודרכי סיפוקם ייקבעו, באין הסכם בין הצדדים, על ידי בית המשפט בשים לב לנסיבות, ופרט למזונות על פי סעיף 3 </w:t>
      </w:r>
      <w:r w:rsidR="00912A63">
        <w:rPr>
          <w:rStyle w:val="default"/>
          <w:rFonts w:cs="FrankRuehl"/>
          <w:rtl/>
        </w:rPr>
        <w:t>–</w:t>
      </w:r>
      <w:r>
        <w:rPr>
          <w:rStyle w:val="default"/>
          <w:rFonts w:cs="FrankRuehl" w:hint="cs"/>
          <w:rtl/>
        </w:rPr>
        <w:t xml:space="preserve"> לפי מחסורו של הזכאי ויכלתו של החייב. </w:t>
      </w:r>
    </w:p>
    <w:p w14:paraId="7FB63081" w14:textId="77777777" w:rsidR="00F864C9" w:rsidRDefault="00F864C9">
      <w:pPr>
        <w:pStyle w:val="P00"/>
        <w:spacing w:before="72"/>
        <w:ind w:left="0" w:right="1134"/>
        <w:rPr>
          <w:rStyle w:val="default"/>
          <w:rFonts w:cs="FrankRuehl"/>
          <w:rtl/>
        </w:rPr>
      </w:pPr>
      <w:bookmarkStart w:id="10" w:name="Seif9"/>
      <w:bookmarkEnd w:id="10"/>
      <w:r>
        <w:rPr>
          <w:lang w:val="he-IL"/>
        </w:rPr>
        <w:pict w14:anchorId="4F1E8ABF">
          <v:rect id="_x0000_s1034" style="position:absolute;left:0;text-align:left;margin-left:464.5pt;margin-top:8.05pt;width:75.05pt;height:11.4pt;z-index:251654656" o:allowincell="f" filled="f" stroked="f" strokecolor="lime" strokeweight=".25pt">
            <v:textbox inset="0,0,0,0">
              <w:txbxContent>
                <w:p w14:paraId="5E04C538" w14:textId="77777777" w:rsidR="00F864C9" w:rsidRDefault="00F864C9">
                  <w:pPr>
                    <w:spacing w:line="160" w:lineRule="exact"/>
                    <w:jc w:val="left"/>
                    <w:rPr>
                      <w:rFonts w:cs="Miriam"/>
                      <w:noProof/>
                      <w:szCs w:val="18"/>
                      <w:rtl/>
                    </w:rPr>
                  </w:pPr>
                  <w:r>
                    <w:rPr>
                      <w:rFonts w:cs="Miriam"/>
                      <w:szCs w:val="18"/>
                      <w:rtl/>
                    </w:rPr>
                    <w:t>ח</w:t>
                  </w:r>
                  <w:r>
                    <w:rPr>
                      <w:rFonts w:cs="Miriam" w:hint="cs"/>
                      <w:szCs w:val="18"/>
                      <w:rtl/>
                    </w:rPr>
                    <w:t>יי</w:t>
                  </w:r>
                  <w:r>
                    <w:rPr>
                      <w:rFonts w:cs="Miriam"/>
                      <w:szCs w:val="18"/>
                      <w:rtl/>
                    </w:rPr>
                    <w:t>ב</w:t>
                  </w:r>
                  <w:r>
                    <w:rPr>
                      <w:rFonts w:cs="Miriam" w:hint="cs"/>
                      <w:szCs w:val="18"/>
                      <w:rtl/>
                    </w:rPr>
                    <w:t>ים אחרים</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 xml:space="preserve">יו שנים או יותר בני אותה קירבה חייבים במזונות לזכאי, רשאי בית המשפט לקבוע את מידת החיוב של כל אחד מהם, ורשאי הוא לחייבם ביחד ולחוד. </w:t>
      </w:r>
    </w:p>
    <w:p w14:paraId="0B6FD39B" w14:textId="77777777" w:rsidR="00F864C9" w:rsidRDefault="00F864C9">
      <w:pPr>
        <w:pStyle w:val="P00"/>
        <w:spacing w:before="72"/>
        <w:ind w:left="0" w:right="1134"/>
        <w:rPr>
          <w:rStyle w:val="default"/>
          <w:rFonts w:cs="FrankRuehl"/>
          <w:rtl/>
        </w:rPr>
      </w:pPr>
      <w:bookmarkStart w:id="11" w:name="Seif10"/>
      <w:bookmarkEnd w:id="11"/>
      <w:r>
        <w:rPr>
          <w:lang w:val="he-IL"/>
        </w:rPr>
        <w:pict w14:anchorId="61BDADF5">
          <v:rect id="_x0000_s1035" style="position:absolute;left:0;text-align:left;margin-left:464.5pt;margin-top:8.05pt;width:75.05pt;height:12.1pt;z-index:251655680" o:allowincell="f" filled="f" stroked="f" strokecolor="lime" strokeweight=".25pt">
            <v:textbox inset="0,0,0,0">
              <w:txbxContent>
                <w:p w14:paraId="6AA515F4" w14:textId="77777777" w:rsidR="00F864C9" w:rsidRDefault="00F864C9">
                  <w:pPr>
                    <w:spacing w:line="160" w:lineRule="exact"/>
                    <w:jc w:val="left"/>
                    <w:rPr>
                      <w:rFonts w:cs="Miriam"/>
                      <w:noProof/>
                      <w:szCs w:val="18"/>
                      <w:rtl/>
                    </w:rPr>
                  </w:pPr>
                  <w:r>
                    <w:rPr>
                      <w:rFonts w:cs="Miriam"/>
                      <w:szCs w:val="18"/>
                      <w:rtl/>
                    </w:rPr>
                    <w:t>ה</w:t>
                  </w:r>
                  <w:r>
                    <w:rPr>
                      <w:rFonts w:cs="Miriam" w:hint="cs"/>
                      <w:szCs w:val="18"/>
                      <w:rtl/>
                    </w:rPr>
                    <w:t>בטחת מזונות</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 xml:space="preserve">ית המשפט רשאי להורות על מתן ערובה למזונות או על השלשתם לתקופה שיקבע, </w:t>
      </w:r>
      <w:r>
        <w:rPr>
          <w:rStyle w:val="default"/>
          <w:rFonts w:cs="FrankRuehl"/>
          <w:rtl/>
        </w:rPr>
        <w:t>ו</w:t>
      </w:r>
      <w:r>
        <w:rPr>
          <w:rStyle w:val="default"/>
          <w:rFonts w:cs="FrankRuehl" w:hint="cs"/>
          <w:rtl/>
        </w:rPr>
        <w:t xml:space="preserve">רשאי הוא לצוות על אדם שממנו מגיע חוב לחייב, לפרוע את סכום החוב, כולו או מקצתו, במישרין לזכאי במזונות. </w:t>
      </w:r>
    </w:p>
    <w:p w14:paraId="5C1595D5" w14:textId="77777777" w:rsidR="00F864C9" w:rsidRDefault="00F864C9">
      <w:pPr>
        <w:pStyle w:val="P00"/>
        <w:spacing w:before="72"/>
        <w:ind w:left="0" w:right="1134"/>
        <w:rPr>
          <w:rStyle w:val="default"/>
          <w:rFonts w:cs="FrankRuehl"/>
          <w:rtl/>
        </w:rPr>
      </w:pPr>
      <w:bookmarkStart w:id="12" w:name="Seif11"/>
      <w:bookmarkEnd w:id="12"/>
      <w:r>
        <w:rPr>
          <w:lang w:val="he-IL"/>
        </w:rPr>
        <w:pict w14:anchorId="44C77169">
          <v:rect id="_x0000_s1036" style="position:absolute;left:0;text-align:left;margin-left:464.5pt;margin-top:8.05pt;width:75.05pt;height:8pt;z-index:251656704" o:allowincell="f" filled="f" stroked="f" strokecolor="lime" strokeweight=".25pt">
            <v:textbox inset="0,0,0,0">
              <w:txbxContent>
                <w:p w14:paraId="19C7B588" w14:textId="77777777" w:rsidR="00F864C9" w:rsidRDefault="00F864C9">
                  <w:pPr>
                    <w:spacing w:line="160" w:lineRule="exact"/>
                    <w:jc w:val="left"/>
                    <w:rPr>
                      <w:rFonts w:cs="Miriam"/>
                      <w:noProof/>
                      <w:szCs w:val="18"/>
                      <w:rtl/>
                    </w:rPr>
                  </w:pPr>
                  <w:r>
                    <w:rPr>
                      <w:rFonts w:cs="Miriam"/>
                      <w:szCs w:val="18"/>
                      <w:rtl/>
                    </w:rPr>
                    <w:t>פ</w:t>
                  </w:r>
                  <w:r>
                    <w:rPr>
                      <w:rFonts w:cs="Miriam" w:hint="cs"/>
                      <w:szCs w:val="18"/>
                      <w:rtl/>
                    </w:rPr>
                    <w:t>טור מ</w:t>
                  </w:r>
                  <w:r>
                    <w:rPr>
                      <w:rFonts w:cs="Miriam"/>
                      <w:szCs w:val="18"/>
                      <w:rtl/>
                    </w:rPr>
                    <w:t>מ</w:t>
                  </w:r>
                  <w:r>
                    <w:rPr>
                      <w:rFonts w:cs="Miriam" w:hint="cs"/>
                      <w:szCs w:val="18"/>
                      <w:rtl/>
                    </w:rPr>
                    <w:t>זונות</w:t>
                  </w:r>
                </w:p>
              </w:txbxContent>
            </v:textbox>
            <w10:anchorlock/>
          </v:rect>
        </w:pict>
      </w:r>
      <w:r>
        <w:rPr>
          <w:rStyle w:val="big-number"/>
          <w:rtl/>
        </w:rPr>
        <w:t>9.</w:t>
      </w:r>
      <w:r>
        <w:rPr>
          <w:rStyle w:val="big-number"/>
          <w:rtl/>
        </w:rPr>
        <w:tab/>
      </w:r>
      <w:r>
        <w:rPr>
          <w:rStyle w:val="default"/>
          <w:rFonts w:cs="FrankRuehl"/>
          <w:rtl/>
        </w:rPr>
        <w:t>ר</w:t>
      </w:r>
      <w:r>
        <w:rPr>
          <w:rStyle w:val="default"/>
          <w:rFonts w:cs="FrankRuehl" w:hint="cs"/>
          <w:rtl/>
        </w:rPr>
        <w:t>שאי בית המשפט, אם הוא סבור שמן הצדק והיושר לעשות כן, לפטור אדם מחובת מזונות, כולה או מקצתה, מחמת התנהגות מחפירה שהזכאי במזונות התנהג</w:t>
      </w:r>
      <w:r>
        <w:rPr>
          <w:rStyle w:val="default"/>
          <w:rFonts w:cs="FrankRuehl"/>
          <w:rtl/>
        </w:rPr>
        <w:t xml:space="preserve"> </w:t>
      </w:r>
      <w:r>
        <w:rPr>
          <w:rStyle w:val="default"/>
          <w:rFonts w:cs="FrankRuehl" w:hint="cs"/>
          <w:rtl/>
        </w:rPr>
        <w:t xml:space="preserve">כלפיו. </w:t>
      </w:r>
    </w:p>
    <w:p w14:paraId="4321F2E2" w14:textId="77777777" w:rsidR="00F864C9" w:rsidRDefault="00F864C9">
      <w:pPr>
        <w:pStyle w:val="P00"/>
        <w:spacing w:before="72"/>
        <w:ind w:left="0" w:right="1134"/>
        <w:rPr>
          <w:rStyle w:val="default"/>
          <w:rFonts w:cs="FrankRuehl"/>
          <w:rtl/>
        </w:rPr>
      </w:pPr>
      <w:bookmarkStart w:id="13" w:name="Seif12"/>
      <w:bookmarkEnd w:id="13"/>
      <w:r>
        <w:rPr>
          <w:lang w:val="he-IL"/>
        </w:rPr>
        <w:pict w14:anchorId="3256A814">
          <v:rect id="_x0000_s1037" style="position:absolute;left:0;text-align:left;margin-left:464.5pt;margin-top:8.05pt;width:75.05pt;height:8pt;z-index:251657728" o:allowincell="f" filled="f" stroked="f" strokecolor="lime" strokeweight=".25pt">
            <v:textbox inset="0,0,0,0">
              <w:txbxContent>
                <w:p w14:paraId="17965C6A" w14:textId="77777777" w:rsidR="00F864C9" w:rsidRDefault="00F864C9">
                  <w:pPr>
                    <w:spacing w:line="160" w:lineRule="exact"/>
                    <w:jc w:val="left"/>
                    <w:rPr>
                      <w:rFonts w:cs="Miriam"/>
                      <w:noProof/>
                      <w:szCs w:val="18"/>
                      <w:rtl/>
                    </w:rPr>
                  </w:pPr>
                  <w:r>
                    <w:rPr>
                      <w:rFonts w:cs="Miriam"/>
                      <w:szCs w:val="18"/>
                      <w:rtl/>
                    </w:rPr>
                    <w:t>מ</w:t>
                  </w:r>
                  <w:r>
                    <w:rPr>
                      <w:rFonts w:cs="Miriam" w:hint="cs"/>
                      <w:szCs w:val="18"/>
                      <w:rtl/>
                    </w:rPr>
                    <w:t>זונות זמ</w:t>
                  </w:r>
                  <w:r>
                    <w:rPr>
                      <w:rFonts w:cs="Miriam"/>
                      <w:szCs w:val="18"/>
                      <w:rtl/>
                    </w:rPr>
                    <w:t>נ</w:t>
                  </w:r>
                  <w:r>
                    <w:rPr>
                      <w:rFonts w:cs="Miriam" w:hint="cs"/>
                      <w:szCs w:val="18"/>
                      <w:rtl/>
                    </w:rPr>
                    <w:t>יים</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 xml:space="preserve">וגשה תביעה למזונות, רשאי בית המשפט לפסוק מזונות זמניים עד לגמר בירור התביעה. </w:t>
      </w:r>
    </w:p>
    <w:p w14:paraId="086F8E2A" w14:textId="77777777" w:rsidR="00F864C9" w:rsidRDefault="00F864C9">
      <w:pPr>
        <w:pStyle w:val="P00"/>
        <w:spacing w:before="72"/>
        <w:ind w:left="0" w:right="1134"/>
        <w:rPr>
          <w:rStyle w:val="default"/>
          <w:rFonts w:cs="FrankRuehl"/>
          <w:rtl/>
        </w:rPr>
      </w:pPr>
      <w:bookmarkStart w:id="14" w:name="Seif13"/>
      <w:bookmarkEnd w:id="14"/>
      <w:r>
        <w:rPr>
          <w:lang w:val="he-IL"/>
        </w:rPr>
        <w:pict w14:anchorId="417AE66D">
          <v:rect id="_x0000_s1038" style="position:absolute;left:0;text-align:left;margin-left:464.5pt;margin-top:8.05pt;width:75.05pt;height:16pt;z-index:251658752" o:allowincell="f" filled="f" stroked="f" strokecolor="lime" strokeweight=".25pt">
            <v:textbox inset="0,0,0,0">
              <w:txbxContent>
                <w:p w14:paraId="6172C6C3" w14:textId="77777777" w:rsidR="00F864C9" w:rsidRDefault="00F864C9">
                  <w:pPr>
                    <w:spacing w:line="160" w:lineRule="exact"/>
                    <w:jc w:val="left"/>
                    <w:rPr>
                      <w:rFonts w:cs="Miriam"/>
                      <w:noProof/>
                      <w:szCs w:val="18"/>
                      <w:rtl/>
                    </w:rPr>
                  </w:pPr>
                  <w:r>
                    <w:rPr>
                      <w:rFonts w:cs="Miriam"/>
                      <w:szCs w:val="18"/>
                      <w:rtl/>
                    </w:rPr>
                    <w:t>ס</w:t>
                  </w:r>
                  <w:r>
                    <w:rPr>
                      <w:rFonts w:cs="Miriam" w:hint="cs"/>
                      <w:szCs w:val="18"/>
                      <w:rtl/>
                    </w:rPr>
                    <w:t xml:space="preserve">ייג למזונות </w:t>
                  </w:r>
                  <w:r>
                    <w:rPr>
                      <w:rFonts w:cs="Miriam"/>
                      <w:szCs w:val="18"/>
                      <w:rtl/>
                    </w:rPr>
                    <w:t>ב</w:t>
                  </w:r>
                  <w:r>
                    <w:rPr>
                      <w:rFonts w:cs="Miriam" w:hint="cs"/>
                      <w:szCs w:val="18"/>
                      <w:rtl/>
                    </w:rPr>
                    <w:t>עד העבר</w:t>
                  </w:r>
                </w:p>
              </w:txbxContent>
            </v:textbox>
            <w10:anchorlock/>
          </v:rect>
        </w:pict>
      </w:r>
      <w:r>
        <w:rPr>
          <w:rStyle w:val="big-number"/>
          <w:rtl/>
        </w:rPr>
        <w:t>11</w:t>
      </w:r>
      <w:r w:rsidRPr="00A8631E">
        <w:rPr>
          <w:rStyle w:val="default"/>
          <w:rFonts w:cs="FrankRuehl"/>
          <w:rtl/>
        </w:rPr>
        <w:t>.</w:t>
      </w:r>
      <w:r w:rsidRPr="00A8631E">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תביעה למזונות שהוגשה כעבור יותר משנה לאחר התקופה שבעדה הם נתבעים, רשאי בית המשפט לדחותה בשל כך בלבד, אם לא ראה טעם</w:t>
      </w:r>
      <w:r>
        <w:rPr>
          <w:rStyle w:val="default"/>
          <w:rFonts w:cs="FrankRuehl"/>
          <w:rtl/>
        </w:rPr>
        <w:t xml:space="preserve"> </w:t>
      </w:r>
      <w:r>
        <w:rPr>
          <w:rStyle w:val="default"/>
          <w:rFonts w:cs="FrankRuehl" w:hint="cs"/>
          <w:rtl/>
        </w:rPr>
        <w:t xml:space="preserve">סביר לאיחור. </w:t>
      </w:r>
    </w:p>
    <w:p w14:paraId="3AAD8E5E"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מזונות שלא התחילו לפעול לגבייתם תוך שנתיים לאחר התקופה שבעדה הם נפסקו, אין לגבותם אלא ברשות בית המשפט.</w:t>
      </w:r>
    </w:p>
    <w:p w14:paraId="2F3B6CF6" w14:textId="77777777" w:rsidR="00A8631E" w:rsidRPr="008D188B" w:rsidRDefault="00A8631E" w:rsidP="00A8631E">
      <w:pPr>
        <w:pStyle w:val="P00"/>
        <w:spacing w:before="72"/>
        <w:ind w:left="0" w:right="1134"/>
        <w:rPr>
          <w:rStyle w:val="default"/>
          <w:rFonts w:cs="FrankRuehl"/>
          <w:rtl/>
        </w:rPr>
      </w:pPr>
      <w:bookmarkStart w:id="15" w:name="Seif23"/>
      <w:bookmarkEnd w:id="15"/>
      <w:r w:rsidRPr="008D188B">
        <w:rPr>
          <w:lang w:val="he-IL"/>
        </w:rPr>
        <w:pict w14:anchorId="22E6B14D">
          <v:rect id="_x0000_s1049" style="position:absolute;left:0;text-align:left;margin-left:464.5pt;margin-top:8.05pt;width:75.05pt;height:37.25pt;z-index:251668992" o:allowincell="f" filled="f" stroked="f" strokecolor="lime" strokeweight=".25pt">
            <v:textbox inset="0,0,0,0">
              <w:txbxContent>
                <w:p w14:paraId="36912965" w14:textId="77777777" w:rsidR="00A8631E" w:rsidRDefault="00A8631E" w:rsidP="00A8631E">
                  <w:pPr>
                    <w:spacing w:line="160" w:lineRule="exact"/>
                    <w:jc w:val="left"/>
                    <w:rPr>
                      <w:rFonts w:cs="Miriam"/>
                      <w:szCs w:val="18"/>
                      <w:rtl/>
                    </w:rPr>
                  </w:pPr>
                  <w:r>
                    <w:rPr>
                      <w:rFonts w:cs="Miriam" w:hint="cs"/>
                      <w:szCs w:val="18"/>
                      <w:rtl/>
                    </w:rPr>
                    <w:t>תשלום בשיעורים של מזונות בעד העבר</w:t>
                  </w:r>
                </w:p>
                <w:p w14:paraId="79EDD131" w14:textId="77777777" w:rsidR="00A8631E" w:rsidRDefault="00A8631E" w:rsidP="00A8631E">
                  <w:pPr>
                    <w:spacing w:line="160" w:lineRule="exact"/>
                    <w:jc w:val="left"/>
                    <w:rPr>
                      <w:rFonts w:cs="Miriam"/>
                      <w:noProof/>
                      <w:szCs w:val="18"/>
                      <w:rtl/>
                    </w:rPr>
                  </w:pPr>
                  <w:r>
                    <w:rPr>
                      <w:rFonts w:cs="Miriam" w:hint="cs"/>
                      <w:noProof/>
                      <w:szCs w:val="18"/>
                      <w:rtl/>
                    </w:rPr>
                    <w:t>(תיקון מס' 4) תשע"ח-2018</w:t>
                  </w:r>
                </w:p>
              </w:txbxContent>
            </v:textbox>
            <w10:anchorlock/>
          </v:rect>
        </w:pict>
      </w:r>
      <w:r w:rsidRPr="008D188B">
        <w:rPr>
          <w:rStyle w:val="big-number"/>
          <w:rtl/>
        </w:rPr>
        <w:t>11</w:t>
      </w:r>
      <w:r w:rsidRPr="008D188B">
        <w:rPr>
          <w:rStyle w:val="default"/>
          <w:rFonts w:cs="FrankRuehl" w:hint="cs"/>
          <w:rtl/>
        </w:rPr>
        <w:t>א</w:t>
      </w:r>
      <w:r w:rsidRPr="008D188B">
        <w:rPr>
          <w:rStyle w:val="default"/>
          <w:rFonts w:cs="FrankRuehl"/>
          <w:rtl/>
        </w:rPr>
        <w:t>.</w:t>
      </w:r>
      <w:r w:rsidRPr="008D188B">
        <w:rPr>
          <w:rStyle w:val="default"/>
          <w:rFonts w:cs="FrankRuehl"/>
          <w:rtl/>
        </w:rPr>
        <w:tab/>
      </w:r>
      <w:r w:rsidRPr="008D188B">
        <w:rPr>
          <w:rStyle w:val="default"/>
          <w:rFonts w:cs="FrankRuehl" w:hint="cs"/>
          <w:rtl/>
        </w:rPr>
        <w:t xml:space="preserve">פסק בית המשפט מזונות בעד תקופה שקדמה ליום מתן פסק הדין, רשאי הוא להורות על תשלום המזונות כאמור בשיעורים ובמועדים כפי שיקבע. </w:t>
      </w:r>
    </w:p>
    <w:p w14:paraId="15CFF7C8" w14:textId="77777777" w:rsidR="00A8631E" w:rsidRPr="008D188B" w:rsidRDefault="00A8631E" w:rsidP="00A8631E">
      <w:pPr>
        <w:pStyle w:val="P00"/>
        <w:spacing w:before="0"/>
        <w:ind w:left="0" w:right="1134"/>
        <w:rPr>
          <w:rStyle w:val="default"/>
          <w:rFonts w:ascii="FrankRuehl" w:hAnsi="FrankRuehl" w:cs="FrankRuehl"/>
          <w:vanish/>
          <w:color w:val="FF0000"/>
          <w:szCs w:val="20"/>
          <w:shd w:val="clear" w:color="auto" w:fill="FFFF99"/>
          <w:rtl/>
        </w:rPr>
      </w:pPr>
      <w:bookmarkStart w:id="16" w:name="Rov27"/>
      <w:r w:rsidRPr="008D188B">
        <w:rPr>
          <w:rStyle w:val="default"/>
          <w:rFonts w:ascii="FrankRuehl" w:hAnsi="FrankRuehl" w:cs="FrankRuehl"/>
          <w:vanish/>
          <w:color w:val="FF0000"/>
          <w:szCs w:val="20"/>
          <w:shd w:val="clear" w:color="auto" w:fill="FFFF99"/>
          <w:rtl/>
        </w:rPr>
        <w:t>מיום 15.8.2018</w:t>
      </w:r>
    </w:p>
    <w:p w14:paraId="66616209" w14:textId="77777777" w:rsidR="00A8631E" w:rsidRPr="008D188B" w:rsidRDefault="00A8631E" w:rsidP="00A8631E">
      <w:pPr>
        <w:pStyle w:val="P00"/>
        <w:spacing w:before="0"/>
        <w:ind w:left="0" w:right="1134"/>
        <w:rPr>
          <w:rStyle w:val="default"/>
          <w:rFonts w:ascii="FrankRuehl" w:hAnsi="FrankRuehl" w:cs="FrankRuehl"/>
          <w:vanish/>
          <w:szCs w:val="20"/>
          <w:shd w:val="clear" w:color="auto" w:fill="FFFF99"/>
          <w:rtl/>
        </w:rPr>
      </w:pPr>
      <w:r w:rsidRPr="008D188B">
        <w:rPr>
          <w:rStyle w:val="default"/>
          <w:rFonts w:ascii="FrankRuehl" w:hAnsi="FrankRuehl" w:cs="FrankRuehl"/>
          <w:b/>
          <w:bCs/>
          <w:vanish/>
          <w:szCs w:val="20"/>
          <w:shd w:val="clear" w:color="auto" w:fill="FFFF99"/>
          <w:rtl/>
        </w:rPr>
        <w:t xml:space="preserve">תיקון מס' </w:t>
      </w:r>
      <w:r w:rsidRPr="008D188B">
        <w:rPr>
          <w:rStyle w:val="default"/>
          <w:rFonts w:ascii="FrankRuehl" w:hAnsi="FrankRuehl" w:cs="FrankRuehl" w:hint="cs"/>
          <w:b/>
          <w:bCs/>
          <w:vanish/>
          <w:szCs w:val="20"/>
          <w:shd w:val="clear" w:color="auto" w:fill="FFFF99"/>
          <w:rtl/>
        </w:rPr>
        <w:t>4</w:t>
      </w:r>
    </w:p>
    <w:p w14:paraId="40FADDD1" w14:textId="77777777" w:rsidR="00A8631E" w:rsidRPr="008D188B" w:rsidRDefault="00A8631E" w:rsidP="00A8631E">
      <w:pPr>
        <w:pStyle w:val="P00"/>
        <w:spacing w:before="0"/>
        <w:ind w:left="0" w:right="1134"/>
        <w:rPr>
          <w:rStyle w:val="default"/>
          <w:rFonts w:ascii="FrankRuehl" w:hAnsi="FrankRuehl" w:cs="FrankRuehl"/>
          <w:vanish/>
          <w:szCs w:val="20"/>
          <w:shd w:val="clear" w:color="auto" w:fill="FFFF99"/>
          <w:rtl/>
        </w:rPr>
      </w:pPr>
      <w:hyperlink r:id="rId10" w:history="1">
        <w:r w:rsidRPr="008D188B">
          <w:rPr>
            <w:rStyle w:val="Hyperlink"/>
            <w:rFonts w:ascii="FrankRuehl" w:hAnsi="FrankRuehl"/>
            <w:vanish/>
            <w:szCs w:val="20"/>
            <w:shd w:val="clear" w:color="auto" w:fill="FFFF99"/>
            <w:rtl/>
          </w:rPr>
          <w:t>ס"ח תשע"ח מס' 2692</w:t>
        </w:r>
      </w:hyperlink>
      <w:r w:rsidRPr="008D188B">
        <w:rPr>
          <w:rStyle w:val="default"/>
          <w:rFonts w:ascii="FrankRuehl" w:hAnsi="FrankRuehl" w:cs="FrankRuehl"/>
          <w:vanish/>
          <w:szCs w:val="20"/>
          <w:shd w:val="clear" w:color="auto" w:fill="FFFF99"/>
          <w:rtl/>
        </w:rPr>
        <w:t xml:space="preserve"> מיום 15.2.2018 עמ' 17</w:t>
      </w:r>
      <w:r w:rsidRPr="008D188B">
        <w:rPr>
          <w:rStyle w:val="default"/>
          <w:rFonts w:ascii="FrankRuehl" w:hAnsi="FrankRuehl" w:cs="FrankRuehl" w:hint="cs"/>
          <w:vanish/>
          <w:szCs w:val="20"/>
          <w:shd w:val="clear" w:color="auto" w:fill="FFFF99"/>
          <w:rtl/>
        </w:rPr>
        <w:t>5</w:t>
      </w:r>
      <w:r w:rsidRPr="008D188B">
        <w:rPr>
          <w:rStyle w:val="default"/>
          <w:rFonts w:ascii="FrankRuehl" w:hAnsi="FrankRuehl" w:cs="FrankRuehl"/>
          <w:vanish/>
          <w:szCs w:val="20"/>
          <w:shd w:val="clear" w:color="auto" w:fill="FFFF99"/>
          <w:rtl/>
        </w:rPr>
        <w:t xml:space="preserve"> (</w:t>
      </w:r>
      <w:hyperlink r:id="rId11" w:history="1">
        <w:r w:rsidRPr="008D188B">
          <w:rPr>
            <w:rStyle w:val="Hyperlink"/>
            <w:rFonts w:ascii="FrankRuehl" w:hAnsi="FrankRuehl"/>
            <w:vanish/>
            <w:szCs w:val="20"/>
            <w:shd w:val="clear" w:color="auto" w:fill="FFFF99"/>
            <w:rtl/>
          </w:rPr>
          <w:t>ה"ח 1124</w:t>
        </w:r>
      </w:hyperlink>
      <w:r w:rsidRPr="008D188B">
        <w:rPr>
          <w:rStyle w:val="default"/>
          <w:rFonts w:ascii="FrankRuehl" w:hAnsi="FrankRuehl" w:cs="FrankRuehl"/>
          <w:vanish/>
          <w:szCs w:val="20"/>
          <w:shd w:val="clear" w:color="auto" w:fill="FFFF99"/>
          <w:rtl/>
        </w:rPr>
        <w:t>)</w:t>
      </w:r>
    </w:p>
    <w:p w14:paraId="731C8000" w14:textId="77777777" w:rsidR="00A8631E" w:rsidRPr="008D188B" w:rsidRDefault="00A8631E" w:rsidP="008D188B">
      <w:pPr>
        <w:pStyle w:val="P00"/>
        <w:spacing w:before="0"/>
        <w:ind w:left="0" w:right="1134"/>
        <w:rPr>
          <w:rStyle w:val="default"/>
          <w:rFonts w:ascii="FrankRuehl" w:hAnsi="FrankRuehl" w:cs="FrankRuehl"/>
          <w:b/>
          <w:bCs/>
          <w:sz w:val="2"/>
          <w:szCs w:val="2"/>
          <w:shd w:val="clear" w:color="auto" w:fill="FFFF99"/>
          <w:rtl/>
        </w:rPr>
      </w:pPr>
      <w:r w:rsidRPr="008D188B">
        <w:rPr>
          <w:rStyle w:val="default"/>
          <w:rFonts w:ascii="FrankRuehl" w:hAnsi="FrankRuehl" w:cs="FrankRuehl" w:hint="cs"/>
          <w:b/>
          <w:bCs/>
          <w:vanish/>
          <w:szCs w:val="20"/>
          <w:shd w:val="clear" w:color="auto" w:fill="FFFF99"/>
          <w:rtl/>
        </w:rPr>
        <w:t>הוספת סעיף 11א</w:t>
      </w:r>
      <w:bookmarkEnd w:id="16"/>
    </w:p>
    <w:p w14:paraId="2767817A" w14:textId="77777777" w:rsidR="00F864C9" w:rsidRDefault="00F864C9">
      <w:pPr>
        <w:pStyle w:val="P00"/>
        <w:spacing w:before="72"/>
        <w:ind w:left="0" w:right="1134"/>
        <w:rPr>
          <w:rStyle w:val="default"/>
          <w:rFonts w:cs="FrankRuehl"/>
          <w:rtl/>
        </w:rPr>
      </w:pPr>
      <w:bookmarkStart w:id="17" w:name="Seif14"/>
      <w:bookmarkEnd w:id="17"/>
      <w:r>
        <w:rPr>
          <w:lang w:val="he-IL"/>
        </w:rPr>
        <w:pict w14:anchorId="072C9850">
          <v:rect id="_x0000_s1039" style="position:absolute;left:0;text-align:left;margin-left:464.5pt;margin-top:8.05pt;width:75.05pt;height:16pt;z-index:251659776" o:allowincell="f" filled="f" stroked="f" strokecolor="lime" strokeweight=".25pt">
            <v:textbox inset="0,0,0,0">
              <w:txbxContent>
                <w:p w14:paraId="359DDC7E" w14:textId="77777777" w:rsidR="00F864C9" w:rsidRDefault="00F864C9">
                  <w:pPr>
                    <w:spacing w:line="160" w:lineRule="exact"/>
                    <w:jc w:val="left"/>
                    <w:rPr>
                      <w:rFonts w:cs="Miriam"/>
                      <w:noProof/>
                      <w:szCs w:val="18"/>
                      <w:rtl/>
                    </w:rPr>
                  </w:pPr>
                  <w:r>
                    <w:rPr>
                      <w:rFonts w:cs="Miriam"/>
                      <w:szCs w:val="18"/>
                      <w:rtl/>
                    </w:rPr>
                    <w:t>ה</w:t>
                  </w:r>
                  <w:r>
                    <w:rPr>
                      <w:rFonts w:cs="Miriam" w:hint="cs"/>
                      <w:szCs w:val="18"/>
                      <w:rtl/>
                    </w:rPr>
                    <w:t xml:space="preserve">סכמים בדבר </w:t>
                  </w:r>
                  <w:r>
                    <w:rPr>
                      <w:rFonts w:cs="Miriam"/>
                      <w:szCs w:val="18"/>
                      <w:rtl/>
                    </w:rPr>
                    <w:t>מ</w:t>
                  </w:r>
                  <w:r>
                    <w:rPr>
                      <w:rFonts w:cs="Miriam" w:hint="cs"/>
                      <w:szCs w:val="18"/>
                      <w:rtl/>
                    </w:rPr>
                    <w:t>זונות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הסכם בדבר מזונות של קטין וויתור על מזונות כאלה אינו קושר את הקטין, כל עוד לא אושר על ידי בית המשפט. </w:t>
      </w:r>
    </w:p>
    <w:p w14:paraId="48DEFA5D"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הסכם בדבר מזונות של בגיר וויתור על מזונות כאלה ייעשו בכתב; הם ניתנים לאישור בית-המשפט. </w:t>
      </w:r>
    </w:p>
    <w:p w14:paraId="2D37A1D8"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הסכם בעניני מזונות שאושר על ידי בית המשפט, דינו כדין פסק-דין של בית המשפט בעניני מזונות. </w:t>
      </w:r>
    </w:p>
    <w:p w14:paraId="4A48B010" w14:textId="77777777" w:rsidR="00F864C9" w:rsidRDefault="00F864C9">
      <w:pPr>
        <w:pStyle w:val="P00"/>
        <w:spacing w:before="72"/>
        <w:ind w:left="0" w:right="1134"/>
        <w:rPr>
          <w:rStyle w:val="default"/>
          <w:rFonts w:cs="FrankRuehl"/>
          <w:rtl/>
        </w:rPr>
      </w:pPr>
      <w:bookmarkStart w:id="18" w:name="Seif15"/>
      <w:bookmarkEnd w:id="18"/>
      <w:r>
        <w:rPr>
          <w:lang w:val="he-IL"/>
        </w:rPr>
        <w:pict w14:anchorId="54DBF786">
          <v:rect id="_x0000_s1040" style="position:absolute;left:0;text-align:left;margin-left:464.5pt;margin-top:8.05pt;width:75.05pt;height:10.7pt;z-index:251660800" o:allowincell="f" filled="f" stroked="f" strokecolor="lime" strokeweight=".25pt">
            <v:textbox inset="0,0,0,0">
              <w:txbxContent>
                <w:p w14:paraId="714FC049" w14:textId="77777777" w:rsidR="00F864C9" w:rsidRDefault="00F864C9">
                  <w:pPr>
                    <w:spacing w:line="160" w:lineRule="exact"/>
                    <w:jc w:val="left"/>
                    <w:rPr>
                      <w:rFonts w:cs="Miriam"/>
                      <w:noProof/>
                      <w:szCs w:val="18"/>
                      <w:rtl/>
                    </w:rPr>
                  </w:pPr>
                  <w:r>
                    <w:rPr>
                      <w:rFonts w:cs="Miriam"/>
                      <w:szCs w:val="18"/>
                      <w:rtl/>
                    </w:rPr>
                    <w:t>ש</w:t>
                  </w:r>
                  <w:r>
                    <w:rPr>
                      <w:rFonts w:cs="Miriam" w:hint="cs"/>
                      <w:szCs w:val="18"/>
                      <w:rtl/>
                    </w:rPr>
                    <w:t>ינוי</w:t>
                  </w:r>
                  <w:r>
                    <w:rPr>
                      <w:rFonts w:cs="Miriam"/>
                      <w:szCs w:val="18"/>
                      <w:rtl/>
                    </w:rPr>
                    <w:t>י</w:t>
                  </w:r>
                  <w:r>
                    <w:rPr>
                      <w:rFonts w:cs="Miriam" w:hint="cs"/>
                      <w:szCs w:val="18"/>
                      <w:rtl/>
                    </w:rPr>
                    <w:t>ם בנסיבות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המשפט רשאי לשנות את אשר נקבע בהסכם, בו</w:t>
      </w:r>
      <w:r>
        <w:rPr>
          <w:rStyle w:val="default"/>
          <w:rFonts w:cs="FrankRuehl"/>
          <w:rtl/>
        </w:rPr>
        <w:t>י</w:t>
      </w:r>
      <w:r>
        <w:rPr>
          <w:rStyle w:val="default"/>
          <w:rFonts w:cs="FrankRuehl" w:hint="cs"/>
          <w:rtl/>
        </w:rPr>
        <w:t xml:space="preserve">תור ובפסק-דין, אם ראה לעשות כן על סמך נסיבות שנודעו למבקש או שנשתנו אחרי ההסכם, הויתור או פסק-הדין. </w:t>
      </w:r>
    </w:p>
    <w:p w14:paraId="6197326C"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רשאי בית המשפט שלא להיזקק לבקשת שינוי שהוגשה לפני שעברו ששה חדשים לאחר בקשה קודמת. </w:t>
      </w:r>
    </w:p>
    <w:p w14:paraId="0076468F"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זה אינן באות לגרוע מכל סעד לביטול או לשינוי של ה</w:t>
      </w:r>
      <w:r>
        <w:rPr>
          <w:rStyle w:val="default"/>
          <w:rFonts w:cs="FrankRuehl"/>
          <w:rtl/>
        </w:rPr>
        <w:t>ס</w:t>
      </w:r>
      <w:r>
        <w:rPr>
          <w:rStyle w:val="default"/>
          <w:rFonts w:cs="FrankRuehl" w:hint="cs"/>
          <w:rtl/>
        </w:rPr>
        <w:t xml:space="preserve">כם, ויתור או פסק-דין שניתן לפי כל דין אחר. </w:t>
      </w:r>
    </w:p>
    <w:p w14:paraId="547D8FF3" w14:textId="77777777" w:rsidR="00F864C9" w:rsidRDefault="00F864C9">
      <w:pPr>
        <w:pStyle w:val="P00"/>
        <w:spacing w:before="72"/>
        <w:ind w:left="0" w:right="1134"/>
        <w:rPr>
          <w:rStyle w:val="default"/>
          <w:rFonts w:cs="FrankRuehl"/>
          <w:rtl/>
        </w:rPr>
      </w:pPr>
      <w:bookmarkStart w:id="19" w:name="Seif16"/>
      <w:bookmarkEnd w:id="19"/>
      <w:r>
        <w:rPr>
          <w:lang w:val="he-IL"/>
        </w:rPr>
        <w:pict w14:anchorId="15B3ADF1">
          <v:rect id="_x0000_s1041" style="position:absolute;left:0;text-align:left;margin-left:464.5pt;margin-top:8.05pt;width:75.05pt;height:16pt;z-index:251661824" o:allowincell="f" filled="f" stroked="f" strokecolor="lime" strokeweight=".25pt">
            <v:textbox inset="0,0,0,0">
              <w:txbxContent>
                <w:p w14:paraId="1748ECDC" w14:textId="77777777" w:rsidR="00F864C9" w:rsidRDefault="00F864C9">
                  <w:pPr>
                    <w:spacing w:line="160" w:lineRule="exact"/>
                    <w:jc w:val="left"/>
                    <w:rPr>
                      <w:rFonts w:cs="Miriam"/>
                      <w:noProof/>
                      <w:szCs w:val="18"/>
                      <w:rtl/>
                    </w:rPr>
                  </w:pPr>
                  <w:r>
                    <w:rPr>
                      <w:rFonts w:cs="Miriam"/>
                      <w:szCs w:val="18"/>
                      <w:rtl/>
                    </w:rPr>
                    <w:t>ע</w:t>
                  </w:r>
                  <w:r>
                    <w:rPr>
                      <w:rFonts w:cs="Miriam" w:hint="cs"/>
                      <w:szCs w:val="18"/>
                      <w:rtl/>
                    </w:rPr>
                    <w:t xml:space="preserve">סקאות בדבר </w:t>
                  </w:r>
                  <w:r>
                    <w:rPr>
                      <w:rFonts w:cs="Miriam"/>
                      <w:szCs w:val="18"/>
                      <w:rtl/>
                    </w:rPr>
                    <w:t>מ</w:t>
                  </w:r>
                  <w:r>
                    <w:rPr>
                      <w:rFonts w:cs="Miriam" w:hint="cs"/>
                      <w:szCs w:val="18"/>
                      <w:rtl/>
                    </w:rPr>
                    <w:t>זונות</w:t>
                  </w:r>
                </w:p>
              </w:txbxContent>
            </v:textbox>
            <w10:anchorlock/>
          </v:rect>
        </w:pict>
      </w:r>
      <w:r>
        <w:rPr>
          <w:rStyle w:val="big-number"/>
          <w:rtl/>
        </w:rPr>
        <w:t>14.</w:t>
      </w:r>
      <w:r>
        <w:rPr>
          <w:rStyle w:val="big-number"/>
          <w:rtl/>
        </w:rPr>
        <w:tab/>
      </w:r>
      <w:r>
        <w:rPr>
          <w:rStyle w:val="default"/>
          <w:rFonts w:cs="FrankRuehl"/>
          <w:rtl/>
        </w:rPr>
        <w:t>ז</w:t>
      </w:r>
      <w:r>
        <w:rPr>
          <w:rStyle w:val="default"/>
          <w:rFonts w:cs="FrankRuehl" w:hint="cs"/>
          <w:rtl/>
        </w:rPr>
        <w:t>כות למזונות אינה ניתנת להעברה, לשעבוד, לקיזוז או לעיקול, אלא לזכותו של מי שסיפק לזכאי אמצעי מחיה בצורת שירותים או מצרכים.</w:t>
      </w:r>
    </w:p>
    <w:p w14:paraId="7008395D" w14:textId="77777777" w:rsidR="00F864C9" w:rsidRDefault="00F864C9">
      <w:pPr>
        <w:pStyle w:val="P00"/>
        <w:spacing w:before="72"/>
        <w:ind w:left="0" w:right="1134"/>
        <w:rPr>
          <w:rStyle w:val="default"/>
          <w:rFonts w:cs="FrankRuehl"/>
          <w:rtl/>
        </w:rPr>
      </w:pPr>
      <w:bookmarkStart w:id="20" w:name="Seif17"/>
      <w:bookmarkEnd w:id="20"/>
      <w:r>
        <w:rPr>
          <w:lang w:val="he-IL"/>
        </w:rPr>
        <w:pict w14:anchorId="2924BD5C">
          <v:rect id="_x0000_s1042" style="position:absolute;left:0;text-align:left;margin-left:464.5pt;margin-top:8.05pt;width:75.05pt;height:16pt;z-index:251662848" o:allowincell="f" filled="f" stroked="f" strokecolor="lime" strokeweight=".25pt">
            <v:textbox inset="0,0,0,0">
              <w:txbxContent>
                <w:p w14:paraId="741CAB07" w14:textId="77777777" w:rsidR="00F864C9" w:rsidRDefault="00F864C9">
                  <w:pPr>
                    <w:spacing w:line="160" w:lineRule="exact"/>
                    <w:jc w:val="left"/>
                    <w:rPr>
                      <w:rFonts w:cs="Miriam"/>
                      <w:noProof/>
                      <w:szCs w:val="18"/>
                      <w:rtl/>
                    </w:rPr>
                  </w:pPr>
                  <w:r>
                    <w:rPr>
                      <w:rFonts w:cs="Miriam"/>
                      <w:szCs w:val="18"/>
                      <w:rtl/>
                    </w:rPr>
                    <w:t>פ</w:t>
                  </w:r>
                  <w:r>
                    <w:rPr>
                      <w:rFonts w:cs="Miriam" w:hint="cs"/>
                      <w:szCs w:val="18"/>
                      <w:rtl/>
                    </w:rPr>
                    <w:t xml:space="preserve">קיעת זכות </w:t>
                  </w:r>
                  <w:r>
                    <w:rPr>
                      <w:rFonts w:cs="Miriam"/>
                      <w:szCs w:val="18"/>
                      <w:rtl/>
                    </w:rPr>
                    <w:t>ה</w:t>
                  </w:r>
                  <w:r>
                    <w:rPr>
                      <w:rFonts w:cs="Miriam" w:hint="cs"/>
                      <w:szCs w:val="18"/>
                      <w:rtl/>
                    </w:rPr>
                    <w:t>מזונות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הזכות </w:t>
      </w:r>
      <w:r>
        <w:rPr>
          <w:rStyle w:val="default"/>
          <w:rFonts w:cs="FrankRuehl"/>
          <w:rtl/>
        </w:rPr>
        <w:t>ל</w:t>
      </w:r>
      <w:r>
        <w:rPr>
          <w:rStyle w:val="default"/>
          <w:rFonts w:cs="FrankRuehl" w:hint="cs"/>
          <w:rtl/>
        </w:rPr>
        <w:t xml:space="preserve">מזונות פוקעת עם מות הזכאי או עם מות החייב. </w:t>
      </w:r>
    </w:p>
    <w:p w14:paraId="068D9329"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זכות למזונות הנובעת מקירבת נישואין פוקעת עם פקיעת הנישואין בין בני-הזוג. </w:t>
      </w:r>
    </w:p>
    <w:p w14:paraId="00532E71"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זכות למזונות הנובעת מקירבת חיתון פוקעת גם עם פקיעת הנישואין שהביאו לאותה קירבת חיתון. </w:t>
      </w:r>
    </w:p>
    <w:p w14:paraId="12294E6A" w14:textId="77777777" w:rsidR="00F864C9" w:rsidRDefault="00F864C9">
      <w:pPr>
        <w:pStyle w:val="P00"/>
        <w:spacing w:before="72"/>
        <w:ind w:left="0" w:right="1134"/>
        <w:rPr>
          <w:rStyle w:val="default"/>
          <w:rFonts w:cs="FrankRuehl"/>
          <w:rtl/>
        </w:rPr>
      </w:pPr>
      <w:bookmarkStart w:id="21" w:name="Seif18"/>
      <w:bookmarkEnd w:id="21"/>
      <w:r>
        <w:rPr>
          <w:lang w:val="he-IL"/>
        </w:rPr>
        <w:pict w14:anchorId="01813EDA">
          <v:rect id="_x0000_s1043" style="position:absolute;left:0;text-align:left;margin-left:464.5pt;margin-top:8.05pt;width:75.05pt;height:8pt;z-index:251663872" o:allowincell="f" filled="f" stroked="f" strokecolor="lime" strokeweight=".25pt">
            <v:textbox inset="0,0,0,0">
              <w:txbxContent>
                <w:p w14:paraId="6B4F1847" w14:textId="77777777" w:rsidR="00F864C9" w:rsidRDefault="00F864C9">
                  <w:pPr>
                    <w:spacing w:line="160" w:lineRule="exact"/>
                    <w:jc w:val="left"/>
                    <w:rPr>
                      <w:rFonts w:cs="Miriam"/>
                      <w:noProof/>
                      <w:szCs w:val="18"/>
                      <w:rtl/>
                    </w:rPr>
                  </w:pPr>
                  <w:r>
                    <w:rPr>
                      <w:rFonts w:cs="Miriam"/>
                      <w:szCs w:val="18"/>
                      <w:rtl/>
                    </w:rPr>
                    <w:t>זכ</w:t>
                  </w:r>
                  <w:r>
                    <w:rPr>
                      <w:rFonts w:cs="Miriam" w:hint="cs"/>
                      <w:szCs w:val="18"/>
                      <w:rtl/>
                    </w:rPr>
                    <w:t>ות חזרה</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שנתן מזונות מעל </w:t>
      </w:r>
      <w:r>
        <w:rPr>
          <w:rStyle w:val="default"/>
          <w:rFonts w:cs="FrankRuehl"/>
          <w:rtl/>
        </w:rPr>
        <w:t>ל</w:t>
      </w:r>
      <w:r>
        <w:rPr>
          <w:rStyle w:val="default"/>
          <w:rFonts w:cs="FrankRuehl" w:hint="cs"/>
          <w:rtl/>
        </w:rPr>
        <w:t xml:space="preserve">מוטל עליו ולא התכוון ליתן מתנה, רשאי לדרוש החזרת היתרה ממי שקיבלה או ממי שנתן פחות מן המוטל עליו ובמידה שנתן פחות מן המוטל עליו. </w:t>
      </w:r>
    </w:p>
    <w:p w14:paraId="55B1F62D" w14:textId="77777777" w:rsidR="00F864C9" w:rsidRDefault="00F864C9">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שנתן מזונות שלא היה חייב בהם ולא התכוון ליתן מתנה, רשאי לדרוש החזרתם ממי שקיבלם או ממי שהיה חייב בהם ובמידה שהיה חייב</w:t>
      </w:r>
      <w:r>
        <w:rPr>
          <w:rStyle w:val="default"/>
          <w:rFonts w:cs="FrankRuehl"/>
          <w:rtl/>
        </w:rPr>
        <w:t xml:space="preserve"> </w:t>
      </w:r>
      <w:r>
        <w:rPr>
          <w:rStyle w:val="default"/>
          <w:rFonts w:cs="FrankRuehl" w:hint="cs"/>
          <w:rtl/>
        </w:rPr>
        <w:t>בהם.</w:t>
      </w:r>
    </w:p>
    <w:p w14:paraId="273DF100" w14:textId="77777777" w:rsidR="00F864C9" w:rsidRDefault="00F864C9">
      <w:pPr>
        <w:pStyle w:val="P00"/>
        <w:spacing w:before="72"/>
        <w:ind w:left="0" w:right="1134"/>
        <w:rPr>
          <w:rStyle w:val="default"/>
          <w:rFonts w:cs="FrankRuehl"/>
          <w:rtl/>
        </w:rPr>
      </w:pPr>
      <w:bookmarkStart w:id="22" w:name="Seif19"/>
      <w:bookmarkEnd w:id="22"/>
      <w:r>
        <w:rPr>
          <w:lang w:val="he-IL"/>
        </w:rPr>
        <w:pict w14:anchorId="5654EF29">
          <v:rect id="_x0000_s1044" style="position:absolute;left:0;text-align:left;margin-left:464.5pt;margin-top:8.05pt;width:75.05pt;height:16pt;z-index:251664896" o:allowincell="f" filled="f" stroked="f" strokecolor="lime" strokeweight=".25pt">
            <v:textbox inset="0,0,0,0">
              <w:txbxContent>
                <w:p w14:paraId="7F54DF6B" w14:textId="77777777" w:rsidR="00F864C9" w:rsidRDefault="00F864C9">
                  <w:pPr>
                    <w:spacing w:line="160" w:lineRule="exact"/>
                    <w:jc w:val="left"/>
                    <w:rPr>
                      <w:rFonts w:cs="Miriam"/>
                      <w:noProof/>
                      <w:szCs w:val="18"/>
                      <w:rtl/>
                    </w:rPr>
                  </w:pPr>
                  <w:r>
                    <w:rPr>
                      <w:rFonts w:cs="Miriam"/>
                      <w:szCs w:val="18"/>
                      <w:rtl/>
                    </w:rPr>
                    <w:t>מ</w:t>
                  </w:r>
                  <w:r>
                    <w:rPr>
                      <w:rFonts w:cs="Miriam" w:hint="cs"/>
                      <w:szCs w:val="18"/>
                      <w:rtl/>
                    </w:rPr>
                    <w:t>שפט בין-לאו</w:t>
                  </w:r>
                  <w:r>
                    <w:rPr>
                      <w:rFonts w:cs="Miriam"/>
                      <w:szCs w:val="18"/>
                      <w:rtl/>
                    </w:rPr>
                    <w:t>מ</w:t>
                  </w:r>
                  <w:r>
                    <w:rPr>
                      <w:rFonts w:cs="Miriam" w:hint="cs"/>
                      <w:szCs w:val="18"/>
                      <w:rtl/>
                    </w:rPr>
                    <w:t xml:space="preserve">י </w:t>
                  </w:r>
                  <w:r>
                    <w:rPr>
                      <w:rFonts w:cs="Miriam"/>
                      <w:szCs w:val="18"/>
                      <w:rtl/>
                    </w:rPr>
                    <w:t>פ</w:t>
                  </w:r>
                  <w:r>
                    <w:rPr>
                      <w:rFonts w:cs="Miriam" w:hint="cs"/>
                      <w:szCs w:val="18"/>
                      <w:rtl/>
                    </w:rPr>
                    <w:t>רטי</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חובת מזונות בין בני-זוג יחול דין מקום מושבם של בני-הזוג, ואם אין להם מקום מושב משותף, דין מקום מושבו של החייב.</w:t>
      </w:r>
    </w:p>
    <w:p w14:paraId="0E535216"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חובת מזונות של אדם לילד קטין יחול דין מקום מושבו של הילד.</w:t>
      </w:r>
    </w:p>
    <w:p w14:paraId="2D80DB9A"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חובת מזונות אחרת לפי חוק זה יחו</w:t>
      </w:r>
      <w:r>
        <w:rPr>
          <w:rStyle w:val="default"/>
          <w:rFonts w:cs="FrankRuehl"/>
          <w:rtl/>
        </w:rPr>
        <w:t>ל</w:t>
      </w:r>
      <w:r>
        <w:rPr>
          <w:rStyle w:val="default"/>
          <w:rFonts w:cs="FrankRuehl" w:hint="cs"/>
          <w:rtl/>
        </w:rPr>
        <w:t xml:space="preserve"> דין מקום מושבו של החייב.</w:t>
      </w:r>
    </w:p>
    <w:p w14:paraId="437572F8" w14:textId="77777777" w:rsidR="00F864C9" w:rsidRDefault="00F864C9">
      <w:pPr>
        <w:pStyle w:val="P00"/>
        <w:spacing w:before="72"/>
        <w:ind w:left="0" w:right="1134"/>
        <w:rPr>
          <w:rStyle w:val="default"/>
          <w:rFonts w:cs="FrankRuehl" w:hint="cs"/>
          <w:rtl/>
        </w:rPr>
      </w:pPr>
      <w:bookmarkStart w:id="23" w:name="Seif20"/>
      <w:bookmarkEnd w:id="23"/>
      <w:r>
        <w:rPr>
          <w:lang w:val="he-IL"/>
        </w:rPr>
        <w:pict w14:anchorId="1367DA0E">
          <v:rect id="_x0000_s1045" style="position:absolute;left:0;text-align:left;margin-left:464.5pt;margin-top:8.05pt;width:75.05pt;height:36.45pt;z-index:251665920" o:allowincell="f" filled="f" stroked="f" strokecolor="lime" strokeweight=".25pt">
            <v:textbox inset="0,0,0,0">
              <w:txbxContent>
                <w:p w14:paraId="449A44DB" w14:textId="77777777" w:rsidR="00F864C9" w:rsidRDefault="00F864C9">
                  <w:pPr>
                    <w:spacing w:line="160" w:lineRule="exact"/>
                    <w:jc w:val="left"/>
                    <w:rPr>
                      <w:rFonts w:cs="Miriam"/>
                      <w:noProof/>
                      <w:szCs w:val="18"/>
                      <w:rtl/>
                    </w:rPr>
                  </w:pPr>
                  <w:r>
                    <w:rPr>
                      <w:rFonts w:cs="Miriam"/>
                      <w:szCs w:val="18"/>
                      <w:rtl/>
                    </w:rPr>
                    <w:t>ס</w:t>
                  </w:r>
                  <w:r>
                    <w:rPr>
                      <w:rFonts w:cs="Miriam" w:hint="cs"/>
                      <w:szCs w:val="18"/>
                      <w:rtl/>
                    </w:rPr>
                    <w:t xml:space="preserve">מכות בית </w:t>
                  </w:r>
                  <w:r>
                    <w:rPr>
                      <w:rFonts w:cs="Miriam"/>
                      <w:szCs w:val="18"/>
                      <w:rtl/>
                    </w:rPr>
                    <w:t>מ</w:t>
                  </w:r>
                  <w:r>
                    <w:rPr>
                      <w:rFonts w:cs="Miriam" w:hint="cs"/>
                      <w:szCs w:val="18"/>
                      <w:rtl/>
                    </w:rPr>
                    <w:t>שפט מחוזי</w:t>
                  </w:r>
                </w:p>
                <w:p w14:paraId="6D506E15" w14:textId="77777777" w:rsidR="00F864C9" w:rsidRDefault="00F864C9">
                  <w:pPr>
                    <w:spacing w:line="160" w:lineRule="exact"/>
                    <w:jc w:val="left"/>
                    <w:rPr>
                      <w:rFonts w:cs="Miriam" w:hint="cs"/>
                      <w:noProof/>
                      <w:szCs w:val="18"/>
                      <w:rtl/>
                    </w:rPr>
                  </w:pPr>
                  <w:r>
                    <w:rPr>
                      <w:rFonts w:cs="Miriam" w:hint="cs"/>
                      <w:szCs w:val="18"/>
                      <w:rtl/>
                    </w:rPr>
                    <w:t xml:space="preserve">(תיקון מס' 3) </w:t>
                  </w:r>
                </w:p>
                <w:p w14:paraId="419C0461" w14:textId="77777777" w:rsidR="00F864C9" w:rsidRDefault="00F864C9">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ית המשפט המוסמך לפי חוק זה הוא בית המשפט לעניני משפחה, בכפוף להוראות סעיף 19.</w:t>
      </w:r>
    </w:p>
    <w:p w14:paraId="0BC86DA3" w14:textId="77777777" w:rsidR="00F864C9" w:rsidRDefault="00F864C9">
      <w:pPr>
        <w:pStyle w:val="P00"/>
        <w:spacing w:before="0"/>
        <w:ind w:left="0" w:right="1134"/>
        <w:rPr>
          <w:rStyle w:val="default"/>
          <w:rFonts w:cs="FrankRuehl" w:hint="cs"/>
          <w:vanish/>
          <w:color w:val="FF0000"/>
          <w:szCs w:val="20"/>
          <w:shd w:val="clear" w:color="auto" w:fill="FFFF99"/>
          <w:rtl/>
        </w:rPr>
      </w:pPr>
      <w:bookmarkStart w:id="24" w:name="Rov26"/>
      <w:r>
        <w:rPr>
          <w:rStyle w:val="default"/>
          <w:rFonts w:cs="FrankRuehl" w:hint="cs"/>
          <w:vanish/>
          <w:color w:val="FF0000"/>
          <w:szCs w:val="20"/>
          <w:shd w:val="clear" w:color="auto" w:fill="FFFF99"/>
          <w:rtl/>
        </w:rPr>
        <w:t>מיום הקמת בית משפט לעניני משפחה</w:t>
      </w:r>
    </w:p>
    <w:p w14:paraId="2322BC04" w14:textId="77777777" w:rsidR="00F864C9" w:rsidRDefault="00F864C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14:paraId="0693A8F8" w14:textId="77777777" w:rsidR="00F864C9" w:rsidRDefault="00F864C9">
      <w:pPr>
        <w:pStyle w:val="P00"/>
        <w:spacing w:before="0"/>
        <w:ind w:left="0" w:right="1134"/>
        <w:rPr>
          <w:rStyle w:val="default"/>
          <w:rFonts w:cs="FrankRuehl" w:hint="cs"/>
          <w:vanish/>
          <w:szCs w:val="20"/>
          <w:shd w:val="clear" w:color="auto" w:fill="FFFF99"/>
          <w:rtl/>
        </w:rPr>
      </w:pPr>
      <w:hyperlink r:id="rId12" w:history="1">
        <w:r>
          <w:rPr>
            <w:rStyle w:val="Hyperlink"/>
            <w:rFonts w:hint="cs"/>
            <w:vanish/>
            <w:szCs w:val="20"/>
            <w:shd w:val="clear" w:color="auto" w:fill="FFFF99"/>
            <w:rtl/>
          </w:rPr>
          <w:t>ס"ח תשנ"ה מס' 1537</w:t>
        </w:r>
      </w:hyperlink>
      <w:r>
        <w:rPr>
          <w:rStyle w:val="default"/>
          <w:rFonts w:cs="FrankRuehl" w:hint="cs"/>
          <w:vanish/>
          <w:szCs w:val="20"/>
          <w:shd w:val="clear" w:color="auto" w:fill="FFFF99"/>
          <w:rtl/>
        </w:rPr>
        <w:t xml:space="preserve"> מיום 7.8.1995 עמ' 397 (</w:t>
      </w:r>
      <w:hyperlink r:id="rId13" w:history="1">
        <w:r>
          <w:rPr>
            <w:rStyle w:val="Hyperlink"/>
            <w:rFonts w:hint="cs"/>
            <w:vanish/>
            <w:szCs w:val="20"/>
            <w:shd w:val="clear" w:color="auto" w:fill="FFFF99"/>
            <w:rtl/>
          </w:rPr>
          <w:t>ה"ח 2330</w:t>
        </w:r>
      </w:hyperlink>
      <w:r>
        <w:rPr>
          <w:rStyle w:val="default"/>
          <w:rFonts w:cs="FrankRuehl" w:hint="cs"/>
          <w:vanish/>
          <w:szCs w:val="20"/>
          <w:shd w:val="clear" w:color="auto" w:fill="FFFF99"/>
          <w:rtl/>
        </w:rPr>
        <w:t>)</w:t>
      </w:r>
    </w:p>
    <w:p w14:paraId="69C5D874" w14:textId="77777777" w:rsidR="00F864C9" w:rsidRDefault="00F864C9">
      <w:pPr>
        <w:pStyle w:val="P00"/>
        <w:ind w:left="0" w:right="1134"/>
        <w:rPr>
          <w:rStyle w:val="default"/>
          <w:rFonts w:cs="FrankRuehl" w:hint="cs"/>
          <w:sz w:val="2"/>
          <w:szCs w:val="2"/>
          <w:rtl/>
        </w:rPr>
      </w:pPr>
      <w:r>
        <w:rPr>
          <w:rStyle w:val="big-number"/>
          <w:rFonts w:cs="FrankRuehl"/>
          <w:vanish/>
          <w:sz w:val="22"/>
          <w:szCs w:val="22"/>
          <w:shd w:val="clear" w:color="auto" w:fill="FFFF99"/>
          <w:rtl/>
        </w:rPr>
        <w:t>18.</w:t>
      </w:r>
      <w:r>
        <w:rPr>
          <w:rStyle w:val="big-number"/>
          <w:rFonts w:cs="FrankRuehl"/>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 xml:space="preserve">ית המשפט המוסמך לפי חוק זה הוא </w:t>
      </w:r>
      <w:r>
        <w:rPr>
          <w:rStyle w:val="default"/>
          <w:rFonts w:cs="FrankRuehl" w:hint="cs"/>
          <w:strike/>
          <w:vanish/>
          <w:sz w:val="22"/>
          <w:szCs w:val="22"/>
          <w:shd w:val="clear" w:color="auto" w:fill="FFFF99"/>
          <w:rtl/>
        </w:rPr>
        <w:t>בית המשפט המחוזי</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בית המשפט לעניני משפחה</w:t>
      </w:r>
      <w:r>
        <w:rPr>
          <w:rStyle w:val="default"/>
          <w:rFonts w:cs="FrankRuehl" w:hint="cs"/>
          <w:vanish/>
          <w:sz w:val="22"/>
          <w:szCs w:val="22"/>
          <w:shd w:val="clear" w:color="auto" w:fill="FFFF99"/>
          <w:rtl/>
        </w:rPr>
        <w:t>, בכפוף להוראות סעיף 19.</w:t>
      </w:r>
      <w:bookmarkEnd w:id="24"/>
    </w:p>
    <w:p w14:paraId="660DDA57" w14:textId="77777777" w:rsidR="00F864C9" w:rsidRDefault="00F864C9">
      <w:pPr>
        <w:pStyle w:val="P00"/>
        <w:spacing w:before="72"/>
        <w:ind w:left="0" w:right="1134"/>
        <w:rPr>
          <w:rStyle w:val="default"/>
          <w:rFonts w:cs="FrankRuehl"/>
          <w:rtl/>
        </w:rPr>
      </w:pPr>
      <w:bookmarkStart w:id="25" w:name="Seif21"/>
      <w:bookmarkEnd w:id="25"/>
      <w:r>
        <w:rPr>
          <w:lang w:val="he-IL"/>
        </w:rPr>
        <w:pict w14:anchorId="12250815">
          <v:rect id="_x0000_s1046" style="position:absolute;left:0;text-align:left;margin-left:464.5pt;margin-top:8.05pt;width:75.05pt;height:19.6pt;z-index:251666944" o:allowincell="f" filled="f" stroked="f" strokecolor="lime" strokeweight=".25pt">
            <v:textbox style="mso-next-textbox:#_x0000_s1046" inset="0,0,0,0">
              <w:txbxContent>
                <w:p w14:paraId="32CBF014" w14:textId="77777777" w:rsidR="00F864C9" w:rsidRDefault="00F864C9">
                  <w:pPr>
                    <w:spacing w:line="160" w:lineRule="exact"/>
                    <w:jc w:val="left"/>
                    <w:rPr>
                      <w:rFonts w:cs="Miriam"/>
                      <w:noProof/>
                      <w:szCs w:val="18"/>
                      <w:rtl/>
                    </w:rPr>
                  </w:pPr>
                  <w:r>
                    <w:rPr>
                      <w:rFonts w:cs="Miriam"/>
                      <w:szCs w:val="18"/>
                      <w:rtl/>
                    </w:rPr>
                    <w:t>ש</w:t>
                  </w:r>
                  <w:r>
                    <w:rPr>
                      <w:rFonts w:cs="Miriam" w:hint="cs"/>
                      <w:szCs w:val="18"/>
                      <w:rtl/>
                    </w:rPr>
                    <w:t>מירת סמכויות,</w:t>
                  </w:r>
                </w:p>
                <w:p w14:paraId="54C5F313" w14:textId="77777777" w:rsidR="00F864C9" w:rsidRDefault="00F864C9">
                  <w:pPr>
                    <w:spacing w:line="160" w:lineRule="exact"/>
                    <w:jc w:val="left"/>
                    <w:rPr>
                      <w:rFonts w:cs="Miriam"/>
                      <w:noProof/>
                      <w:szCs w:val="18"/>
                      <w:rtl/>
                    </w:rPr>
                  </w:pPr>
                  <w:r>
                    <w:rPr>
                      <w:rFonts w:cs="Miriam"/>
                      <w:szCs w:val="18"/>
                      <w:rtl/>
                    </w:rPr>
                    <w:t>ד</w:t>
                  </w:r>
                  <w:r>
                    <w:rPr>
                      <w:rFonts w:cs="Miriam" w:hint="cs"/>
                      <w:szCs w:val="18"/>
                      <w:rtl/>
                    </w:rPr>
                    <w:t>ינים והסכמים</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חוק זה אינו בא להוסיף על סמכויות השיפוט של </w:t>
      </w:r>
      <w:r>
        <w:rPr>
          <w:rStyle w:val="default"/>
          <w:rFonts w:cs="FrankRuehl"/>
          <w:rtl/>
        </w:rPr>
        <w:t>ב</w:t>
      </w:r>
      <w:r>
        <w:rPr>
          <w:rStyle w:val="default"/>
          <w:rFonts w:cs="FrankRuehl" w:hint="cs"/>
          <w:rtl/>
        </w:rPr>
        <w:t>תי-דין דתיים ולא לגרוע מהן; ומקום שבית דין דתי מוסמך על פי חיקוק לשפוט, יראו כל מקום בחוק זה שנאמר בו "בית משפט" כבא לרבות בית-דין דתי.</w:t>
      </w:r>
    </w:p>
    <w:p w14:paraId="3C7E33A4"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חוק זה בא להוסיף על זכויות המזונות הנתונות על פי כל דין שבית-דין דתי דן לפיו ועל פי הדין האישי החל על הצדדים, ואינ</w:t>
      </w:r>
      <w:r>
        <w:rPr>
          <w:rStyle w:val="default"/>
          <w:rFonts w:cs="FrankRuehl"/>
          <w:rtl/>
        </w:rPr>
        <w:t>ו</w:t>
      </w:r>
      <w:r>
        <w:rPr>
          <w:rStyle w:val="default"/>
          <w:rFonts w:cs="FrankRuehl" w:hint="cs"/>
          <w:rtl/>
        </w:rPr>
        <w:t xml:space="preserve"> בא לגרוע מזכויות אלה.</w:t>
      </w:r>
    </w:p>
    <w:p w14:paraId="508FF3F8" w14:textId="77777777" w:rsidR="00F864C9" w:rsidRDefault="00F86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חוק זה אינו בא לגרוע מתקפו של כל הסכם הקובע זכות למזונות למעלה ממידתם או מהיקפם לפי חוק זה.</w:t>
      </w:r>
    </w:p>
    <w:p w14:paraId="3D8F3F52" w14:textId="77777777" w:rsidR="00F864C9" w:rsidRDefault="00F864C9">
      <w:pPr>
        <w:pStyle w:val="P00"/>
        <w:spacing w:before="72"/>
        <w:ind w:left="0" w:right="1134"/>
        <w:rPr>
          <w:rStyle w:val="default"/>
          <w:rFonts w:cs="FrankRuehl"/>
          <w:rtl/>
        </w:rPr>
      </w:pPr>
      <w:bookmarkStart w:id="26" w:name="Seif22"/>
      <w:bookmarkEnd w:id="26"/>
      <w:r>
        <w:rPr>
          <w:lang w:val="he-IL"/>
        </w:rPr>
        <w:pict w14:anchorId="31B3BB90">
          <v:rect id="_x0000_s1047" style="position:absolute;left:0;text-align:left;margin-left:464.5pt;margin-top:8.05pt;width:75.05pt;height:16pt;z-index:251667968" o:allowincell="f" filled="f" stroked="f" strokecolor="lime" strokeweight=".25pt">
            <v:textbox inset="0,0,0,0">
              <w:txbxContent>
                <w:p w14:paraId="47520638" w14:textId="77777777" w:rsidR="00F864C9" w:rsidRDefault="00F864C9">
                  <w:pPr>
                    <w:spacing w:line="160" w:lineRule="exact"/>
                    <w:jc w:val="left"/>
                    <w:rPr>
                      <w:rFonts w:cs="Miriam"/>
                      <w:noProof/>
                      <w:szCs w:val="18"/>
                      <w:rtl/>
                    </w:rPr>
                  </w:pPr>
                  <w:r>
                    <w:rPr>
                      <w:rFonts w:cs="Miriam"/>
                      <w:szCs w:val="18"/>
                      <w:rtl/>
                    </w:rPr>
                    <w:t>נ</w:t>
                  </w:r>
                  <w:r>
                    <w:rPr>
                      <w:rFonts w:cs="Miriam" w:hint="cs"/>
                      <w:szCs w:val="18"/>
                      <w:rtl/>
                    </w:rPr>
                    <w:t xml:space="preserve">יכויים ממס </w:t>
                  </w:r>
                  <w:r>
                    <w:rPr>
                      <w:rFonts w:cs="Miriam"/>
                      <w:szCs w:val="18"/>
                      <w:rtl/>
                    </w:rPr>
                    <w:t>ה</w:t>
                  </w:r>
                  <w:r>
                    <w:rPr>
                      <w:rFonts w:cs="Miriam" w:hint="cs"/>
                      <w:szCs w:val="18"/>
                      <w:rtl/>
                    </w:rPr>
                    <w:t>כנסה</w:t>
                  </w:r>
                </w:p>
              </w:txbxContent>
            </v:textbox>
            <w10:anchorlock/>
          </v:rect>
        </w:pict>
      </w:r>
      <w:r>
        <w:rPr>
          <w:rStyle w:val="big-number"/>
          <w:rtl/>
        </w:rPr>
        <w:t>20.</w:t>
      </w:r>
      <w:r>
        <w:rPr>
          <w:rStyle w:val="big-number"/>
          <w:rtl/>
        </w:rPr>
        <w:tab/>
      </w:r>
      <w:r>
        <w:rPr>
          <w:rStyle w:val="default"/>
          <w:rFonts w:cs="FrankRuehl"/>
          <w:rtl/>
        </w:rPr>
        <w:t>ח</w:t>
      </w:r>
      <w:r>
        <w:rPr>
          <w:rStyle w:val="default"/>
          <w:rFonts w:cs="FrankRuehl" w:hint="cs"/>
          <w:rtl/>
        </w:rPr>
        <w:t>וייב אדם במזונות על-פי פסק דין או על-פי הסכם שאושר על-ידי בית המשפט בהתאם להוראות ח</w:t>
      </w:r>
      <w:r>
        <w:rPr>
          <w:rStyle w:val="default"/>
          <w:rFonts w:cs="FrankRuehl"/>
          <w:rtl/>
        </w:rPr>
        <w:t>ו</w:t>
      </w:r>
      <w:r>
        <w:rPr>
          <w:rStyle w:val="default"/>
          <w:rFonts w:cs="FrankRuehl" w:hint="cs"/>
          <w:rtl/>
        </w:rPr>
        <w:t>ק זה, יינתן לו ניכוי, לצורך חישוב הכנסתו החייבת במס הכנסה, עבור כל סכום ששילם על-פי פסק הדין או ההסכם האמור, בתנאי שהניכוי לא יעלה על שיעור הניכוי שנקבע בפקודת מס הכנסה, 1947, לגבי אותו סוג של קרובים, ובתנאי נוסף שההגבלות של פקודת מס הכנסה, 1947, על מספר</w:t>
      </w:r>
      <w:r>
        <w:rPr>
          <w:rStyle w:val="default"/>
          <w:rFonts w:cs="FrankRuehl"/>
          <w:rtl/>
        </w:rPr>
        <w:t xml:space="preserve"> ה</w:t>
      </w:r>
      <w:r>
        <w:rPr>
          <w:rStyle w:val="default"/>
          <w:rFonts w:cs="FrankRuehl" w:hint="cs"/>
          <w:rtl/>
        </w:rPr>
        <w:t>נתמכים שעבורם אפשר לדרוש ניכוי, לא יחולו במקרה זה.</w:t>
      </w:r>
    </w:p>
    <w:p w14:paraId="3B7CF88B" w14:textId="77777777" w:rsidR="00F864C9" w:rsidRDefault="00F864C9">
      <w:pPr>
        <w:pStyle w:val="P00"/>
        <w:spacing w:before="72"/>
        <w:ind w:left="0" w:right="1134"/>
        <w:rPr>
          <w:rStyle w:val="default"/>
          <w:rFonts w:cs="FrankRuehl" w:hint="cs"/>
          <w:rtl/>
        </w:rPr>
      </w:pPr>
    </w:p>
    <w:p w14:paraId="4457B879" w14:textId="77777777" w:rsidR="00F864C9" w:rsidRDefault="00F864C9">
      <w:pPr>
        <w:pStyle w:val="P00"/>
        <w:spacing w:before="72"/>
        <w:ind w:left="0" w:right="1134"/>
        <w:rPr>
          <w:rStyle w:val="default"/>
          <w:rFonts w:cs="FrankRuehl" w:hint="cs"/>
          <w:rtl/>
        </w:rPr>
      </w:pPr>
    </w:p>
    <w:p w14:paraId="744CDAD6" w14:textId="77777777" w:rsidR="00F864C9" w:rsidRDefault="00F864C9" w:rsidP="00912A63">
      <w:pPr>
        <w:pStyle w:val="sig-1"/>
        <w:widowControl/>
        <w:tabs>
          <w:tab w:val="clear" w:pos="851"/>
          <w:tab w:val="clear" w:pos="2835"/>
          <w:tab w:val="clear" w:pos="4820"/>
          <w:tab w:val="center" w:pos="2268"/>
          <w:tab w:val="center" w:pos="5670"/>
        </w:tabs>
        <w:spacing w:before="72"/>
        <w:ind w:left="0" w:right="1134"/>
        <w:rPr>
          <w:sz w:val="26"/>
          <w:szCs w:val="26"/>
          <w:rtl/>
        </w:rPr>
      </w:pPr>
      <w:r>
        <w:rPr>
          <w:sz w:val="26"/>
          <w:szCs w:val="26"/>
          <w:rtl/>
        </w:rPr>
        <w:tab/>
      </w:r>
      <w:r>
        <w:rPr>
          <w:sz w:val="26"/>
          <w:szCs w:val="26"/>
          <w:rtl/>
        </w:rPr>
        <w:tab/>
      </w:r>
      <w:r>
        <w:rPr>
          <w:rFonts w:hint="cs"/>
          <w:sz w:val="26"/>
          <w:szCs w:val="26"/>
          <w:rtl/>
        </w:rPr>
        <w:t>דוד בן-גוריון</w:t>
      </w:r>
    </w:p>
    <w:p w14:paraId="43743EA0" w14:textId="77777777" w:rsidR="00F864C9" w:rsidRDefault="00F864C9" w:rsidP="00912A63">
      <w:pPr>
        <w:pStyle w:val="sig-1"/>
        <w:widowControl/>
        <w:tabs>
          <w:tab w:val="clear" w:pos="851"/>
          <w:tab w:val="clear" w:pos="2835"/>
          <w:tab w:val="clear" w:pos="4820"/>
          <w:tab w:val="center" w:pos="2268"/>
          <w:tab w:val="center" w:pos="5670"/>
        </w:tabs>
        <w:ind w:left="0" w:right="1134"/>
        <w:rPr>
          <w:rtl/>
        </w:rPr>
      </w:pPr>
      <w:r>
        <w:rPr>
          <w:rtl/>
        </w:rPr>
        <w:tab/>
      </w:r>
      <w:r>
        <w:rPr>
          <w:rtl/>
        </w:rPr>
        <w:tab/>
      </w:r>
      <w:r>
        <w:rPr>
          <w:rFonts w:hint="cs"/>
          <w:rtl/>
        </w:rPr>
        <w:t>ראש הממשלה</w:t>
      </w:r>
    </w:p>
    <w:p w14:paraId="5D9355C4" w14:textId="77777777" w:rsidR="00F864C9" w:rsidRDefault="00F864C9" w:rsidP="00912A63">
      <w:pPr>
        <w:pStyle w:val="sig-1"/>
        <w:widowControl/>
        <w:tabs>
          <w:tab w:val="clear" w:pos="851"/>
          <w:tab w:val="clear" w:pos="2835"/>
          <w:tab w:val="clear" w:pos="4820"/>
          <w:tab w:val="center" w:pos="2268"/>
          <w:tab w:val="center" w:pos="5670"/>
        </w:tabs>
        <w:spacing w:before="72"/>
        <w:ind w:left="0" w:right="1134"/>
        <w:rPr>
          <w:sz w:val="26"/>
          <w:szCs w:val="26"/>
          <w:rtl/>
        </w:rPr>
      </w:pPr>
      <w:r>
        <w:rPr>
          <w:sz w:val="26"/>
          <w:szCs w:val="26"/>
          <w:rtl/>
        </w:rPr>
        <w:tab/>
      </w:r>
      <w:r>
        <w:rPr>
          <w:rFonts w:hint="cs"/>
          <w:sz w:val="26"/>
          <w:szCs w:val="26"/>
          <w:rtl/>
        </w:rPr>
        <w:t>יצחק בן-צבי</w:t>
      </w:r>
    </w:p>
    <w:p w14:paraId="784E31A4" w14:textId="77777777" w:rsidR="00F864C9" w:rsidRDefault="00F864C9" w:rsidP="00912A63">
      <w:pPr>
        <w:pStyle w:val="sig-1"/>
        <w:widowControl/>
        <w:tabs>
          <w:tab w:val="clear" w:pos="851"/>
          <w:tab w:val="clear" w:pos="2835"/>
          <w:tab w:val="clear" w:pos="4820"/>
          <w:tab w:val="center" w:pos="2268"/>
          <w:tab w:val="center" w:pos="5670"/>
        </w:tabs>
        <w:ind w:left="0" w:right="1134"/>
        <w:rPr>
          <w:rtl/>
        </w:rPr>
      </w:pPr>
      <w:r>
        <w:rPr>
          <w:rtl/>
        </w:rPr>
        <w:tab/>
      </w:r>
      <w:r>
        <w:rPr>
          <w:rFonts w:hint="cs"/>
          <w:rtl/>
        </w:rPr>
        <w:t>נשיא המדינה</w:t>
      </w:r>
    </w:p>
    <w:p w14:paraId="6AD360EE" w14:textId="77777777" w:rsidR="00F864C9" w:rsidRPr="00912A63" w:rsidRDefault="00F864C9" w:rsidP="00912A63">
      <w:pPr>
        <w:pStyle w:val="P00"/>
        <w:spacing w:before="72"/>
        <w:ind w:left="0" w:right="1134"/>
        <w:rPr>
          <w:rStyle w:val="default"/>
          <w:rFonts w:cs="FrankRuehl"/>
          <w:rtl/>
        </w:rPr>
      </w:pPr>
    </w:p>
    <w:p w14:paraId="4A3A6A25" w14:textId="77777777" w:rsidR="00F864C9" w:rsidRPr="00912A63" w:rsidRDefault="00F864C9" w:rsidP="00912A63">
      <w:pPr>
        <w:pStyle w:val="P00"/>
        <w:spacing w:before="72"/>
        <w:ind w:left="0" w:right="1134"/>
        <w:rPr>
          <w:rStyle w:val="default"/>
          <w:rFonts w:cs="FrankRuehl"/>
          <w:rtl/>
        </w:rPr>
      </w:pPr>
    </w:p>
    <w:p w14:paraId="3E06E5A2" w14:textId="77777777" w:rsidR="00F864C9" w:rsidRPr="00912A63" w:rsidRDefault="00F864C9" w:rsidP="00912A63">
      <w:pPr>
        <w:pStyle w:val="P00"/>
        <w:spacing w:before="72"/>
        <w:ind w:left="0" w:right="1134"/>
        <w:rPr>
          <w:rStyle w:val="default"/>
          <w:rFonts w:cs="FrankRuehl"/>
          <w:rtl/>
        </w:rPr>
      </w:pPr>
      <w:bookmarkStart w:id="27" w:name="LawPartEnd"/>
    </w:p>
    <w:bookmarkEnd w:id="27"/>
    <w:p w14:paraId="29A449AD" w14:textId="77777777" w:rsidR="00822BA6" w:rsidRPr="00912A63" w:rsidRDefault="00822BA6" w:rsidP="00912A63">
      <w:pPr>
        <w:pStyle w:val="P00"/>
        <w:spacing w:before="72"/>
        <w:ind w:left="0" w:right="1134"/>
        <w:rPr>
          <w:rStyle w:val="default"/>
          <w:rFonts w:cs="FrankRuehl"/>
          <w:rtl/>
        </w:rPr>
      </w:pPr>
    </w:p>
    <w:p w14:paraId="1EAB32D0" w14:textId="77777777" w:rsidR="005F0BAC" w:rsidRDefault="005F0BAC" w:rsidP="005F0BAC">
      <w:pPr>
        <w:ind w:right="1134"/>
        <w:jc w:val="center"/>
        <w:rPr>
          <w:color w:val="0000FF"/>
          <w:u w:val="single"/>
          <w:rtl/>
        </w:rPr>
      </w:pPr>
      <w:hyperlink r:id="rId14" w:history="1">
        <w:r>
          <w:rPr>
            <w:color w:val="0000FF"/>
            <w:u w:val="single"/>
            <w:rtl/>
          </w:rPr>
          <w:t>הודעה למנויים על עריכה ושינויים במסמכי פסיקה, חקיקה ועוד באתר נבו - הקש כאן</w:t>
        </w:r>
      </w:hyperlink>
    </w:p>
    <w:p w14:paraId="28C91B8C" w14:textId="77777777" w:rsidR="00DD0B16" w:rsidRDefault="00DD0B16" w:rsidP="005F0BAC">
      <w:pPr>
        <w:ind w:right="1134"/>
        <w:jc w:val="center"/>
        <w:rPr>
          <w:color w:val="0000FF"/>
          <w:u w:val="single"/>
          <w:rtl/>
        </w:rPr>
      </w:pPr>
    </w:p>
    <w:p w14:paraId="4632965C" w14:textId="77777777" w:rsidR="00DD0B16" w:rsidRDefault="00DD0B16" w:rsidP="005F0BAC">
      <w:pPr>
        <w:ind w:right="1134"/>
        <w:jc w:val="center"/>
        <w:rPr>
          <w:color w:val="0000FF"/>
          <w:u w:val="single"/>
          <w:rtl/>
        </w:rPr>
      </w:pPr>
    </w:p>
    <w:p w14:paraId="1DBF32B9" w14:textId="77777777" w:rsidR="00DD0B16" w:rsidRDefault="00DD0B16" w:rsidP="00DD0B16">
      <w:pPr>
        <w:ind w:right="1134"/>
        <w:jc w:val="center"/>
        <w:rPr>
          <w:color w:val="0000FF"/>
          <w:u w:val="single"/>
          <w:rtl/>
        </w:rPr>
      </w:pPr>
      <w:hyperlink r:id="rId15" w:history="1">
        <w:r>
          <w:rPr>
            <w:rStyle w:val="Hyperlink"/>
            <w:rtl/>
          </w:rPr>
          <w:t>הודעה למנויים על עריכה ושינויים במסמכי פסיקה, חקיקה ועוד באתר נבו - הקש כאן</w:t>
        </w:r>
      </w:hyperlink>
    </w:p>
    <w:p w14:paraId="4B099AE1" w14:textId="77777777" w:rsidR="00F864C9" w:rsidRPr="00DD0B16" w:rsidRDefault="00F864C9" w:rsidP="00DD0B16">
      <w:pPr>
        <w:ind w:right="1134"/>
        <w:jc w:val="center"/>
        <w:rPr>
          <w:color w:val="0000FF"/>
          <w:u w:val="single"/>
          <w:rtl/>
        </w:rPr>
      </w:pPr>
    </w:p>
    <w:sectPr w:rsidR="00F864C9" w:rsidRPr="00DD0B16">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37ED" w14:textId="77777777" w:rsidR="001C6A59" w:rsidRDefault="001C6A59">
      <w:r>
        <w:separator/>
      </w:r>
    </w:p>
  </w:endnote>
  <w:endnote w:type="continuationSeparator" w:id="0">
    <w:p w14:paraId="143E5D50" w14:textId="77777777" w:rsidR="001C6A59" w:rsidRDefault="001C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30EA" w14:textId="77777777" w:rsidR="00F864C9" w:rsidRDefault="00F864C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DA749AF" w14:textId="77777777" w:rsidR="00F864C9" w:rsidRDefault="00F864C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C2C61F" w14:textId="77777777" w:rsidR="00F864C9" w:rsidRDefault="00F864C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0BAC">
      <w:rPr>
        <w:rFonts w:cs="TopType Jerushalmi"/>
        <w:noProof/>
        <w:color w:val="000000"/>
        <w:sz w:val="14"/>
        <w:szCs w:val="14"/>
      </w:rPr>
      <w:t>Z:\00000000000000000000000=2014------------------------\LawsForTableRun\03\072_001.doc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5AB47" w14:textId="77777777" w:rsidR="00F864C9" w:rsidRDefault="00F864C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D0B16">
      <w:rPr>
        <w:rFonts w:hAnsi="FrankRuehl" w:cs="FrankRuehl"/>
        <w:noProof/>
        <w:sz w:val="24"/>
        <w:szCs w:val="24"/>
        <w:rtl/>
      </w:rPr>
      <w:t>4</w:t>
    </w:r>
    <w:r>
      <w:rPr>
        <w:rFonts w:hAnsi="FrankRuehl" w:cs="FrankRuehl"/>
        <w:sz w:val="24"/>
        <w:szCs w:val="24"/>
        <w:rtl/>
      </w:rPr>
      <w:fldChar w:fldCharType="end"/>
    </w:r>
  </w:p>
  <w:p w14:paraId="2B888B40" w14:textId="77777777" w:rsidR="00F864C9" w:rsidRDefault="00F864C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052E287" w14:textId="77777777" w:rsidR="00F864C9" w:rsidRDefault="00F864C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0BAC">
      <w:rPr>
        <w:rFonts w:cs="TopType Jerushalmi"/>
        <w:noProof/>
        <w:color w:val="000000"/>
        <w:sz w:val="14"/>
        <w:szCs w:val="14"/>
      </w:rPr>
      <w:t>Z:\00000000000000000000000=2014------------------------\LawsForTableRun\03\072_001.doc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F440D" w14:textId="77777777" w:rsidR="001C6A59" w:rsidRDefault="001C6A59">
      <w:r>
        <w:separator/>
      </w:r>
    </w:p>
  </w:footnote>
  <w:footnote w:type="continuationSeparator" w:id="0">
    <w:p w14:paraId="36BEEA20" w14:textId="77777777" w:rsidR="001C6A59" w:rsidRDefault="001C6A59">
      <w:r>
        <w:continuationSeparator/>
      </w:r>
    </w:p>
  </w:footnote>
  <w:footnote w:id="1">
    <w:p w14:paraId="355E2F5A" w14:textId="77777777" w:rsidR="00F864C9" w:rsidRDefault="00F864C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תשי"ט מס' 276</w:t>
        </w:r>
      </w:hyperlink>
      <w:r>
        <w:rPr>
          <w:rFonts w:hint="cs"/>
          <w:sz w:val="20"/>
          <w:rtl/>
        </w:rPr>
        <w:t xml:space="preserve"> מיום 12.3.1959 עמ' 72 (</w:t>
      </w:r>
      <w:hyperlink r:id="rId2" w:history="1">
        <w:r>
          <w:rPr>
            <w:rStyle w:val="Hyperlink"/>
            <w:rFonts w:hint="cs"/>
            <w:sz w:val="20"/>
            <w:rtl/>
          </w:rPr>
          <w:t>ה"ח תשט"ז מס' 267</w:t>
        </w:r>
      </w:hyperlink>
      <w:r>
        <w:rPr>
          <w:rFonts w:hint="cs"/>
          <w:sz w:val="20"/>
          <w:rtl/>
        </w:rPr>
        <w:t xml:space="preserve"> עמ' 124).</w:t>
      </w:r>
    </w:p>
    <w:p w14:paraId="794B4CAF" w14:textId="77777777" w:rsidR="00F864C9" w:rsidRDefault="00F864C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תשל"ו מס' 794</w:t>
        </w:r>
      </w:hyperlink>
      <w:r>
        <w:rPr>
          <w:rFonts w:hint="cs"/>
          <w:sz w:val="20"/>
          <w:rtl/>
        </w:rPr>
        <w:t xml:space="preserve"> מיום 29.1.1976 עמ' 93 (</w:t>
      </w:r>
      <w:hyperlink r:id="rId4" w:history="1">
        <w:r>
          <w:rPr>
            <w:rStyle w:val="Hyperlink"/>
            <w:rFonts w:hint="cs"/>
            <w:sz w:val="20"/>
            <w:rtl/>
          </w:rPr>
          <w:t>ה"ח תשל"ה מס' 1168</w:t>
        </w:r>
      </w:hyperlink>
      <w:r>
        <w:rPr>
          <w:rFonts w:hint="cs"/>
          <w:sz w:val="20"/>
          <w:rtl/>
        </w:rPr>
        <w:t xml:space="preserve"> עמ' 174) </w:t>
      </w:r>
      <w:r>
        <w:rPr>
          <w:sz w:val="20"/>
          <w:rtl/>
        </w:rPr>
        <w:t>–</w:t>
      </w:r>
      <w:r>
        <w:rPr>
          <w:rFonts w:hint="cs"/>
          <w:sz w:val="20"/>
          <w:rtl/>
        </w:rPr>
        <w:t xml:space="preserve"> תיקון מס' 1.</w:t>
      </w:r>
    </w:p>
    <w:p w14:paraId="58C9D03B" w14:textId="77777777" w:rsidR="00F864C9" w:rsidRDefault="00F864C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תשמ"א מס' 1027</w:t>
        </w:r>
      </w:hyperlink>
      <w:r>
        <w:rPr>
          <w:rFonts w:hint="cs"/>
          <w:sz w:val="20"/>
          <w:rtl/>
        </w:rPr>
        <w:t xml:space="preserve"> מיום 28.5.1981 עמ' 288 (</w:t>
      </w:r>
      <w:hyperlink r:id="rId6" w:history="1">
        <w:r>
          <w:rPr>
            <w:rStyle w:val="Hyperlink"/>
            <w:rFonts w:hint="cs"/>
            <w:sz w:val="20"/>
            <w:rtl/>
          </w:rPr>
          <w:t>ה"ח תשמ"א מס' 1530</w:t>
        </w:r>
      </w:hyperlink>
      <w:r>
        <w:rPr>
          <w:rFonts w:hint="cs"/>
          <w:sz w:val="20"/>
          <w:rtl/>
        </w:rPr>
        <w:t xml:space="preserve"> עמ' 319) </w:t>
      </w:r>
      <w:r>
        <w:rPr>
          <w:sz w:val="20"/>
          <w:rtl/>
        </w:rPr>
        <w:t>–</w:t>
      </w:r>
      <w:r>
        <w:rPr>
          <w:rFonts w:hint="cs"/>
          <w:sz w:val="20"/>
          <w:rtl/>
        </w:rPr>
        <w:t xml:space="preserve"> תיקון מס' 2. </w:t>
      </w:r>
    </w:p>
    <w:p w14:paraId="51464E9C" w14:textId="77777777" w:rsidR="00F864C9" w:rsidRDefault="00F864C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 w:history="1">
        <w:r>
          <w:rPr>
            <w:rStyle w:val="Hyperlink"/>
            <w:rtl/>
          </w:rPr>
          <w:t>ס</w:t>
        </w:r>
        <w:r>
          <w:rPr>
            <w:rStyle w:val="Hyperlink"/>
            <w:rFonts w:hint="cs"/>
            <w:rtl/>
          </w:rPr>
          <w:t>"ח ת</w:t>
        </w:r>
        <w:r>
          <w:rPr>
            <w:rStyle w:val="Hyperlink"/>
            <w:rtl/>
          </w:rPr>
          <w:t>ש</w:t>
        </w:r>
        <w:r>
          <w:rPr>
            <w:rStyle w:val="Hyperlink"/>
            <w:rFonts w:hint="cs"/>
            <w:rtl/>
          </w:rPr>
          <w:t>נ"ה מס' 1537</w:t>
        </w:r>
      </w:hyperlink>
      <w:r>
        <w:rPr>
          <w:rFonts w:hint="cs"/>
          <w:rtl/>
        </w:rPr>
        <w:t xml:space="preserve"> מיום 7.8.1995 עמ' 397 (</w:t>
      </w:r>
      <w:hyperlink r:id="rId8" w:history="1">
        <w:r>
          <w:rPr>
            <w:rStyle w:val="Hyperlink"/>
            <w:rFonts w:hint="cs"/>
            <w:rtl/>
          </w:rPr>
          <w:t>ה"ח תשנ"ה מס' 2330</w:t>
        </w:r>
      </w:hyperlink>
      <w:r>
        <w:rPr>
          <w:rFonts w:hint="cs"/>
          <w:rtl/>
        </w:rPr>
        <w:t xml:space="preserve"> עמ' 153) </w:t>
      </w:r>
      <w:r>
        <w:rPr>
          <w:rtl/>
        </w:rPr>
        <w:t>–</w:t>
      </w:r>
      <w:r>
        <w:rPr>
          <w:rFonts w:hint="cs"/>
          <w:rtl/>
        </w:rPr>
        <w:t xml:space="preserve"> תיקון מס' 3 בסעיף 14 לחוק בית המשפט לעניני משפחה, תשנ"ה-1995; תחילתו ביום הקמתם של בתי משפט לעניני משפחה.</w:t>
      </w:r>
    </w:p>
    <w:p w14:paraId="11429516" w14:textId="77777777" w:rsidR="00324E4E" w:rsidRPr="00324E4E" w:rsidRDefault="00324E4E" w:rsidP="00324E4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A8631E" w:rsidRPr="00324E4E">
          <w:rPr>
            <w:rStyle w:val="Hyperlink"/>
            <w:rFonts w:ascii="FrankRuehl" w:hAnsi="FrankRuehl"/>
            <w:rtl/>
          </w:rPr>
          <w:t>ס"ח תשע"ח מס' 2692</w:t>
        </w:r>
      </w:hyperlink>
      <w:r w:rsidR="00A8631E" w:rsidRPr="00A8631E">
        <w:rPr>
          <w:rFonts w:ascii="FrankRuehl" w:hAnsi="FrankRuehl"/>
          <w:rtl/>
        </w:rPr>
        <w:t xml:space="preserve"> מיום 15.2.2018 עמ' 17</w:t>
      </w:r>
      <w:r w:rsidR="00A8631E">
        <w:rPr>
          <w:rFonts w:ascii="FrankRuehl" w:hAnsi="FrankRuehl" w:hint="cs"/>
          <w:rtl/>
        </w:rPr>
        <w:t>5</w:t>
      </w:r>
      <w:r w:rsidR="00A8631E" w:rsidRPr="00A8631E">
        <w:rPr>
          <w:rFonts w:ascii="FrankRuehl" w:hAnsi="FrankRuehl"/>
          <w:rtl/>
        </w:rPr>
        <w:t xml:space="preserve"> (</w:t>
      </w:r>
      <w:hyperlink r:id="rId10" w:history="1">
        <w:r w:rsidR="00A8631E" w:rsidRPr="00A8631E">
          <w:rPr>
            <w:rStyle w:val="Hyperlink"/>
            <w:rFonts w:ascii="FrankRuehl" w:hAnsi="FrankRuehl"/>
            <w:rtl/>
          </w:rPr>
          <w:t>ה"ח הממשלה תשע"ז מס' 1124</w:t>
        </w:r>
      </w:hyperlink>
      <w:r w:rsidR="00A8631E" w:rsidRPr="00A8631E">
        <w:rPr>
          <w:rFonts w:ascii="FrankRuehl" w:hAnsi="FrankRuehl"/>
          <w:rtl/>
        </w:rPr>
        <w:t xml:space="preserve"> עמ' 972) – תיקון מס' </w:t>
      </w:r>
      <w:r w:rsidR="00A8631E">
        <w:rPr>
          <w:rFonts w:ascii="FrankRuehl" w:hAnsi="FrankRuehl" w:hint="cs"/>
          <w:rtl/>
        </w:rPr>
        <w:t>4 בסעיף 7 לחוק ההוצאה לפועל (תיקון מס' 55), תשע"ח-2018</w:t>
      </w:r>
      <w:r w:rsidR="00A8631E" w:rsidRPr="00A8631E">
        <w:rPr>
          <w:rFonts w:ascii="FrankRuehl" w:hAnsi="FrankRuehl"/>
          <w:rtl/>
        </w:rPr>
        <w:t>; תחילתו שישה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B8BAD" w14:textId="77777777" w:rsidR="00F864C9" w:rsidRDefault="00F864C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לתיקון דיני המשפחה (מזונות), תשי"ט–1959</w:t>
    </w:r>
  </w:p>
  <w:p w14:paraId="7FDA6574" w14:textId="77777777" w:rsidR="00F864C9" w:rsidRDefault="00F864C9">
    <w:pPr>
      <w:pStyle w:val="a3"/>
      <w:pBdr>
        <w:top w:val="single" w:sz="4" w:space="0" w:color="auto"/>
      </w:pBdr>
      <w:spacing w:line="220" w:lineRule="exact"/>
      <w:ind w:right="1134"/>
      <w:jc w:val="center"/>
      <w:rPr>
        <w:rFonts w:hAnsi="FrankRuehl" w:cs="FrankRuehl"/>
        <w:color w:val="000000"/>
        <w:sz w:val="26"/>
        <w:szCs w:val="26"/>
        <w:rtl/>
      </w:rPr>
    </w:pPr>
  </w:p>
  <w:p w14:paraId="78730BD9" w14:textId="77777777" w:rsidR="00F864C9" w:rsidRDefault="00F864C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37D8" w14:textId="77777777" w:rsidR="00F864C9" w:rsidRDefault="00F864C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לתיקון דיני המשפחה (מזונות), תשי"ט</w:t>
    </w:r>
    <w:r>
      <w:rPr>
        <w:rFonts w:hAnsi="FrankRuehl" w:cs="FrankRuehl" w:hint="cs"/>
        <w:color w:val="000000"/>
        <w:sz w:val="28"/>
        <w:szCs w:val="28"/>
        <w:rtl/>
      </w:rPr>
      <w:t>-</w:t>
    </w:r>
    <w:r>
      <w:rPr>
        <w:rFonts w:hAnsi="FrankRuehl" w:cs="FrankRuehl"/>
        <w:color w:val="000000"/>
        <w:sz w:val="28"/>
        <w:szCs w:val="28"/>
        <w:rtl/>
      </w:rPr>
      <w:t>1959</w:t>
    </w:r>
  </w:p>
  <w:p w14:paraId="4D8B51E1" w14:textId="77777777" w:rsidR="00F864C9" w:rsidRDefault="00F864C9">
    <w:pPr>
      <w:pStyle w:val="a3"/>
      <w:pBdr>
        <w:top w:val="single" w:sz="4" w:space="0" w:color="auto"/>
      </w:pBdr>
      <w:spacing w:line="220" w:lineRule="exact"/>
      <w:ind w:right="1134"/>
      <w:jc w:val="center"/>
      <w:rPr>
        <w:rFonts w:hAnsi="FrankRuehl" w:cs="FrankRuehl"/>
        <w:color w:val="000000"/>
        <w:sz w:val="26"/>
        <w:szCs w:val="26"/>
        <w:rtl/>
      </w:rPr>
    </w:pPr>
  </w:p>
  <w:p w14:paraId="74D0FAAE" w14:textId="77777777" w:rsidR="00F864C9" w:rsidRDefault="00F864C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0E2E"/>
    <w:rsid w:val="000F0E2E"/>
    <w:rsid w:val="001C6A59"/>
    <w:rsid w:val="00324E4E"/>
    <w:rsid w:val="00497EB0"/>
    <w:rsid w:val="005F0BAC"/>
    <w:rsid w:val="007442B4"/>
    <w:rsid w:val="00822B51"/>
    <w:rsid w:val="00822BA6"/>
    <w:rsid w:val="00861B5D"/>
    <w:rsid w:val="008D188B"/>
    <w:rsid w:val="00912A63"/>
    <w:rsid w:val="00A8631E"/>
    <w:rsid w:val="00DD0B16"/>
    <w:rsid w:val="00F864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FC22E79"/>
  <w15:chartTrackingRefBased/>
  <w15:docId w15:val="{C3DFEAFF-396B-4F70-92C5-34D959F6A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Hyperlink">
    <w:name w:val="Hyperlink"/>
    <w:rPr>
      <w:color w:val="0000FF"/>
      <w:u w:val="single"/>
    </w:rPr>
  </w:style>
  <w:style w:type="character" w:customStyle="1" w:styleId="P000">
    <w:name w:val="P00 תו"/>
    <w:link w:val="P00"/>
    <w:rsid w:val="00A8631E"/>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027.pdf" TargetMode="External"/><Relationship Id="rId13" Type="http://schemas.openxmlformats.org/officeDocument/2006/relationships/hyperlink" Target="http://www.nevo.co.il/Law_word/law17/PROP-2330.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17/PROP-1168.pdf" TargetMode="External"/><Relationship Id="rId12" Type="http://schemas.openxmlformats.org/officeDocument/2006/relationships/hyperlink" Target="http://www.nevo.co.il/Law_word/law14/LAW-1537.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794.pdf" TargetMode="External"/><Relationship Id="rId11" Type="http://schemas.openxmlformats.org/officeDocument/2006/relationships/hyperlink" Target="http://www.nevo.co.il/Law_word/law15/memshala-1124.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14/law-2692.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7/PROP-1530.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330.pdf" TargetMode="External"/><Relationship Id="rId3" Type="http://schemas.openxmlformats.org/officeDocument/2006/relationships/hyperlink" Target="http://www.nevo.co.il/Law_word/law14/LAW-0794.pdf" TargetMode="External"/><Relationship Id="rId7" Type="http://schemas.openxmlformats.org/officeDocument/2006/relationships/hyperlink" Target="http://www.nevo.co.il/Law_word/law14/LAW-1537.pdf" TargetMode="External"/><Relationship Id="rId2" Type="http://schemas.openxmlformats.org/officeDocument/2006/relationships/hyperlink" Target="http://www.nevo.co.il/Law_word/law17/PROP-0267.pdf" TargetMode="External"/><Relationship Id="rId1" Type="http://schemas.openxmlformats.org/officeDocument/2006/relationships/hyperlink" Target="http://www.nevo.co.il/Law_word/law14/LAW-0276.pdf" TargetMode="External"/><Relationship Id="rId6" Type="http://schemas.openxmlformats.org/officeDocument/2006/relationships/hyperlink" Target="http://www.nevo.co.il/Law_word/law17/PROP-1530.pdf" TargetMode="External"/><Relationship Id="rId5" Type="http://schemas.openxmlformats.org/officeDocument/2006/relationships/hyperlink" Target="http://www.nevo.co.il/Law_word/law14/LAW-1027.pdf" TargetMode="External"/><Relationship Id="rId10" Type="http://schemas.openxmlformats.org/officeDocument/2006/relationships/hyperlink" Target="http://www.nevo.co.il/Law_word/law15/memshala-1124.pdf" TargetMode="External"/><Relationship Id="rId4" Type="http://schemas.openxmlformats.org/officeDocument/2006/relationships/hyperlink" Target="http://www.nevo.co.il/Law_word/law17/PROP-1168.pdf" TargetMode="External"/><Relationship Id="rId9" Type="http://schemas.openxmlformats.org/officeDocument/2006/relationships/hyperlink" Target="https://www.nevo.co.il/law_word/law14/law-26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9336</CharactersWithSpaces>
  <SharedDoc>false</SharedDoc>
  <HLinks>
    <vt:vector size="258" baseType="variant">
      <vt:variant>
        <vt:i4>393283</vt:i4>
      </vt:variant>
      <vt:variant>
        <vt:i4>165</vt:i4>
      </vt:variant>
      <vt:variant>
        <vt:i4>0</vt:i4>
      </vt:variant>
      <vt:variant>
        <vt:i4>5</vt:i4>
      </vt:variant>
      <vt:variant>
        <vt:lpwstr>http://www.nevo.co.il/advertisements/nevo-100.doc</vt:lpwstr>
      </vt:variant>
      <vt:variant>
        <vt:lpwstr/>
      </vt:variant>
      <vt:variant>
        <vt:i4>393283</vt:i4>
      </vt:variant>
      <vt:variant>
        <vt:i4>162</vt:i4>
      </vt:variant>
      <vt:variant>
        <vt:i4>0</vt:i4>
      </vt:variant>
      <vt:variant>
        <vt:i4>5</vt:i4>
      </vt:variant>
      <vt:variant>
        <vt:lpwstr>http://www.nevo.co.il/advertisements/nevo-100.doc</vt:lpwstr>
      </vt:variant>
      <vt:variant>
        <vt:lpwstr/>
      </vt:variant>
      <vt:variant>
        <vt:i4>655484</vt:i4>
      </vt:variant>
      <vt:variant>
        <vt:i4>159</vt:i4>
      </vt:variant>
      <vt:variant>
        <vt:i4>0</vt:i4>
      </vt:variant>
      <vt:variant>
        <vt:i4>5</vt:i4>
      </vt:variant>
      <vt:variant>
        <vt:lpwstr>http://www.nevo.co.il/Law_word/law17/PROP-2330.pdf</vt:lpwstr>
      </vt:variant>
      <vt:variant>
        <vt:lpwstr/>
      </vt:variant>
      <vt:variant>
        <vt:i4>8192011</vt:i4>
      </vt:variant>
      <vt:variant>
        <vt:i4>156</vt:i4>
      </vt:variant>
      <vt:variant>
        <vt:i4>0</vt:i4>
      </vt:variant>
      <vt:variant>
        <vt:i4>5</vt:i4>
      </vt:variant>
      <vt:variant>
        <vt:lpwstr>http://www.nevo.co.il/Law_word/law14/LAW-1537.pdf</vt:lpwstr>
      </vt:variant>
      <vt:variant>
        <vt:lpwstr/>
      </vt:variant>
      <vt:variant>
        <vt:i4>1376362</vt:i4>
      </vt:variant>
      <vt:variant>
        <vt:i4>153</vt:i4>
      </vt:variant>
      <vt:variant>
        <vt:i4>0</vt:i4>
      </vt:variant>
      <vt:variant>
        <vt:i4>5</vt:i4>
      </vt:variant>
      <vt:variant>
        <vt:lpwstr>http://www.nevo.co.il/Law_word/law15/memshala-1124.pdf</vt:lpwstr>
      </vt:variant>
      <vt:variant>
        <vt:lpwstr/>
      </vt:variant>
      <vt:variant>
        <vt:i4>7602189</vt:i4>
      </vt:variant>
      <vt:variant>
        <vt:i4>150</vt:i4>
      </vt:variant>
      <vt:variant>
        <vt:i4>0</vt:i4>
      </vt:variant>
      <vt:variant>
        <vt:i4>5</vt:i4>
      </vt:variant>
      <vt:variant>
        <vt:lpwstr>http://www.nevo.co.il/Law_word/law14/law-2692.pdf</vt:lpwstr>
      </vt:variant>
      <vt:variant>
        <vt:lpwstr/>
      </vt:variant>
      <vt:variant>
        <vt:i4>786559</vt:i4>
      </vt:variant>
      <vt:variant>
        <vt:i4>147</vt:i4>
      </vt:variant>
      <vt:variant>
        <vt:i4>0</vt:i4>
      </vt:variant>
      <vt:variant>
        <vt:i4>5</vt:i4>
      </vt:variant>
      <vt:variant>
        <vt:lpwstr>http://www.nevo.co.il/Law_word/law17/PROP-1530.pdf</vt:lpwstr>
      </vt:variant>
      <vt:variant>
        <vt:lpwstr/>
      </vt:variant>
      <vt:variant>
        <vt:i4>8126478</vt:i4>
      </vt:variant>
      <vt:variant>
        <vt:i4>144</vt:i4>
      </vt:variant>
      <vt:variant>
        <vt:i4>0</vt:i4>
      </vt:variant>
      <vt:variant>
        <vt:i4>5</vt:i4>
      </vt:variant>
      <vt:variant>
        <vt:lpwstr>http://www.nevo.co.il/Law_word/law14/LAW-1027.pdf</vt:lpwstr>
      </vt:variant>
      <vt:variant>
        <vt:lpwstr/>
      </vt:variant>
      <vt:variant>
        <vt:i4>122</vt:i4>
      </vt:variant>
      <vt:variant>
        <vt:i4>141</vt:i4>
      </vt:variant>
      <vt:variant>
        <vt:i4>0</vt:i4>
      </vt:variant>
      <vt:variant>
        <vt:i4>5</vt:i4>
      </vt:variant>
      <vt:variant>
        <vt:lpwstr>http://www.nevo.co.il/Law_word/law17/PROP-1168.pdf</vt:lpwstr>
      </vt:variant>
      <vt:variant>
        <vt:lpwstr/>
      </vt:variant>
      <vt:variant>
        <vt:i4>7733258</vt:i4>
      </vt:variant>
      <vt:variant>
        <vt:i4>138</vt:i4>
      </vt:variant>
      <vt:variant>
        <vt:i4>0</vt:i4>
      </vt:variant>
      <vt:variant>
        <vt:i4>5</vt:i4>
      </vt:variant>
      <vt:variant>
        <vt:lpwstr>http://www.nevo.co.il/Law_word/law14/LAW-0794.pdf</vt:lpwstr>
      </vt:variant>
      <vt:variant>
        <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3145768</vt:i4>
      </vt:variant>
      <vt:variant>
        <vt:i4>78</vt:i4>
      </vt:variant>
      <vt:variant>
        <vt:i4>0</vt:i4>
      </vt:variant>
      <vt:variant>
        <vt:i4>5</vt:i4>
      </vt:variant>
      <vt:variant>
        <vt:lpwstr/>
      </vt:variant>
      <vt:variant>
        <vt:lpwstr>Seif23</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1376362</vt:i4>
      </vt:variant>
      <vt:variant>
        <vt:i4>27</vt:i4>
      </vt:variant>
      <vt:variant>
        <vt:i4>0</vt:i4>
      </vt:variant>
      <vt:variant>
        <vt:i4>5</vt:i4>
      </vt:variant>
      <vt:variant>
        <vt:lpwstr>http://www.nevo.co.il/Law_word/law15/memshala-1124.pdf</vt:lpwstr>
      </vt:variant>
      <vt:variant>
        <vt:lpwstr/>
      </vt:variant>
      <vt:variant>
        <vt:i4>7536671</vt:i4>
      </vt:variant>
      <vt:variant>
        <vt:i4>24</vt:i4>
      </vt:variant>
      <vt:variant>
        <vt:i4>0</vt:i4>
      </vt:variant>
      <vt:variant>
        <vt:i4>5</vt:i4>
      </vt:variant>
      <vt:variant>
        <vt:lpwstr>https://www.nevo.co.il/law_word/law14/law-2692.pdf</vt:lpwstr>
      </vt:variant>
      <vt:variant>
        <vt:lpwstr/>
      </vt:variant>
      <vt:variant>
        <vt:i4>655484</vt:i4>
      </vt:variant>
      <vt:variant>
        <vt:i4>21</vt:i4>
      </vt:variant>
      <vt:variant>
        <vt:i4>0</vt:i4>
      </vt:variant>
      <vt:variant>
        <vt:i4>5</vt:i4>
      </vt:variant>
      <vt:variant>
        <vt:lpwstr>http://www.nevo.co.il/Law_word/law17/PROP-2330.pdf</vt:lpwstr>
      </vt:variant>
      <vt:variant>
        <vt:lpwstr/>
      </vt:variant>
      <vt:variant>
        <vt:i4>8192011</vt:i4>
      </vt:variant>
      <vt:variant>
        <vt:i4>18</vt:i4>
      </vt:variant>
      <vt:variant>
        <vt:i4>0</vt:i4>
      </vt:variant>
      <vt:variant>
        <vt:i4>5</vt:i4>
      </vt:variant>
      <vt:variant>
        <vt:lpwstr>http://www.nevo.co.il/Law_word/law14/LAW-1537.pdf</vt:lpwstr>
      </vt:variant>
      <vt:variant>
        <vt:lpwstr/>
      </vt:variant>
      <vt:variant>
        <vt:i4>786559</vt:i4>
      </vt:variant>
      <vt:variant>
        <vt:i4>15</vt:i4>
      </vt:variant>
      <vt:variant>
        <vt:i4>0</vt:i4>
      </vt:variant>
      <vt:variant>
        <vt:i4>5</vt:i4>
      </vt:variant>
      <vt:variant>
        <vt:lpwstr>http://www.nevo.co.il/Law_word/law17/PROP-1530.pdf</vt:lpwstr>
      </vt:variant>
      <vt:variant>
        <vt:lpwstr/>
      </vt:variant>
      <vt:variant>
        <vt:i4>8126478</vt:i4>
      </vt:variant>
      <vt:variant>
        <vt:i4>12</vt:i4>
      </vt:variant>
      <vt:variant>
        <vt:i4>0</vt:i4>
      </vt:variant>
      <vt:variant>
        <vt:i4>5</vt:i4>
      </vt:variant>
      <vt:variant>
        <vt:lpwstr>http://www.nevo.co.il/Law_word/law14/LAW-1027.pdf</vt:lpwstr>
      </vt:variant>
      <vt:variant>
        <vt:lpwstr/>
      </vt:variant>
      <vt:variant>
        <vt:i4>122</vt:i4>
      </vt:variant>
      <vt:variant>
        <vt:i4>9</vt:i4>
      </vt:variant>
      <vt:variant>
        <vt:i4>0</vt:i4>
      </vt:variant>
      <vt:variant>
        <vt:i4>5</vt:i4>
      </vt:variant>
      <vt:variant>
        <vt:lpwstr>http://www.nevo.co.il/Law_word/law17/PROP-1168.pdf</vt:lpwstr>
      </vt:variant>
      <vt:variant>
        <vt:lpwstr/>
      </vt:variant>
      <vt:variant>
        <vt:i4>7733258</vt:i4>
      </vt:variant>
      <vt:variant>
        <vt:i4>6</vt:i4>
      </vt:variant>
      <vt:variant>
        <vt:i4>0</vt:i4>
      </vt:variant>
      <vt:variant>
        <vt:i4>5</vt:i4>
      </vt:variant>
      <vt:variant>
        <vt:lpwstr>http://www.nevo.co.il/Law_word/law14/LAW-0794.pdf</vt:lpwstr>
      </vt:variant>
      <vt:variant>
        <vt:lpwstr/>
      </vt:variant>
      <vt:variant>
        <vt:i4>786555</vt:i4>
      </vt:variant>
      <vt:variant>
        <vt:i4>3</vt:i4>
      </vt:variant>
      <vt:variant>
        <vt:i4>0</vt:i4>
      </vt:variant>
      <vt:variant>
        <vt:i4>5</vt:i4>
      </vt:variant>
      <vt:variant>
        <vt:lpwstr>http://www.nevo.co.il/Law_word/law17/PROP-0267.pdf</vt:lpwstr>
      </vt:variant>
      <vt:variant>
        <vt:lpwstr/>
      </vt:variant>
      <vt:variant>
        <vt:i4>7864333</vt:i4>
      </vt:variant>
      <vt:variant>
        <vt:i4>0</vt:i4>
      </vt:variant>
      <vt:variant>
        <vt:i4>0</vt:i4>
      </vt:variant>
      <vt:variant>
        <vt:i4>5</vt:i4>
      </vt:variant>
      <vt:variant>
        <vt:lpwstr>http://www.nevo.co.il/Law_word/law14/LAW-0276.pdf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0072</vt:lpwstr>
  </property>
  <property fmtid="{D5CDD505-2E9C-101B-9397-08002B2CF9AE}" pid="3" name="CHNAME">
    <vt:lpwstr>דיני משפחה</vt:lpwstr>
  </property>
  <property fmtid="{D5CDD505-2E9C-101B-9397-08002B2CF9AE}" pid="4" name="LAWNAME">
    <vt:lpwstr>חוק לתיקון דיני המשפחה (מזונות), תשי"ט-1959</vt:lpwstr>
  </property>
  <property fmtid="{D5CDD505-2E9C-101B-9397-08002B2CF9AE}" pid="5" name="LAWNUMBER">
    <vt:lpwstr>0001</vt:lpwstr>
  </property>
  <property fmtid="{D5CDD505-2E9C-101B-9397-08002B2CF9AE}" pid="6" name="TYPE">
    <vt:lpwstr>01</vt:lpwstr>
  </property>
  <property fmtid="{D5CDD505-2E9C-101B-9397-08002B2CF9AE}" pid="7" name="LINKK1">
    <vt:lpwstr>https://www.nevo.co.il/law_word/law14/law-2692.pdf;‎רשומות - ספר חוקים#ס"ח תשע"ח מס' ‏‏2692 #מיום 15.2.2018 עמ' 175  – תיקון מס' 4 בסעיף 7 לחוק ההוצאה לפועל (תיקון מס' 55), ‏תשע"ח-2018; תחילתו שישה חודשים מיום פרסומו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מעמד אישי ומשפחה</vt:lpwstr>
  </property>
  <property fmtid="{D5CDD505-2E9C-101B-9397-08002B2CF9AE}" pid="23" name="NOSE21">
    <vt:lpwstr>מזונות</vt:lpwstr>
  </property>
  <property fmtid="{D5CDD505-2E9C-101B-9397-08002B2CF9AE}" pid="24" name="NOSE31">
    <vt:lpwstr/>
  </property>
  <property fmtid="{D5CDD505-2E9C-101B-9397-08002B2CF9AE}" pid="25" name="NOSE41">
    <vt:lpwstr/>
  </property>
  <property fmtid="{D5CDD505-2E9C-101B-9397-08002B2CF9AE}" pid="26" name="NOSE12">
    <vt:lpwstr>מעמד אישי ומשפחה</vt:lpwstr>
  </property>
  <property fmtid="{D5CDD505-2E9C-101B-9397-08002B2CF9AE}" pid="27" name="NOSE22">
    <vt:lpwstr>בימ"ש לענייני משפחה</vt:lpwstr>
  </property>
  <property fmtid="{D5CDD505-2E9C-101B-9397-08002B2CF9AE}" pid="28" name="NOSE32">
    <vt:lpwstr/>
  </property>
  <property fmtid="{D5CDD505-2E9C-101B-9397-08002B2CF9AE}" pid="29" name="NOSE42">
    <vt:lpwstr/>
  </property>
  <property fmtid="{D5CDD505-2E9C-101B-9397-08002B2CF9AE}" pid="30" name="NOSE13">
    <vt:lpwstr>מעמד אישי ומשפחה</vt:lpwstr>
  </property>
  <property fmtid="{D5CDD505-2E9C-101B-9397-08002B2CF9AE}" pid="31" name="NOSE23">
    <vt:lpwstr>בתי דין רבניים</vt:lpwstr>
  </property>
  <property fmtid="{D5CDD505-2E9C-101B-9397-08002B2CF9AE}" pid="32" name="NOSE33">
    <vt:lpwstr/>
  </property>
  <property fmtid="{D5CDD505-2E9C-101B-9397-08002B2CF9AE}" pid="33" name="NOSE43">
    <vt:lpwstr/>
  </property>
  <property fmtid="{D5CDD505-2E9C-101B-9397-08002B2CF9AE}" pid="34" name="NOSE14">
    <vt:lpwstr>בתי משפט וסדרי דין</vt:lpwstr>
  </property>
  <property fmtid="{D5CDD505-2E9C-101B-9397-08002B2CF9AE}" pid="35" name="NOSE24">
    <vt:lpwstr>בתי משפט ובתי דין</vt:lpwstr>
  </property>
  <property fmtid="{D5CDD505-2E9C-101B-9397-08002B2CF9AE}" pid="36" name="NOSE34">
    <vt:lpwstr>בימ"ש לענייני משפחה</vt:lpwstr>
  </property>
  <property fmtid="{D5CDD505-2E9C-101B-9397-08002B2CF9AE}" pid="37" name="NOSE44">
    <vt:lpwstr/>
  </property>
  <property fmtid="{D5CDD505-2E9C-101B-9397-08002B2CF9AE}" pid="38" name="NOSE15">
    <vt:lpwstr>בתי משפט וסדרי דין</vt:lpwstr>
  </property>
  <property fmtid="{D5CDD505-2E9C-101B-9397-08002B2CF9AE}" pid="39" name="NOSE25">
    <vt:lpwstr>בתי משפט ובתי דין</vt:lpwstr>
  </property>
  <property fmtid="{D5CDD505-2E9C-101B-9397-08002B2CF9AE}" pid="40" name="NOSE35">
    <vt:lpwstr>בתי דין רבניים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