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2F0" w:rsidRDefault="00CC02F0">
      <w:pPr>
        <w:pStyle w:val="big-header"/>
        <w:ind w:left="0" w:right="1134"/>
        <w:rPr>
          <w:rFonts w:hint="cs"/>
          <w:rtl/>
          <w:lang w:eastAsia="en-US"/>
        </w:rPr>
      </w:pPr>
      <w:r>
        <w:rPr>
          <w:rFonts w:cs="FrankRuehl"/>
          <w:sz w:val="32"/>
          <w:rtl/>
        </w:rPr>
        <w:t>חו</w:t>
      </w:r>
      <w:r>
        <w:rPr>
          <w:rFonts w:cs="FrankRuehl" w:hint="cs"/>
          <w:sz w:val="32"/>
          <w:rtl/>
        </w:rPr>
        <w:t>ק לתיקון דיני הנזיקין האזרחיים (הטבת נזקי גוף), ת</w:t>
      </w:r>
      <w:r>
        <w:rPr>
          <w:rFonts w:cs="FrankRuehl"/>
          <w:sz w:val="32"/>
          <w:rtl/>
        </w:rPr>
        <w:t>ש</w:t>
      </w:r>
      <w:r>
        <w:rPr>
          <w:rFonts w:cs="FrankRuehl" w:hint="cs"/>
          <w:sz w:val="32"/>
          <w:rtl/>
        </w:rPr>
        <w:t>כ"ד-</w:t>
      </w:r>
      <w:r>
        <w:rPr>
          <w:rFonts w:cs="FrankRuehl"/>
          <w:sz w:val="32"/>
          <w:rtl/>
        </w:rPr>
        <w:t>1964</w:t>
      </w:r>
    </w:p>
    <w:p w:rsidR="00CA152A" w:rsidRDefault="00CA152A" w:rsidP="00CA152A">
      <w:pPr>
        <w:spacing w:line="320" w:lineRule="auto"/>
        <w:jc w:val="left"/>
        <w:rPr>
          <w:rFonts w:hint="cs"/>
          <w:rtl/>
        </w:rPr>
      </w:pPr>
    </w:p>
    <w:p w:rsidR="00E76CE0" w:rsidRDefault="00E76CE0" w:rsidP="00CA152A">
      <w:pPr>
        <w:spacing w:line="320" w:lineRule="auto"/>
        <w:jc w:val="left"/>
        <w:rPr>
          <w:rFonts w:hint="cs"/>
          <w:rtl/>
        </w:rPr>
      </w:pPr>
    </w:p>
    <w:p w:rsidR="00CA152A" w:rsidRPr="00CA152A" w:rsidRDefault="00CA152A" w:rsidP="00CA152A">
      <w:pPr>
        <w:spacing w:line="320" w:lineRule="auto"/>
        <w:jc w:val="left"/>
        <w:rPr>
          <w:rFonts w:cs="Miriam"/>
          <w:szCs w:val="22"/>
          <w:rtl/>
        </w:rPr>
      </w:pPr>
      <w:r w:rsidRPr="00CA152A">
        <w:rPr>
          <w:rFonts w:cs="Miriam"/>
          <w:szCs w:val="22"/>
          <w:rtl/>
        </w:rPr>
        <w:t>משפט פרטי וכלכלה</w:t>
      </w:r>
      <w:r w:rsidRPr="00CA152A">
        <w:rPr>
          <w:rFonts w:cs="FrankRuehl"/>
          <w:szCs w:val="26"/>
          <w:rtl/>
        </w:rPr>
        <w:t xml:space="preserve"> – חיובים – נזיקין – נזקי גוף</w:t>
      </w:r>
    </w:p>
    <w:p w:rsidR="00CC02F0" w:rsidRDefault="00CC02F0">
      <w:pPr>
        <w:pStyle w:val="big-header"/>
        <w:ind w:left="0" w:right="1134"/>
        <w:rPr>
          <w:rFonts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1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הגדרות</w:t>
            </w:r>
          </w:p>
        </w:tc>
        <w:tc>
          <w:tcPr>
            <w:tcW w:w="567" w:type="dxa"/>
          </w:tcPr>
          <w:p w:rsidR="00612781" w:rsidRPr="00612781" w:rsidRDefault="00612781" w:rsidP="00612781">
            <w:pPr>
              <w:spacing w:line="240" w:lineRule="auto"/>
              <w:jc w:val="left"/>
              <w:rPr>
                <w:rStyle w:val="Hyperlink"/>
                <w:rFonts w:hint="cs"/>
                <w:rtl/>
              </w:rPr>
            </w:pPr>
            <w:hyperlink w:anchor="Seif1" w:tooltip="הגדרות"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2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זכותו של מיטיב להיפרע מן המזיק</w:t>
            </w:r>
          </w:p>
        </w:tc>
        <w:tc>
          <w:tcPr>
            <w:tcW w:w="567" w:type="dxa"/>
          </w:tcPr>
          <w:p w:rsidR="00612781" w:rsidRPr="00612781" w:rsidRDefault="00612781" w:rsidP="00612781">
            <w:pPr>
              <w:spacing w:line="240" w:lineRule="auto"/>
              <w:jc w:val="left"/>
              <w:rPr>
                <w:rStyle w:val="Hyperlink"/>
                <w:rFonts w:hint="cs"/>
                <w:rtl/>
              </w:rPr>
            </w:pPr>
            <w:hyperlink w:anchor="Seif2" w:tooltip="זכותו של מיטיב להיפרע מן המזיק"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4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תחומיה של הזכות</w:t>
            </w:r>
          </w:p>
        </w:tc>
        <w:tc>
          <w:tcPr>
            <w:tcW w:w="567" w:type="dxa"/>
          </w:tcPr>
          <w:p w:rsidR="00612781" w:rsidRPr="00612781" w:rsidRDefault="00612781" w:rsidP="00612781">
            <w:pPr>
              <w:spacing w:line="240" w:lineRule="auto"/>
              <w:jc w:val="left"/>
              <w:rPr>
                <w:rStyle w:val="Hyperlink"/>
                <w:rFonts w:hint="cs"/>
                <w:rtl/>
              </w:rPr>
            </w:pPr>
            <w:hyperlink w:anchor="Seif3" w:tooltip="תחומיה של הזכות"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5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סבירותה של הטבת הנזק</w:t>
            </w:r>
          </w:p>
        </w:tc>
        <w:tc>
          <w:tcPr>
            <w:tcW w:w="567" w:type="dxa"/>
          </w:tcPr>
          <w:p w:rsidR="00612781" w:rsidRPr="00612781" w:rsidRDefault="00612781" w:rsidP="00612781">
            <w:pPr>
              <w:spacing w:line="240" w:lineRule="auto"/>
              <w:jc w:val="left"/>
              <w:rPr>
                <w:rStyle w:val="Hyperlink"/>
                <w:rFonts w:hint="cs"/>
                <w:rtl/>
              </w:rPr>
            </w:pPr>
            <w:hyperlink w:anchor="Seif4" w:tooltip="סבירותה של הטבת הנזק"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6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זכות כלפי מבטח</w:t>
            </w:r>
          </w:p>
        </w:tc>
        <w:tc>
          <w:tcPr>
            <w:tcW w:w="567" w:type="dxa"/>
          </w:tcPr>
          <w:p w:rsidR="00612781" w:rsidRPr="00612781" w:rsidRDefault="00612781" w:rsidP="00612781">
            <w:pPr>
              <w:spacing w:line="240" w:lineRule="auto"/>
              <w:jc w:val="left"/>
              <w:rPr>
                <w:rStyle w:val="Hyperlink"/>
                <w:rFonts w:hint="cs"/>
                <w:rtl/>
              </w:rPr>
            </w:pPr>
            <w:hyperlink w:anchor="Seif5" w:tooltip="זכות כלפי מבטח"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7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זכותו של המוטב</w:t>
            </w:r>
          </w:p>
        </w:tc>
        <w:tc>
          <w:tcPr>
            <w:tcW w:w="567" w:type="dxa"/>
          </w:tcPr>
          <w:p w:rsidR="00612781" w:rsidRPr="00612781" w:rsidRDefault="00612781" w:rsidP="00612781">
            <w:pPr>
              <w:spacing w:line="240" w:lineRule="auto"/>
              <w:jc w:val="left"/>
              <w:rPr>
                <w:rStyle w:val="Hyperlink"/>
                <w:rFonts w:hint="cs"/>
                <w:rtl/>
              </w:rPr>
            </w:pPr>
            <w:hyperlink w:anchor="Seif6" w:tooltip="זכותו של המוטב"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8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שמירת תביעות אחרות</w:t>
            </w:r>
          </w:p>
        </w:tc>
        <w:tc>
          <w:tcPr>
            <w:tcW w:w="567" w:type="dxa"/>
          </w:tcPr>
          <w:p w:rsidR="00612781" w:rsidRPr="00612781" w:rsidRDefault="00612781" w:rsidP="00612781">
            <w:pPr>
              <w:spacing w:line="240" w:lineRule="auto"/>
              <w:jc w:val="left"/>
              <w:rPr>
                <w:rStyle w:val="Hyperlink"/>
                <w:rFonts w:hint="cs"/>
                <w:rtl/>
              </w:rPr>
            </w:pPr>
            <w:hyperlink w:anchor="Seif7" w:tooltip="שמירת תביעות אחרות"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9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קביעת בית משפט כראיה</w:t>
            </w:r>
          </w:p>
        </w:tc>
        <w:tc>
          <w:tcPr>
            <w:tcW w:w="567" w:type="dxa"/>
          </w:tcPr>
          <w:p w:rsidR="00612781" w:rsidRPr="00612781" w:rsidRDefault="00612781" w:rsidP="00612781">
            <w:pPr>
              <w:spacing w:line="240" w:lineRule="auto"/>
              <w:jc w:val="left"/>
              <w:rPr>
                <w:rStyle w:val="Hyperlink"/>
                <w:rFonts w:hint="cs"/>
                <w:rtl/>
              </w:rPr>
            </w:pPr>
            <w:hyperlink w:anchor="Seif8" w:tooltip="קביעת בית משפט כראיה"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12781" w:rsidRPr="00612781">
        <w:tblPrEx>
          <w:tblCellMar>
            <w:top w:w="0" w:type="dxa"/>
            <w:bottom w:w="0" w:type="dxa"/>
          </w:tblCellMar>
        </w:tblPrEx>
        <w:tc>
          <w:tcPr>
            <w:tcW w:w="1247" w:type="dxa"/>
          </w:tcPr>
          <w:p w:rsidR="00612781" w:rsidRPr="00612781" w:rsidRDefault="00612781" w:rsidP="00612781">
            <w:pPr>
              <w:spacing w:line="240" w:lineRule="auto"/>
              <w:jc w:val="left"/>
              <w:rPr>
                <w:rFonts w:cs="Frankruhel" w:hint="cs"/>
                <w:sz w:val="24"/>
                <w:rtl/>
                <w:lang w:eastAsia="en-US"/>
              </w:rPr>
            </w:pPr>
            <w:r>
              <w:rPr>
                <w:sz w:val="24"/>
                <w:rtl/>
                <w:lang w:eastAsia="en-US"/>
              </w:rPr>
              <w:t xml:space="preserve">סעיף 10 </w:t>
            </w:r>
          </w:p>
        </w:tc>
        <w:tc>
          <w:tcPr>
            <w:tcW w:w="5669" w:type="dxa"/>
          </w:tcPr>
          <w:p w:rsidR="00612781" w:rsidRPr="00612781" w:rsidRDefault="00612781" w:rsidP="00612781">
            <w:pPr>
              <w:spacing w:line="240" w:lineRule="auto"/>
              <w:jc w:val="left"/>
              <w:rPr>
                <w:rFonts w:cs="Frankruhel" w:hint="cs"/>
                <w:sz w:val="24"/>
                <w:rtl/>
                <w:lang w:eastAsia="en-US"/>
              </w:rPr>
            </w:pPr>
            <w:r>
              <w:rPr>
                <w:sz w:val="24"/>
                <w:rtl/>
                <w:lang w:eastAsia="en-US"/>
              </w:rPr>
              <w:t>תחולה</w:t>
            </w:r>
          </w:p>
        </w:tc>
        <w:tc>
          <w:tcPr>
            <w:tcW w:w="567" w:type="dxa"/>
          </w:tcPr>
          <w:p w:rsidR="00612781" w:rsidRPr="00612781" w:rsidRDefault="00612781" w:rsidP="00612781">
            <w:pPr>
              <w:spacing w:line="240" w:lineRule="auto"/>
              <w:jc w:val="left"/>
              <w:rPr>
                <w:rStyle w:val="Hyperlink"/>
                <w:rFonts w:hint="cs"/>
                <w:rtl/>
              </w:rPr>
            </w:pPr>
            <w:hyperlink w:anchor="Seif9" w:tooltip="תחולה" w:history="1">
              <w:r w:rsidRPr="00612781">
                <w:rPr>
                  <w:rStyle w:val="Hyperlink"/>
                </w:rPr>
                <w:t>Go</w:t>
              </w:r>
            </w:hyperlink>
          </w:p>
        </w:tc>
        <w:tc>
          <w:tcPr>
            <w:tcW w:w="850" w:type="dxa"/>
          </w:tcPr>
          <w:p w:rsidR="00612781" w:rsidRPr="00612781" w:rsidRDefault="00612781" w:rsidP="00612781">
            <w:pPr>
              <w:spacing w:line="240" w:lineRule="auto"/>
              <w:jc w:val="left"/>
              <w:rPr>
                <w:rFonts w:cs="Frankruhel" w:hint="cs"/>
                <w:sz w:val="24"/>
                <w:rtl/>
                <w:lang w:eastAsia="en-US"/>
              </w:rPr>
            </w:pPr>
            <w:r>
              <w:rPr>
                <w:rFonts w:cs="Frankruhel"/>
                <w:sz w:val="24"/>
                <w:rtl/>
                <w:lang w:eastAsia="en-US"/>
              </w:rPr>
              <w:fldChar w:fldCharType="begin"/>
            </w:r>
            <w:r>
              <w:rPr>
                <w:sz w:val="24"/>
                <w:rtl/>
                <w:lang w:eastAsia="en-US"/>
              </w:rPr>
              <w:instrText xml:space="preserve"> </w:instrText>
            </w:r>
            <w:r>
              <w:rPr>
                <w:rFonts w:cs="Frankruhel" w:hint="cs"/>
                <w:sz w:val="24"/>
                <w:lang w:eastAsia="en-US"/>
              </w:rPr>
              <w:instrText>PAGEREF</w:instrText>
            </w:r>
            <w:r>
              <w:rPr>
                <w:rFonts w:hint="cs"/>
                <w:sz w:val="24"/>
                <w:rtl/>
                <w:lang w:eastAsia="en-US"/>
              </w:rPr>
              <w:instrText xml:space="preserve"> </w:instrText>
            </w:r>
            <w:r>
              <w:rPr>
                <w:rFonts w:cs="Frankruhel" w:hint="cs"/>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bl>
    <w:p w:rsidR="00CC02F0" w:rsidRDefault="00CC02F0">
      <w:pPr>
        <w:pStyle w:val="P00"/>
        <w:spacing w:before="72"/>
        <w:ind w:left="0" w:right="1134"/>
        <w:rPr>
          <w:rFonts w:hint="cs"/>
          <w:rtl/>
          <w:lang w:eastAsia="en-US"/>
        </w:rPr>
      </w:pPr>
    </w:p>
    <w:p w:rsidR="00CC02F0" w:rsidRDefault="00CC02F0" w:rsidP="00CA152A">
      <w:pPr>
        <w:pStyle w:val="big-header"/>
        <w:tabs>
          <w:tab w:val="left" w:pos="624"/>
        </w:tabs>
        <w:ind w:left="0" w:right="1134"/>
        <w:rPr>
          <w:rStyle w:val="default"/>
          <w:rFonts w:cs="FrankRuehl" w:hint="cs"/>
          <w:rtl/>
        </w:rPr>
      </w:pPr>
      <w:r>
        <w:rPr>
          <w:rtl/>
          <w:lang w:eastAsia="en-US"/>
        </w:rPr>
        <w:br w:type="page"/>
      </w:r>
      <w:r>
        <w:rPr>
          <w:rFonts w:cs="FrankRuehl"/>
          <w:sz w:val="32"/>
          <w:rtl/>
        </w:rPr>
        <w:lastRenderedPageBreak/>
        <w:t>חו</w:t>
      </w:r>
      <w:r>
        <w:rPr>
          <w:rFonts w:cs="FrankRuehl" w:hint="cs"/>
          <w:sz w:val="32"/>
          <w:rtl/>
        </w:rPr>
        <w:t>ק לתיקון דיני הנזיקין האזרחיים (הטבת נזקי גוף), ת</w:t>
      </w:r>
      <w:r>
        <w:rPr>
          <w:rFonts w:cs="FrankRuehl"/>
          <w:sz w:val="32"/>
          <w:rtl/>
        </w:rPr>
        <w:t>ש</w:t>
      </w:r>
      <w:r>
        <w:rPr>
          <w:rFonts w:cs="FrankRuehl" w:hint="cs"/>
          <w:sz w:val="32"/>
          <w:rtl/>
        </w:rPr>
        <w:t>כ"ד-</w:t>
      </w:r>
      <w:r>
        <w:rPr>
          <w:rFonts w:cs="FrankRuehl"/>
          <w:sz w:val="32"/>
          <w:rtl/>
        </w:rPr>
        <w:t>1964</w:t>
      </w:r>
      <w:r>
        <w:rPr>
          <w:rStyle w:val="default"/>
          <w:rtl/>
        </w:rPr>
        <w:footnoteReference w:customMarkFollows="1" w:id="1"/>
        <w:t>*</w:t>
      </w:r>
    </w:p>
    <w:p w:rsidR="00CC02F0" w:rsidRDefault="00CC02F0">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53120" o:allowincell="f" filled="f" stroked="f" strokecolor="lime" strokeweight=".25pt">
            <v:textbox style="mso-next-textbox:#_x0000_s1026" inset="0,0,0,0">
              <w:txbxContent>
                <w:p w:rsidR="00CC02F0" w:rsidRDefault="00CC02F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לע</w:t>
      </w:r>
      <w:r>
        <w:rPr>
          <w:rStyle w:val="default"/>
          <w:rFonts w:cs="FrankRuehl" w:hint="cs"/>
          <w:rtl/>
        </w:rPr>
        <w:t xml:space="preserve">נין חוק זה </w:t>
      </w:r>
      <w:r>
        <w:rPr>
          <w:rStyle w:val="default"/>
          <w:rFonts w:cs="FrankRuehl"/>
          <w:rtl/>
        </w:rPr>
        <w:t>–</w:t>
      </w:r>
    </w:p>
    <w:p w:rsidR="00CC02F0" w:rsidRDefault="00CC02F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טבת נזק" </w:t>
      </w:r>
      <w:r>
        <w:rPr>
          <w:rStyle w:val="default"/>
          <w:rFonts w:cs="FrankRuehl"/>
          <w:rtl/>
        </w:rPr>
        <w:t xml:space="preserve">– </w:t>
      </w:r>
      <w:r>
        <w:rPr>
          <w:rStyle w:val="default"/>
          <w:rFonts w:cs="FrankRuehl" w:hint="cs"/>
          <w:rtl/>
        </w:rPr>
        <w:t xml:space="preserve">הוצאות שהוצאו או שירות שניתן כדי לתקן נזק גוף, למנוע מניזוק החמרתו של נזק או נזק נוסף או להקל מסבלו, לרבות תמיכה שניתנה לניזוק למחייתו </w:t>
      </w:r>
      <w:r>
        <w:rPr>
          <w:rStyle w:val="default"/>
          <w:rFonts w:cs="FrankRuehl"/>
          <w:rtl/>
        </w:rPr>
        <w:t>ול</w:t>
      </w:r>
      <w:r>
        <w:rPr>
          <w:rStyle w:val="default"/>
          <w:rFonts w:cs="FrankRuehl" w:hint="cs"/>
          <w:rtl/>
        </w:rPr>
        <w:t>מחיית בני ביתו שנצטרך לה עקב הנזק, וכן, אם מת הניזוק, תמיכה כאמור שניתנה לאדם הזכאי לפיצוי בשל כך מאת המזיק;</w:t>
      </w:r>
    </w:p>
    <w:p w:rsidR="00CC02F0" w:rsidRDefault="00CC02F0">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זק גוף" </w:t>
      </w:r>
      <w:r>
        <w:rPr>
          <w:rStyle w:val="default"/>
          <w:rFonts w:cs="FrankRuehl"/>
          <w:rtl/>
        </w:rPr>
        <w:t xml:space="preserve">– </w:t>
      </w:r>
      <w:r>
        <w:rPr>
          <w:rStyle w:val="default"/>
          <w:rFonts w:cs="FrankRuehl" w:hint="cs"/>
          <w:rtl/>
        </w:rPr>
        <w:t>לרבות מחלה, ליקוי גופני או שכלי, ומוות.</w:t>
      </w:r>
    </w:p>
    <w:p w:rsidR="00CC02F0" w:rsidRDefault="00CC02F0">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8.2pt;z-index:251654144" o:allowincell="f" filled="f" stroked="f" strokecolor="lime" strokeweight=".25pt">
            <v:textbox style="mso-next-textbox:#_x0000_s1027" inset="0,0,0,0">
              <w:txbxContent>
                <w:p w:rsidR="00CC02F0" w:rsidRDefault="00CC02F0">
                  <w:pPr>
                    <w:spacing w:line="160" w:lineRule="exact"/>
                    <w:jc w:val="left"/>
                    <w:rPr>
                      <w:rFonts w:cs="Miriam"/>
                      <w:noProof/>
                      <w:sz w:val="18"/>
                      <w:szCs w:val="18"/>
                      <w:rtl/>
                    </w:rPr>
                  </w:pPr>
                  <w:r>
                    <w:rPr>
                      <w:rFonts w:cs="Miriam"/>
                      <w:sz w:val="18"/>
                      <w:szCs w:val="18"/>
                      <w:rtl/>
                    </w:rPr>
                    <w:t>זכ</w:t>
                  </w:r>
                  <w:r>
                    <w:rPr>
                      <w:rFonts w:cs="Miriam" w:hint="cs"/>
                      <w:sz w:val="18"/>
                      <w:szCs w:val="18"/>
                      <w:rtl/>
                    </w:rPr>
                    <w:t>ותו של מיטיב להיפרע מן המזיק</w:t>
                  </w:r>
                </w:p>
              </w:txbxContent>
            </v:textbox>
            <w10:anchorlock/>
          </v:rect>
        </w:pict>
      </w:r>
      <w:r>
        <w:rPr>
          <w:rStyle w:val="big-number"/>
          <w:rFonts w:cs="Miriam"/>
          <w:rtl/>
        </w:rPr>
        <w:t>2.</w:t>
      </w:r>
      <w:r>
        <w:rPr>
          <w:rStyle w:val="big-number"/>
          <w:rFonts w:cs="Miriam"/>
          <w:rtl/>
        </w:rPr>
        <w:tab/>
      </w:r>
      <w:r>
        <w:rPr>
          <w:rStyle w:val="default"/>
          <w:rFonts w:cs="FrankRuehl"/>
          <w:rtl/>
        </w:rPr>
        <w:t>גר</w:t>
      </w:r>
      <w:r>
        <w:rPr>
          <w:rStyle w:val="default"/>
          <w:rFonts w:cs="FrankRuehl" w:hint="cs"/>
          <w:rtl/>
        </w:rPr>
        <w:t xml:space="preserve">ם אדם לזולתו נזק גוף, רשאי מי שהיטיב את הנזק להיפרע את הטבת הנזק מן המזיק עד כדי סכום </w:t>
      </w:r>
      <w:r>
        <w:rPr>
          <w:rStyle w:val="default"/>
          <w:rFonts w:cs="FrankRuehl"/>
          <w:rtl/>
        </w:rPr>
        <w:t>שה</w:t>
      </w:r>
      <w:r>
        <w:rPr>
          <w:rStyle w:val="default"/>
          <w:rFonts w:cs="FrankRuehl" w:hint="cs"/>
          <w:rtl/>
        </w:rPr>
        <w:t>מזיק היה חייב למוטב על פי כל די</w:t>
      </w:r>
      <w:r>
        <w:rPr>
          <w:rStyle w:val="default"/>
          <w:rFonts w:cs="FrankRuehl"/>
          <w:rtl/>
        </w:rPr>
        <w:t>ן</w:t>
      </w:r>
      <w:r>
        <w:rPr>
          <w:rStyle w:val="default"/>
          <w:rFonts w:cs="FrankRuehl" w:hint="cs"/>
          <w:rtl/>
        </w:rPr>
        <w:t xml:space="preserve"> בשל גרימת נזק הגוף אלמלא הוטב הנזק על ידי המיטיב.</w:t>
      </w:r>
    </w:p>
    <w:p w:rsidR="00CC02F0" w:rsidRDefault="00CC02F0">
      <w:pPr>
        <w:pStyle w:val="P00"/>
        <w:spacing w:before="72"/>
        <w:ind w:left="0" w:right="1134"/>
        <w:rPr>
          <w:rStyle w:val="default"/>
          <w:rFonts w:cs="FrankRuehl" w:hint="cs"/>
          <w:rtl/>
        </w:rPr>
      </w:pPr>
      <w:r>
        <w:rPr>
          <w:lang w:val="he-IL"/>
        </w:rPr>
        <w:pict>
          <v:rect id="_x0000_s1028" style="position:absolute;left:0;text-align:left;margin-left:464.5pt;margin-top:8.05pt;width:75.05pt;height:17.1pt;z-index:251655168" o:allowincell="f" filled="f" stroked="f" strokecolor="lime" strokeweight=".25pt">
            <v:textbox style="mso-next-textbox:#_x0000_s1028" inset="0,0,0,0">
              <w:txbxContent>
                <w:p w:rsidR="00CC02F0" w:rsidRDefault="00CC02F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וטל)</w:t>
      </w:r>
      <w:r>
        <w:rPr>
          <w:rStyle w:val="default"/>
          <w:rFonts w:cs="FrankRuehl"/>
          <w:rtl/>
        </w:rPr>
        <w:t>.</w:t>
      </w:r>
    </w:p>
    <w:p w:rsidR="00CC02F0" w:rsidRDefault="00CC02F0">
      <w:pPr>
        <w:pStyle w:val="P22"/>
        <w:tabs>
          <w:tab w:val="left" w:pos="624"/>
        </w:tabs>
        <w:spacing w:before="0"/>
        <w:ind w:left="0" w:right="1134"/>
        <w:rPr>
          <w:rStyle w:val="default"/>
          <w:rFonts w:cs="FrankRuehl" w:hint="cs"/>
          <w:vanish/>
          <w:color w:val="FF0000"/>
          <w:szCs w:val="20"/>
          <w:shd w:val="clear" w:color="auto" w:fill="FFFF99"/>
          <w:rtl/>
        </w:rPr>
      </w:pPr>
      <w:bookmarkStart w:id="2" w:name="Rov1"/>
      <w:r>
        <w:rPr>
          <w:rStyle w:val="default"/>
          <w:rFonts w:cs="FrankRuehl" w:hint="cs"/>
          <w:vanish/>
          <w:color w:val="FF0000"/>
          <w:szCs w:val="20"/>
          <w:shd w:val="clear" w:color="auto" w:fill="FFFF99"/>
          <w:rtl/>
        </w:rPr>
        <w:t>מיום 1.2.1979</w:t>
      </w:r>
    </w:p>
    <w:p w:rsidR="00CC02F0" w:rsidRDefault="00CC02F0">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rsidR="00CC02F0" w:rsidRDefault="00CC02F0">
      <w:pPr>
        <w:pStyle w:val="P22"/>
        <w:tabs>
          <w:tab w:val="left" w:pos="624"/>
        </w:tabs>
        <w:spacing w:before="0"/>
        <w:ind w:left="0" w:right="1134"/>
        <w:rPr>
          <w:rStyle w:val="default"/>
          <w:rFonts w:cs="FrankRuehl" w:hint="cs"/>
          <w:vanish/>
          <w:szCs w:val="20"/>
          <w:shd w:val="clear" w:color="auto" w:fill="FFFF99"/>
          <w:rtl/>
        </w:rPr>
      </w:pPr>
      <w:hyperlink r:id="rId6" w:history="1">
        <w:r>
          <w:rPr>
            <w:rStyle w:val="Hyperlink"/>
            <w:rFonts w:cs="FrankRuehl" w:hint="cs"/>
            <w:vanish/>
            <w:szCs w:val="20"/>
            <w:shd w:val="clear" w:color="auto" w:fill="FFFF99"/>
            <w:rtl/>
          </w:rPr>
          <w:t>ס"ח תשל"ט מס' 924</w:t>
        </w:r>
      </w:hyperlink>
      <w:r>
        <w:rPr>
          <w:rStyle w:val="default"/>
          <w:rFonts w:cs="FrankRuehl" w:hint="cs"/>
          <w:vanish/>
          <w:szCs w:val="20"/>
          <w:shd w:val="clear" w:color="auto" w:fill="FFFF99"/>
          <w:rtl/>
        </w:rPr>
        <w:t xml:space="preserve"> מיום 1.2.1979 עמ' 42 (</w:t>
      </w:r>
      <w:hyperlink r:id="rId7" w:history="1">
        <w:r>
          <w:rPr>
            <w:rStyle w:val="Hyperlink"/>
            <w:rFonts w:cs="FrankRuehl" w:hint="cs"/>
            <w:vanish/>
            <w:szCs w:val="20"/>
            <w:shd w:val="clear" w:color="auto" w:fill="FFFF99"/>
            <w:rtl/>
          </w:rPr>
          <w:t>ה"ח 1353</w:t>
        </w:r>
      </w:hyperlink>
      <w:r>
        <w:rPr>
          <w:rStyle w:val="default"/>
          <w:rFonts w:cs="FrankRuehl" w:hint="cs"/>
          <w:vanish/>
          <w:szCs w:val="20"/>
          <w:shd w:val="clear" w:color="auto" w:fill="FFFF99"/>
          <w:rtl/>
        </w:rPr>
        <w:t>)</w:t>
      </w:r>
    </w:p>
    <w:p w:rsidR="00CC02F0" w:rsidRDefault="00CC02F0">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ביטול סעיף 3</w:t>
      </w:r>
    </w:p>
    <w:p w:rsidR="00CC02F0" w:rsidRDefault="00CC02F0">
      <w:pPr>
        <w:pStyle w:val="P22"/>
        <w:tabs>
          <w:tab w:val="left" w:pos="624"/>
        </w:tabs>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CC02F0" w:rsidRDefault="00CC02F0">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Pr>
          <w:rStyle w:val="default"/>
          <w:rFonts w:ascii="FrankRuehl" w:hAnsi="FrankRuehl" w:cs="Miriam" w:hint="cs"/>
          <w:strike/>
          <w:vanish/>
          <w:sz w:val="16"/>
          <w:szCs w:val="16"/>
          <w:shd w:val="clear" w:color="auto" w:fill="FFFF99"/>
          <w:rtl/>
        </w:rPr>
        <w:t>רשלנות תורמת</w:t>
      </w:r>
    </w:p>
    <w:p w:rsidR="00CC02F0" w:rsidRDefault="00CC02F0">
      <w:pPr>
        <w:pStyle w:val="P22"/>
        <w:tabs>
          <w:tab w:val="left" w:pos="624"/>
        </w:tabs>
        <w:spacing w:before="0"/>
        <w:ind w:left="0" w:right="1134"/>
        <w:rPr>
          <w:rStyle w:val="default"/>
          <w:rFonts w:ascii="FrankRuehl" w:hAnsi="FrankRuehl" w:cs="FrankRuehl" w:hint="cs"/>
          <w:strike/>
          <w:sz w:val="2"/>
          <w:szCs w:val="2"/>
          <w:shd w:val="clear" w:color="auto" w:fill="FFFF99"/>
          <w:rtl/>
        </w:rPr>
      </w:pPr>
      <w:r>
        <w:rPr>
          <w:rStyle w:val="default"/>
          <w:rFonts w:ascii="FrankRuehl" w:hAnsi="FrankRuehl" w:cs="FrankRuehl" w:hint="cs"/>
          <w:strike/>
          <w:vanish/>
          <w:sz w:val="22"/>
          <w:szCs w:val="22"/>
          <w:shd w:val="clear" w:color="auto" w:fill="FFFF99"/>
          <w:rtl/>
        </w:rPr>
        <w:t>3.</w:t>
      </w:r>
      <w:r>
        <w:rPr>
          <w:rStyle w:val="default"/>
          <w:rFonts w:ascii="FrankRuehl" w:hAnsi="FrankRuehl" w:cs="FrankRuehl" w:hint="cs"/>
          <w:strike/>
          <w:vanish/>
          <w:sz w:val="22"/>
          <w:szCs w:val="22"/>
          <w:shd w:val="clear" w:color="auto" w:fill="FFFF99"/>
          <w:rtl/>
        </w:rPr>
        <w:tab/>
        <w:t>נגרם נזק הגוף גם בשל רשלנותו התורמת של הניזוק, או שנגרם כולו בשל רשלנות הניזוק, רשאי המיטיב להיפרע מן המוטב את הטבת הנזק, מקצתה או כולה, לפי מידת רשלנותו של הניזוק.</w:t>
      </w:r>
      <w:bookmarkEnd w:id="2"/>
    </w:p>
    <w:p w:rsidR="00CC02F0" w:rsidRDefault="00CC02F0">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2pt;z-index:251656192" o:allowincell="f" filled="f" stroked="f" strokecolor="lime" strokeweight=".25pt">
            <v:textbox style="mso-next-textbox:#_x0000_s1029" inset="0,0,0,0">
              <w:txbxContent>
                <w:p w:rsidR="00CC02F0" w:rsidRDefault="00CC02F0">
                  <w:pPr>
                    <w:spacing w:line="160" w:lineRule="exact"/>
                    <w:jc w:val="left"/>
                    <w:rPr>
                      <w:rFonts w:cs="Miriam"/>
                      <w:noProof/>
                      <w:sz w:val="18"/>
                      <w:szCs w:val="18"/>
                      <w:rtl/>
                    </w:rPr>
                  </w:pPr>
                  <w:r>
                    <w:rPr>
                      <w:rFonts w:cs="Miriam"/>
                      <w:sz w:val="18"/>
                      <w:szCs w:val="18"/>
                      <w:rtl/>
                    </w:rPr>
                    <w:t>תח</w:t>
                  </w:r>
                  <w:r>
                    <w:rPr>
                      <w:rFonts w:cs="Miriam" w:hint="cs"/>
                      <w:sz w:val="18"/>
                      <w:szCs w:val="18"/>
                      <w:rtl/>
                    </w:rPr>
                    <w:t>ומיה של הזכות</w:t>
                  </w:r>
                </w:p>
              </w:txbxContent>
            </v:textbox>
            <w10:anchorlock/>
          </v:rect>
        </w:pict>
      </w:r>
      <w:r>
        <w:rPr>
          <w:rStyle w:val="big-number"/>
          <w:rFonts w:cs="Miriam"/>
          <w:rtl/>
        </w:rPr>
        <w:t>4.</w:t>
      </w:r>
      <w:r>
        <w:rPr>
          <w:rStyle w:val="big-number"/>
          <w:rFonts w:cs="Miriam"/>
          <w:rtl/>
        </w:rPr>
        <w:tab/>
      </w:r>
      <w:r>
        <w:rPr>
          <w:rStyle w:val="default"/>
          <w:rFonts w:cs="FrankRuehl"/>
          <w:rtl/>
        </w:rPr>
        <w:t>לע</w:t>
      </w:r>
      <w:r>
        <w:rPr>
          <w:rStyle w:val="default"/>
          <w:rFonts w:cs="FrankRuehl" w:hint="cs"/>
          <w:rtl/>
        </w:rPr>
        <w:t>נין חוק זה אין נפקא מינה אם המיטיב פעל לפי חובה שבדין או שבהסכם או שפעל בהתנדבות; ואין נפקא מינה אם המיטיב הוא</w:t>
      </w:r>
      <w:r>
        <w:rPr>
          <w:rStyle w:val="default"/>
          <w:rFonts w:cs="FrankRuehl"/>
          <w:rtl/>
        </w:rPr>
        <w:t xml:space="preserve"> </w:t>
      </w:r>
      <w:r>
        <w:rPr>
          <w:rStyle w:val="default"/>
          <w:rFonts w:cs="FrankRuehl" w:hint="cs"/>
          <w:rtl/>
        </w:rPr>
        <w:t>א</w:t>
      </w:r>
      <w:r>
        <w:rPr>
          <w:rStyle w:val="default"/>
          <w:rFonts w:cs="FrankRuehl"/>
          <w:rtl/>
        </w:rPr>
        <w:t>גו</w:t>
      </w:r>
      <w:r>
        <w:rPr>
          <w:rStyle w:val="default"/>
          <w:rFonts w:cs="FrankRuehl" w:hint="cs"/>
          <w:rtl/>
        </w:rPr>
        <w:t xml:space="preserve">דה שיתופית שהמוטב אחד מחבריה; אלא שאם היה המיטיב תאגיד העוסק בעסקי ביטוח </w:t>
      </w:r>
      <w:r>
        <w:rPr>
          <w:rStyle w:val="default"/>
          <w:rFonts w:cs="FrankRuehl"/>
          <w:rtl/>
        </w:rPr>
        <w:t xml:space="preserve">– </w:t>
      </w:r>
      <w:r>
        <w:rPr>
          <w:rStyle w:val="default"/>
          <w:rFonts w:cs="FrankRuehl" w:hint="cs"/>
          <w:rtl/>
        </w:rPr>
        <w:t xml:space="preserve">למעט תאגיד המבטח את חבריו בלבד </w:t>
      </w:r>
      <w:r>
        <w:rPr>
          <w:rStyle w:val="default"/>
          <w:rFonts w:cs="FrankRuehl"/>
          <w:rtl/>
        </w:rPr>
        <w:t xml:space="preserve">– </w:t>
      </w:r>
      <w:r>
        <w:rPr>
          <w:rStyle w:val="default"/>
          <w:rFonts w:cs="FrankRuehl" w:hint="cs"/>
          <w:rtl/>
        </w:rPr>
        <w:t>ופעל לפי חוזה ביטוח עם הניזוק או המוטב, לא יהיה זכאי להיפרע לפי חוק זה, אולם אין בהוראה זו כדי לגרוע מזכותו לפי חוק אחר.</w:t>
      </w:r>
    </w:p>
    <w:p w:rsidR="00CC02F0" w:rsidRDefault="00CC02F0">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8.35pt;z-index:251657216" o:allowincell="f" filled="f" stroked="f" strokecolor="lime" strokeweight=".25pt">
            <v:textbox style="mso-next-textbox:#_x0000_s1030" inset="0,0,0,0">
              <w:txbxContent>
                <w:p w:rsidR="00CC02F0" w:rsidRDefault="00CC02F0">
                  <w:pPr>
                    <w:spacing w:line="160" w:lineRule="exact"/>
                    <w:jc w:val="left"/>
                    <w:rPr>
                      <w:rFonts w:cs="Miriam"/>
                      <w:noProof/>
                      <w:sz w:val="18"/>
                      <w:szCs w:val="18"/>
                      <w:rtl/>
                    </w:rPr>
                  </w:pPr>
                  <w:r>
                    <w:rPr>
                      <w:rFonts w:cs="Miriam"/>
                      <w:sz w:val="18"/>
                      <w:szCs w:val="18"/>
                      <w:rtl/>
                    </w:rPr>
                    <w:t>סב</w:t>
                  </w:r>
                  <w:r>
                    <w:rPr>
                      <w:rFonts w:cs="Miriam" w:hint="cs"/>
                      <w:sz w:val="18"/>
                      <w:szCs w:val="18"/>
                      <w:rtl/>
                    </w:rPr>
                    <w:t>ירותה של ה</w:t>
                  </w:r>
                  <w:r>
                    <w:rPr>
                      <w:rFonts w:cs="Miriam"/>
                      <w:sz w:val="18"/>
                      <w:szCs w:val="18"/>
                      <w:rtl/>
                    </w:rPr>
                    <w:t>ט</w:t>
                  </w:r>
                  <w:r>
                    <w:rPr>
                      <w:rFonts w:cs="Miriam" w:hint="cs"/>
                      <w:sz w:val="18"/>
                      <w:szCs w:val="18"/>
                      <w:rtl/>
                    </w:rPr>
                    <w:t>בת הנזק</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ן להיפרע לפי חוק זה</w:t>
      </w:r>
      <w:r>
        <w:rPr>
          <w:rStyle w:val="default"/>
          <w:rFonts w:cs="FrankRuehl"/>
          <w:rtl/>
        </w:rPr>
        <w:t xml:space="preserve"> א</w:t>
      </w:r>
      <w:r>
        <w:rPr>
          <w:rStyle w:val="default"/>
          <w:rFonts w:cs="FrankRuehl" w:hint="cs"/>
          <w:rtl/>
        </w:rPr>
        <w:t>לא הוצאות, שכר שירות ודמי תמיכה סבירים; משכורת או שכר עבודה שמעביד מוסיף לשלם לעובדו בתקופה שהעובד אינו מסוגל לעבודה עקב נזק הגוף, רואים לענין זה כהוצאה סבירה, אלא שאין להיפרע יותר מן המשכורת או שכר העבודה שהיה העובד מקבל אילו ה</w:t>
      </w:r>
      <w:r>
        <w:rPr>
          <w:rStyle w:val="default"/>
          <w:rFonts w:cs="FrankRuehl"/>
          <w:rtl/>
        </w:rPr>
        <w:t>י</w:t>
      </w:r>
      <w:r>
        <w:rPr>
          <w:rStyle w:val="default"/>
          <w:rFonts w:cs="FrankRuehl" w:hint="cs"/>
          <w:rtl/>
        </w:rPr>
        <w:t>ה מסוגל לעבודה; כן רואים</w:t>
      </w:r>
      <w:r>
        <w:rPr>
          <w:rStyle w:val="default"/>
          <w:rFonts w:cs="FrankRuehl"/>
          <w:rtl/>
        </w:rPr>
        <w:t xml:space="preserve"> </w:t>
      </w:r>
      <w:r>
        <w:rPr>
          <w:rStyle w:val="default"/>
          <w:rFonts w:cs="FrankRuehl" w:hint="cs"/>
          <w:rtl/>
        </w:rPr>
        <w:t>כ</w:t>
      </w:r>
      <w:r>
        <w:rPr>
          <w:rStyle w:val="default"/>
          <w:rFonts w:cs="FrankRuehl"/>
          <w:rtl/>
        </w:rPr>
        <w:t>ה</w:t>
      </w:r>
      <w:r>
        <w:rPr>
          <w:rStyle w:val="default"/>
          <w:rFonts w:cs="FrankRuehl" w:hint="cs"/>
          <w:rtl/>
        </w:rPr>
        <w:t>וצאה סבירה את הכלכלה הניתנת, והשכר המשתלם, על ידי המדינה לחייל בתקופה שלא היה מסוגל לשירות.</w:t>
      </w:r>
    </w:p>
    <w:p w:rsidR="00CC02F0" w:rsidRDefault="00CC02F0">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8pt;z-index:251658240" o:allowincell="f" filled="f" stroked="f" strokecolor="lime" strokeweight=".25pt">
            <v:textbox style="mso-next-textbox:#_x0000_s1031" inset="0,0,0,0">
              <w:txbxContent>
                <w:p w:rsidR="00CC02F0" w:rsidRDefault="00CC02F0">
                  <w:pPr>
                    <w:spacing w:line="160" w:lineRule="exact"/>
                    <w:jc w:val="left"/>
                    <w:rPr>
                      <w:rFonts w:cs="Miriam"/>
                      <w:noProof/>
                      <w:sz w:val="18"/>
                      <w:szCs w:val="18"/>
                      <w:rtl/>
                    </w:rPr>
                  </w:pPr>
                  <w:r>
                    <w:rPr>
                      <w:rFonts w:cs="Miriam"/>
                      <w:sz w:val="18"/>
                      <w:szCs w:val="18"/>
                      <w:rtl/>
                    </w:rPr>
                    <w:t>זכ</w:t>
                  </w:r>
                  <w:r>
                    <w:rPr>
                      <w:rFonts w:cs="Miriam" w:hint="cs"/>
                      <w:sz w:val="18"/>
                      <w:szCs w:val="18"/>
                      <w:rtl/>
                    </w:rPr>
                    <w:t>ות כלפי מבטח</w:t>
                  </w:r>
                </w:p>
              </w:txbxContent>
            </v:textbox>
            <w10:anchorlock/>
          </v:rect>
        </w:pict>
      </w:r>
      <w:r>
        <w:rPr>
          <w:rStyle w:val="big-number"/>
          <w:rFonts w:cs="Miriam"/>
          <w:rtl/>
        </w:rPr>
        <w:t>6.</w:t>
      </w:r>
      <w:r>
        <w:rPr>
          <w:rStyle w:val="big-number"/>
          <w:rFonts w:cs="Miriam"/>
          <w:rtl/>
        </w:rPr>
        <w:tab/>
      </w:r>
      <w:r>
        <w:rPr>
          <w:rStyle w:val="default"/>
          <w:rFonts w:cs="FrankRuehl"/>
          <w:rtl/>
        </w:rPr>
        <w:t>הי</w:t>
      </w:r>
      <w:r>
        <w:rPr>
          <w:rStyle w:val="default"/>
          <w:rFonts w:cs="FrankRuehl" w:hint="cs"/>
          <w:rtl/>
        </w:rPr>
        <w:t>ה המזיק מבוטח בשל חבותו למוטב, רשאי המיטיב להיפרע לפי חוק זה מן המבטח במידה שהמבטח אחראי כלפי המזיק.</w:t>
      </w:r>
    </w:p>
    <w:p w:rsidR="00CC02F0" w:rsidRDefault="00CC02F0">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4.3pt;z-index:251659264" o:allowincell="f" filled="f" stroked="f" strokecolor="lime" strokeweight=".25pt">
            <v:textbox style="mso-next-textbox:#_x0000_s1032" inset="0,0,0,0">
              <w:txbxContent>
                <w:p w:rsidR="00CC02F0" w:rsidRDefault="00CC02F0">
                  <w:pPr>
                    <w:spacing w:line="160" w:lineRule="exact"/>
                    <w:jc w:val="left"/>
                    <w:rPr>
                      <w:rFonts w:cs="Miriam"/>
                      <w:noProof/>
                      <w:sz w:val="18"/>
                      <w:szCs w:val="18"/>
                      <w:rtl/>
                    </w:rPr>
                  </w:pPr>
                  <w:r>
                    <w:rPr>
                      <w:rFonts w:cs="Miriam"/>
                      <w:sz w:val="18"/>
                      <w:szCs w:val="18"/>
                      <w:rtl/>
                    </w:rPr>
                    <w:t>זכ</w:t>
                  </w:r>
                  <w:r>
                    <w:rPr>
                      <w:rFonts w:cs="Miriam" w:hint="cs"/>
                      <w:sz w:val="18"/>
                      <w:szCs w:val="18"/>
                      <w:rtl/>
                    </w:rPr>
                    <w:t>ותו של המוטב</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יהא המיטיב זכאי לתבוע מן המזיק לפי חוק זה כל סכום מהטבת הנזק ששולם לו ע</w:t>
      </w:r>
      <w:r>
        <w:rPr>
          <w:rStyle w:val="default"/>
          <w:rFonts w:cs="FrankRuehl"/>
          <w:rtl/>
        </w:rPr>
        <w:t xml:space="preserve">ל </w:t>
      </w:r>
      <w:r>
        <w:rPr>
          <w:rStyle w:val="default"/>
          <w:rFonts w:cs="FrankRuehl" w:hint="cs"/>
          <w:rtl/>
        </w:rPr>
        <w:t>ידי המוטב, והמוטב רשאי להיפרע אותו סכום מן המזיק.</w:t>
      </w:r>
    </w:p>
    <w:p w:rsidR="00CC02F0" w:rsidRDefault="00CC02F0">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8pt;z-index:251660288" o:allowincell="f" filled="f" stroked="f" strokecolor="lime" strokeweight=".25pt">
            <v:textbox style="mso-next-textbox:#_x0000_s1033" inset="0,0,0,0">
              <w:txbxContent>
                <w:p w:rsidR="00CC02F0" w:rsidRDefault="00CC02F0">
                  <w:pPr>
                    <w:spacing w:line="160" w:lineRule="exact"/>
                    <w:jc w:val="left"/>
                    <w:rPr>
                      <w:rFonts w:cs="Miriam"/>
                      <w:noProof/>
                      <w:sz w:val="18"/>
                      <w:szCs w:val="18"/>
                      <w:rtl/>
                    </w:rPr>
                  </w:pPr>
                  <w:r>
                    <w:rPr>
                      <w:rFonts w:cs="Miriam"/>
                      <w:sz w:val="18"/>
                      <w:szCs w:val="18"/>
                      <w:rtl/>
                    </w:rPr>
                    <w:t>שמ</w:t>
                  </w:r>
                  <w:r>
                    <w:rPr>
                      <w:rFonts w:cs="Miriam" w:hint="cs"/>
                      <w:sz w:val="18"/>
                      <w:szCs w:val="18"/>
                      <w:rtl/>
                    </w:rPr>
                    <w:t>ירת תבי</w:t>
                  </w:r>
                  <w:r>
                    <w:rPr>
                      <w:rFonts w:cs="Miriam"/>
                      <w:sz w:val="18"/>
                      <w:szCs w:val="18"/>
                      <w:rtl/>
                    </w:rPr>
                    <w:t>עו</w:t>
                  </w:r>
                  <w:r>
                    <w:rPr>
                      <w:rFonts w:cs="Miriam" w:hint="cs"/>
                      <w:sz w:val="18"/>
                      <w:szCs w:val="18"/>
                      <w:rtl/>
                    </w:rPr>
                    <w:t>ת אחרות</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ן חוק זה בא לגרוע מזכותו של מיטיב לתבוע את הטבת הנזק לפי עילה אחרת, ובלבד שלא יגבה לפי כל תביעותיו יותר מסכום הטבת הנזק.</w:t>
      </w:r>
    </w:p>
    <w:p w:rsidR="00CC02F0" w:rsidRDefault="00CC02F0">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2.2pt;z-index:251661312" o:allowincell="f" filled="f" stroked="f" strokecolor="lime" strokeweight=".25pt">
            <v:textbox style="mso-next-textbox:#_x0000_s1034" inset="0,0,0,0">
              <w:txbxContent>
                <w:p w:rsidR="00CC02F0" w:rsidRDefault="00CC02F0">
                  <w:pPr>
                    <w:spacing w:line="160" w:lineRule="exact"/>
                    <w:jc w:val="left"/>
                    <w:rPr>
                      <w:rFonts w:cs="Miriam"/>
                      <w:noProof/>
                      <w:sz w:val="18"/>
                      <w:szCs w:val="18"/>
                      <w:rtl/>
                    </w:rPr>
                  </w:pPr>
                  <w:r>
                    <w:rPr>
                      <w:rFonts w:cs="Miriam"/>
                      <w:sz w:val="18"/>
                      <w:szCs w:val="18"/>
                      <w:rtl/>
                    </w:rPr>
                    <w:t>קב</w:t>
                  </w:r>
                  <w:r>
                    <w:rPr>
                      <w:rFonts w:cs="Miriam" w:hint="cs"/>
                      <w:sz w:val="18"/>
                      <w:szCs w:val="18"/>
                      <w:rtl/>
                    </w:rPr>
                    <w:t>יעת בית משפט כראיה</w:t>
                  </w:r>
                </w:p>
              </w:txbxContent>
            </v:textbox>
            <w10:anchorlock/>
          </v:rect>
        </w:pict>
      </w:r>
      <w:r>
        <w:rPr>
          <w:rStyle w:val="big-number"/>
          <w:rFonts w:cs="Miriam"/>
          <w:rtl/>
        </w:rPr>
        <w:t>9.</w:t>
      </w:r>
      <w:r>
        <w:rPr>
          <w:rStyle w:val="big-number"/>
          <w:rFonts w:cs="Miriam"/>
          <w:rtl/>
        </w:rPr>
        <w:tab/>
      </w:r>
      <w:r>
        <w:rPr>
          <w:rStyle w:val="default"/>
          <w:rFonts w:cs="FrankRuehl"/>
          <w:rtl/>
        </w:rPr>
        <w:t>בי</w:t>
      </w:r>
      <w:r>
        <w:rPr>
          <w:rStyle w:val="default"/>
          <w:rFonts w:cs="FrankRuehl" w:hint="cs"/>
          <w:rtl/>
        </w:rPr>
        <w:t>ת משפט הדן בתביעה לפי חוק זה רשאי, לבקשת המיטיב, לקבל כראיה על אחריות ל</w:t>
      </w:r>
      <w:r>
        <w:rPr>
          <w:rStyle w:val="default"/>
          <w:rFonts w:cs="FrankRuehl"/>
          <w:rtl/>
        </w:rPr>
        <w:t>נז</w:t>
      </w:r>
      <w:r>
        <w:rPr>
          <w:rStyle w:val="default"/>
          <w:rFonts w:cs="FrankRuehl" w:hint="cs"/>
          <w:rtl/>
        </w:rPr>
        <w:t>ק ועל רשלנות תורמת כל קביעה לענין זה בפסק דין שניתן בתביעת פיצויים עקב אותו נזק ואין עליו ערעור עוד.</w:t>
      </w:r>
    </w:p>
    <w:p w:rsidR="00CC02F0" w:rsidRDefault="00CC02F0">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8pt;z-index:251662336" o:allowincell="f" filled="f" stroked="f" strokecolor="lime" strokeweight=".25pt">
            <v:textbox style="mso-next-textbox:#_x0000_s1035" inset="0,0,0,0">
              <w:txbxContent>
                <w:p w:rsidR="00CC02F0" w:rsidRDefault="00CC02F0">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10.</w:t>
      </w:r>
      <w:r>
        <w:rPr>
          <w:rStyle w:val="big-number"/>
          <w:rFonts w:cs="Miriam"/>
          <w:rtl/>
        </w:rPr>
        <w:tab/>
      </w:r>
      <w:r>
        <w:rPr>
          <w:rStyle w:val="default"/>
          <w:rFonts w:cs="FrankRuehl"/>
          <w:rtl/>
        </w:rPr>
        <w:t>חו</w:t>
      </w:r>
      <w:r>
        <w:rPr>
          <w:rStyle w:val="default"/>
          <w:rFonts w:cs="FrankRuehl" w:hint="cs"/>
          <w:rtl/>
        </w:rPr>
        <w:t>ק זה חל גם על המדינה.</w:t>
      </w:r>
    </w:p>
    <w:p w:rsidR="00CC02F0" w:rsidRDefault="00CC02F0">
      <w:pPr>
        <w:pStyle w:val="P00"/>
        <w:spacing w:before="72"/>
        <w:ind w:left="0" w:right="1134"/>
        <w:rPr>
          <w:rStyle w:val="default"/>
          <w:rFonts w:cs="FrankRuehl"/>
          <w:rtl/>
        </w:rPr>
      </w:pPr>
    </w:p>
    <w:p w:rsidR="00CC02F0" w:rsidRDefault="00CC02F0">
      <w:pPr>
        <w:pStyle w:val="P00"/>
        <w:spacing w:before="72"/>
        <w:ind w:left="0" w:right="1134"/>
        <w:rPr>
          <w:rStyle w:val="default"/>
          <w:rFonts w:cs="FrankRuehl"/>
          <w:rtl/>
        </w:rPr>
      </w:pPr>
    </w:p>
    <w:p w:rsidR="00CC02F0" w:rsidRDefault="00CC02F0" w:rsidP="00E76CE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ל</w:t>
      </w:r>
      <w:r>
        <w:rPr>
          <w:rFonts w:cs="FrankRuehl" w:hint="cs"/>
          <w:sz w:val="26"/>
          <w:szCs w:val="26"/>
          <w:rtl/>
        </w:rPr>
        <w:t>וי אשכול</w:t>
      </w:r>
    </w:p>
    <w:p w:rsidR="00CC02F0" w:rsidRDefault="00CC02F0" w:rsidP="00E76CE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CC02F0" w:rsidRDefault="00CC02F0" w:rsidP="00E76CE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ש</w:t>
      </w:r>
      <w:r>
        <w:rPr>
          <w:rFonts w:cs="FrankRuehl" w:hint="cs"/>
          <w:sz w:val="26"/>
          <w:szCs w:val="26"/>
          <w:rtl/>
        </w:rPr>
        <w:t>ניאור זלמן שזר</w:t>
      </w:r>
      <w:r>
        <w:rPr>
          <w:rFonts w:cs="FrankRuehl"/>
          <w:sz w:val="26"/>
          <w:szCs w:val="26"/>
          <w:rtl/>
        </w:rPr>
        <w:tab/>
      </w:r>
      <w:r>
        <w:rPr>
          <w:rFonts w:cs="FrankRuehl"/>
          <w:sz w:val="26"/>
          <w:szCs w:val="26"/>
          <w:rtl/>
        </w:rPr>
        <w:tab/>
        <w:t>ד</w:t>
      </w:r>
      <w:r>
        <w:rPr>
          <w:rFonts w:cs="FrankRuehl" w:hint="cs"/>
          <w:sz w:val="26"/>
          <w:szCs w:val="26"/>
          <w:rtl/>
        </w:rPr>
        <w:t>ב יוסף</w:t>
      </w:r>
    </w:p>
    <w:p w:rsidR="00CC02F0" w:rsidRDefault="00CC02F0" w:rsidP="00E76CE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ש</w:t>
      </w:r>
      <w:r>
        <w:rPr>
          <w:rFonts w:cs="FrankRuehl" w:hint="cs"/>
          <w:sz w:val="22"/>
          <w:rtl/>
        </w:rPr>
        <w:t>ר המשפטים</w:t>
      </w:r>
    </w:p>
    <w:p w:rsidR="00CC02F0" w:rsidRDefault="00CC02F0">
      <w:pPr>
        <w:pStyle w:val="P00"/>
        <w:spacing w:before="72"/>
        <w:ind w:left="0" w:right="1134"/>
        <w:rPr>
          <w:rStyle w:val="default"/>
          <w:rFonts w:cs="FrankRuehl"/>
          <w:rtl/>
        </w:rPr>
      </w:pPr>
    </w:p>
    <w:p w:rsidR="00CC02F0" w:rsidRDefault="00CC02F0">
      <w:pPr>
        <w:pStyle w:val="P00"/>
        <w:spacing w:before="72"/>
        <w:ind w:left="0" w:right="1134"/>
        <w:rPr>
          <w:rStyle w:val="default"/>
          <w:rFonts w:cs="FrankRuehl"/>
          <w:rtl/>
        </w:rPr>
      </w:pPr>
    </w:p>
    <w:p w:rsidR="00A3179B" w:rsidRDefault="00A3179B">
      <w:pPr>
        <w:pStyle w:val="P00"/>
        <w:spacing w:before="72"/>
        <w:ind w:left="0" w:right="1134"/>
        <w:rPr>
          <w:rStyle w:val="default"/>
          <w:rFonts w:cs="FrankRuehl"/>
          <w:rtl/>
        </w:rPr>
      </w:pPr>
    </w:p>
    <w:p w:rsidR="00612781" w:rsidRDefault="00612781" w:rsidP="00612781">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CC02F0" w:rsidRPr="00612781" w:rsidRDefault="00CC02F0" w:rsidP="00612781">
      <w:pPr>
        <w:pStyle w:val="P00"/>
        <w:spacing w:before="72"/>
        <w:ind w:left="0" w:right="1134"/>
        <w:jc w:val="center"/>
        <w:rPr>
          <w:rStyle w:val="default"/>
          <w:rFonts w:cs="David"/>
          <w:color w:val="0000FF"/>
          <w:szCs w:val="24"/>
          <w:u w:val="single"/>
          <w:rtl/>
        </w:rPr>
      </w:pPr>
    </w:p>
    <w:sectPr w:rsidR="00CC02F0" w:rsidRPr="00612781">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19AF" w:rsidRDefault="005B19AF">
      <w:r>
        <w:separator/>
      </w:r>
    </w:p>
  </w:endnote>
  <w:endnote w:type="continuationSeparator" w:id="0">
    <w:p w:rsidR="005B19AF" w:rsidRDefault="005B1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2F0" w:rsidRDefault="00CC02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C02F0" w:rsidRDefault="00CC02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C02F0" w:rsidRDefault="00CC02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2781">
      <w:rPr>
        <w:rFonts w:cs="TopType Jerushalmi"/>
        <w:noProof/>
        <w:color w:val="000000"/>
        <w:sz w:val="14"/>
        <w:szCs w:val="14"/>
      </w:rPr>
      <w:t>Z:\00000000000000000000000=2014------------------------\LawsForTableRun\04\306_005.doc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2F0" w:rsidRDefault="00CC02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6CE0">
      <w:rPr>
        <w:rFonts w:hAnsi="FrankRuehl" w:cs="FrankRuehl"/>
        <w:noProof/>
        <w:sz w:val="24"/>
        <w:szCs w:val="24"/>
        <w:rtl/>
      </w:rPr>
      <w:t>2</w:t>
    </w:r>
    <w:r>
      <w:rPr>
        <w:rFonts w:hAnsi="FrankRuehl" w:cs="FrankRuehl"/>
        <w:sz w:val="24"/>
        <w:szCs w:val="24"/>
        <w:rtl/>
      </w:rPr>
      <w:fldChar w:fldCharType="end"/>
    </w:r>
  </w:p>
  <w:p w:rsidR="00CC02F0" w:rsidRDefault="00CC02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C02F0" w:rsidRDefault="00CC02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2781">
      <w:rPr>
        <w:rFonts w:cs="TopType Jerushalmi"/>
        <w:noProof/>
        <w:color w:val="000000"/>
        <w:sz w:val="14"/>
        <w:szCs w:val="14"/>
      </w:rPr>
      <w:t>Z:\00000000000000000000000=2014------------------------\LawsForTableRun\04\306_005.doc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19AF" w:rsidRDefault="005B19AF">
      <w:pPr>
        <w:spacing w:before="60" w:line="240" w:lineRule="auto"/>
        <w:ind w:right="1134"/>
      </w:pPr>
      <w:r>
        <w:separator/>
      </w:r>
    </w:p>
  </w:footnote>
  <w:footnote w:type="continuationSeparator" w:id="0">
    <w:p w:rsidR="005B19AF" w:rsidRDefault="005B19AF">
      <w:pPr>
        <w:spacing w:before="60" w:line="240" w:lineRule="auto"/>
        <w:ind w:right="1134"/>
      </w:pPr>
      <w:r>
        <w:separator/>
      </w:r>
    </w:p>
  </w:footnote>
  <w:footnote w:id="1">
    <w:p w:rsidR="00CC02F0" w:rsidRDefault="00CC02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תשכ"ד מס' 423</w:t>
        </w:r>
      </w:hyperlink>
      <w:r>
        <w:rPr>
          <w:rFonts w:cs="FrankRuehl" w:hint="cs"/>
          <w:rtl/>
        </w:rPr>
        <w:t xml:space="preserve"> מיום 2.4.1964 עמ' 77 (</w:t>
      </w:r>
      <w:hyperlink r:id="rId2" w:history="1">
        <w:r>
          <w:rPr>
            <w:rStyle w:val="Hyperlink"/>
            <w:rFonts w:cs="FrankRuehl" w:hint="cs"/>
            <w:rtl/>
          </w:rPr>
          <w:t>ה"ח תשכ"ג מס' 540</w:t>
        </w:r>
      </w:hyperlink>
      <w:r>
        <w:rPr>
          <w:rFonts w:cs="FrankRuehl" w:hint="cs"/>
          <w:rtl/>
        </w:rPr>
        <w:t xml:space="preserve"> עמ' 126).</w:t>
      </w:r>
    </w:p>
    <w:p w:rsidR="00CC02F0" w:rsidRDefault="00CC02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תשל"ט מס' 924</w:t>
        </w:r>
      </w:hyperlink>
      <w:r>
        <w:rPr>
          <w:rFonts w:cs="FrankRuehl" w:hint="cs"/>
          <w:rtl/>
        </w:rPr>
        <w:t xml:space="preserve"> מיום 1.2.1979 עמ' 42 (</w:t>
      </w:r>
      <w:hyperlink r:id="rId4" w:history="1">
        <w:r>
          <w:rPr>
            <w:rStyle w:val="Hyperlink"/>
            <w:rFonts w:cs="FrankRuehl" w:hint="cs"/>
            <w:rtl/>
          </w:rPr>
          <w:t>ה"ח תשל"ח מס' 1353</w:t>
        </w:r>
      </w:hyperlink>
      <w:r>
        <w:rPr>
          <w:rFonts w:cs="FrankRuehl" w:hint="cs"/>
          <w:rtl/>
        </w:rPr>
        <w:t xml:space="preserve"> עמ' 267) </w:t>
      </w:r>
      <w:r>
        <w:rPr>
          <w:rFonts w:cs="FrankRuehl"/>
          <w:rtl/>
        </w:rPr>
        <w:t>–</w:t>
      </w:r>
      <w:r>
        <w:rPr>
          <w:rFonts w:cs="FrankRuehl" w:hint="cs"/>
          <w:rtl/>
        </w:rPr>
        <w:t xml:space="preserve"> תיקון מס' 1 בסעיף 7 לחוק עשית עושר ולא</w:t>
      </w:r>
      <w:r>
        <w:rPr>
          <w:rFonts w:cs="FrankRuehl"/>
          <w:rtl/>
        </w:rPr>
        <w:t xml:space="preserve"> </w:t>
      </w:r>
      <w:r>
        <w:rPr>
          <w:rFonts w:cs="FrankRuehl" w:hint="cs"/>
          <w:rtl/>
        </w:rPr>
        <w:t>במשפט, תשל"ט-</w:t>
      </w:r>
      <w:r>
        <w:rPr>
          <w:rFonts w:cs="FrankRuehl"/>
          <w:rtl/>
        </w:rPr>
        <w:t>1979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2F0" w:rsidRDefault="00CC02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דיני הנזיקין האזרחיים (הטבת נזקי גוף), תשכ"ד–1964</w:t>
    </w:r>
  </w:p>
  <w:p w:rsidR="00CC02F0" w:rsidRDefault="00CC02F0">
    <w:pPr>
      <w:pStyle w:val="a3"/>
      <w:pBdr>
        <w:top w:val="single" w:sz="4" w:space="0" w:color="auto"/>
      </w:pBdr>
      <w:spacing w:line="220" w:lineRule="exact"/>
      <w:ind w:right="1134"/>
      <w:jc w:val="center"/>
      <w:rPr>
        <w:rFonts w:hAnsi="FrankRuehl" w:cs="FrankRuehl"/>
        <w:color w:val="000000"/>
        <w:sz w:val="26"/>
        <w:szCs w:val="26"/>
        <w:rtl/>
      </w:rPr>
    </w:pPr>
  </w:p>
  <w:p w:rsidR="00CC02F0" w:rsidRDefault="00CC02F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2F0" w:rsidRDefault="00CC02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דיני הנזיקין האזרחיים (הטבת נזקי גוף), תשכ"ד</w:t>
    </w:r>
    <w:r>
      <w:rPr>
        <w:rFonts w:hAnsi="FrankRuehl" w:cs="FrankRuehl" w:hint="cs"/>
        <w:color w:val="000000"/>
        <w:sz w:val="28"/>
        <w:szCs w:val="28"/>
        <w:rtl/>
      </w:rPr>
      <w:t>-</w:t>
    </w:r>
    <w:r>
      <w:rPr>
        <w:rFonts w:hAnsi="FrankRuehl" w:cs="FrankRuehl"/>
        <w:color w:val="000000"/>
        <w:sz w:val="28"/>
        <w:szCs w:val="28"/>
        <w:rtl/>
      </w:rPr>
      <w:t>1964</w:t>
    </w:r>
  </w:p>
  <w:p w:rsidR="00CC02F0" w:rsidRDefault="00CC02F0">
    <w:pPr>
      <w:pStyle w:val="a3"/>
      <w:pBdr>
        <w:top w:val="single" w:sz="4" w:space="0" w:color="auto"/>
      </w:pBdr>
      <w:spacing w:line="220" w:lineRule="exact"/>
      <w:ind w:right="1134"/>
      <w:jc w:val="center"/>
      <w:rPr>
        <w:rFonts w:hAnsi="FrankRuehl" w:cs="FrankRuehl"/>
        <w:color w:val="000000"/>
        <w:sz w:val="26"/>
        <w:szCs w:val="26"/>
        <w:rtl/>
      </w:rPr>
    </w:pPr>
  </w:p>
  <w:p w:rsidR="00CC02F0" w:rsidRDefault="00CC02F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152A"/>
    <w:rsid w:val="00344C90"/>
    <w:rsid w:val="005B19AF"/>
    <w:rsid w:val="00612781"/>
    <w:rsid w:val="00A3179B"/>
    <w:rsid w:val="00CA152A"/>
    <w:rsid w:val="00CC02F0"/>
    <w:rsid w:val="00E76C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2E41085-6762-4AAE-B436-E4E58CCF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customStyle="1" w:styleId="P22">
    <w:name w:val="P22"/>
    <w:basedOn w:val="P00"/>
    <w:pPr>
      <w:tabs>
        <w:tab w:val="clear" w:pos="624"/>
        <w:tab w:val="clear" w:pos="1021"/>
      </w:tabs>
      <w:ind w:right="1021"/>
    </w:p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7/PROP-135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92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924.pdf" TargetMode="External"/><Relationship Id="rId2" Type="http://schemas.openxmlformats.org/officeDocument/2006/relationships/hyperlink" Target="http://www.nevo.co.il/Law_word/law17/PROP-0540.pdf" TargetMode="External"/><Relationship Id="rId1" Type="http://schemas.openxmlformats.org/officeDocument/2006/relationships/hyperlink" Target="http://www.nevo.co.il/Law_word/law14/LAW-0423.pdf" TargetMode="External"/><Relationship Id="rId4" Type="http://schemas.openxmlformats.org/officeDocument/2006/relationships/hyperlink" Target="http://www.nevo.co.il/Law_word/law17/PROP-13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3518</CharactersWithSpaces>
  <SharedDoc>false</SharedDoc>
  <HLinks>
    <vt:vector size="96" baseType="variant">
      <vt:variant>
        <vt:i4>393283</vt:i4>
      </vt:variant>
      <vt:variant>
        <vt:i4>60</vt:i4>
      </vt:variant>
      <vt:variant>
        <vt:i4>0</vt:i4>
      </vt:variant>
      <vt:variant>
        <vt:i4>5</vt:i4>
      </vt:variant>
      <vt:variant>
        <vt:lpwstr>http://www.nevo.co.il/advertisements/nevo-100.doc</vt:lpwstr>
      </vt:variant>
      <vt:variant>
        <vt:lpwstr/>
      </vt:variant>
      <vt:variant>
        <vt:i4>589945</vt:i4>
      </vt:variant>
      <vt:variant>
        <vt:i4>57</vt:i4>
      </vt:variant>
      <vt:variant>
        <vt:i4>0</vt:i4>
      </vt:variant>
      <vt:variant>
        <vt:i4>5</vt:i4>
      </vt:variant>
      <vt:variant>
        <vt:lpwstr>http://www.nevo.co.il/Law_word/law17/PROP-1353.pdf</vt:lpwstr>
      </vt:variant>
      <vt:variant>
        <vt:lpwstr/>
      </vt:variant>
      <vt:variant>
        <vt:i4>8192004</vt:i4>
      </vt:variant>
      <vt:variant>
        <vt:i4>54</vt:i4>
      </vt:variant>
      <vt:variant>
        <vt:i4>0</vt:i4>
      </vt:variant>
      <vt:variant>
        <vt:i4>5</vt:i4>
      </vt:variant>
      <vt:variant>
        <vt:lpwstr>http://www.nevo.co.il/Law_word/law14/LAW-0924.pdf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589945</vt:i4>
      </vt:variant>
      <vt:variant>
        <vt:i4>9</vt:i4>
      </vt:variant>
      <vt:variant>
        <vt:i4>0</vt:i4>
      </vt:variant>
      <vt:variant>
        <vt:i4>5</vt:i4>
      </vt:variant>
      <vt:variant>
        <vt:lpwstr>http://www.nevo.co.il/Law_word/law17/PROP-1353.pdf</vt:lpwstr>
      </vt:variant>
      <vt:variant>
        <vt:lpwstr/>
      </vt:variant>
      <vt:variant>
        <vt:i4>8192004</vt:i4>
      </vt:variant>
      <vt:variant>
        <vt:i4>6</vt:i4>
      </vt:variant>
      <vt:variant>
        <vt:i4>0</vt:i4>
      </vt:variant>
      <vt:variant>
        <vt:i4>5</vt:i4>
      </vt:variant>
      <vt:variant>
        <vt:lpwstr>http://www.nevo.co.il/Law_word/law14/LAW-0924.pdf</vt:lpwstr>
      </vt:variant>
      <vt:variant>
        <vt:lpwstr/>
      </vt:variant>
      <vt:variant>
        <vt:i4>786553</vt:i4>
      </vt:variant>
      <vt:variant>
        <vt:i4>3</vt:i4>
      </vt:variant>
      <vt:variant>
        <vt:i4>0</vt:i4>
      </vt:variant>
      <vt:variant>
        <vt:i4>5</vt:i4>
      </vt:variant>
      <vt:variant>
        <vt:lpwstr>http://www.nevo.co.il/Law_word/law17/PROP-0540.pdf</vt:lpwstr>
      </vt:variant>
      <vt:variant>
        <vt:lpwstr/>
      </vt:variant>
      <vt:variant>
        <vt:i4>8192014</vt:i4>
      </vt:variant>
      <vt:variant>
        <vt:i4>0</vt:i4>
      </vt:variant>
      <vt:variant>
        <vt:i4>0</vt:i4>
      </vt:variant>
      <vt:variant>
        <vt:i4>5</vt:i4>
      </vt:variant>
      <vt:variant>
        <vt:lpwstr>http://www.nevo.co.il/Law_word/law14/LAW-0423.pdf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0306</vt:lpwstr>
  </property>
  <property fmtid="{D5CDD505-2E9C-101B-9397-08002B2CF9AE}" pid="3" name="CHNAME">
    <vt:lpwstr>נזיקין אזרחיים</vt:lpwstr>
  </property>
  <property fmtid="{D5CDD505-2E9C-101B-9397-08002B2CF9AE}" pid="4" name="LAWNAME">
    <vt:lpwstr>חוק לתיקון דיני הנזיקין האזרחיים (הטבת נזקי גוף), תשכ"ד-1964</vt:lpwstr>
  </property>
  <property fmtid="{D5CDD505-2E9C-101B-9397-08002B2CF9AE}" pid="5" name="LAWNUMBER">
    <vt:lpwstr>0005</vt:lpwstr>
  </property>
  <property fmtid="{D5CDD505-2E9C-101B-9397-08002B2CF9AE}" pid="6" name="TYPE">
    <vt:lpwstr>01</vt:lpwstr>
  </property>
  <property fmtid="{D5CDD505-2E9C-101B-9397-08002B2CF9AE}" pid="7" name="WORDNUMPAGES">
    <vt:lpwstr>2</vt:lpwstr>
  </property>
  <property fmtid="{D5CDD505-2E9C-101B-9397-08002B2CF9AE}" pid="8" name="NOSE11">
    <vt:lpwstr>משפט פרטי וכלכלה</vt:lpwstr>
  </property>
  <property fmtid="{D5CDD505-2E9C-101B-9397-08002B2CF9AE}" pid="9" name="NOSE21">
    <vt:lpwstr>חיובים</vt:lpwstr>
  </property>
  <property fmtid="{D5CDD505-2E9C-101B-9397-08002B2CF9AE}" pid="10" name="NOSE31">
    <vt:lpwstr>נזיקין</vt:lpwstr>
  </property>
  <property fmtid="{D5CDD505-2E9C-101B-9397-08002B2CF9AE}" pid="11" name="NOSE41">
    <vt:lpwstr>נזקי גוף</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