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AAA2" w14:textId="77777777" w:rsidR="00F67193" w:rsidRDefault="00F67193" w:rsidP="00F67193">
      <w:pPr>
        <w:pStyle w:val="big-header"/>
        <w:ind w:left="0" w:right="1134"/>
        <w:rPr>
          <w:rFonts w:hint="cs"/>
          <w:sz w:val="32"/>
          <w:rtl/>
        </w:rPr>
      </w:pPr>
      <w:r>
        <w:rPr>
          <w:rtl/>
        </w:rPr>
        <w:t>ח</w:t>
      </w:r>
      <w:r>
        <w:rPr>
          <w:rFonts w:hint="cs"/>
          <w:rtl/>
        </w:rPr>
        <w:t>וק לתיקון סדרי הדין האזרחי (המדינה כ</w:t>
      </w:r>
      <w:r>
        <w:rPr>
          <w:rtl/>
        </w:rPr>
        <w:t>ב</w:t>
      </w:r>
      <w:r>
        <w:rPr>
          <w:rFonts w:hint="cs"/>
          <w:rtl/>
        </w:rPr>
        <w:t>על דין), תשי"ח-1958</w:t>
      </w:r>
    </w:p>
    <w:p w14:paraId="6458DE6B" w14:textId="77777777" w:rsidR="006A625C" w:rsidRDefault="006A625C" w:rsidP="006A625C">
      <w:pPr>
        <w:spacing w:line="320" w:lineRule="auto"/>
        <w:jc w:val="left"/>
        <w:rPr>
          <w:rFonts w:hint="cs"/>
          <w:rtl/>
        </w:rPr>
      </w:pPr>
    </w:p>
    <w:p w14:paraId="40599958" w14:textId="77777777" w:rsidR="000A5CD0" w:rsidRDefault="000A5CD0" w:rsidP="006A625C">
      <w:pPr>
        <w:spacing w:line="320" w:lineRule="auto"/>
        <w:jc w:val="left"/>
        <w:rPr>
          <w:rFonts w:hint="cs"/>
          <w:rtl/>
        </w:rPr>
      </w:pPr>
    </w:p>
    <w:p w14:paraId="485CA314" w14:textId="77777777" w:rsidR="006A625C" w:rsidRPr="006A625C" w:rsidRDefault="006A625C" w:rsidP="006A625C">
      <w:pPr>
        <w:spacing w:line="320" w:lineRule="auto"/>
        <w:jc w:val="left"/>
        <w:rPr>
          <w:rFonts w:cs="Miriam"/>
          <w:szCs w:val="22"/>
          <w:rtl/>
        </w:rPr>
      </w:pPr>
      <w:r w:rsidRPr="006A625C">
        <w:rPr>
          <w:rFonts w:cs="Miriam"/>
          <w:szCs w:val="22"/>
          <w:rtl/>
        </w:rPr>
        <w:t>בתי משפט וסדרי דין</w:t>
      </w:r>
      <w:r w:rsidRPr="006A625C">
        <w:rPr>
          <w:rFonts w:cs="FrankRuehl"/>
          <w:szCs w:val="26"/>
          <w:rtl/>
        </w:rPr>
        <w:t xml:space="preserve"> – סדר דין אזרחי – סדר דין בבי"ד שונים</w:t>
      </w:r>
    </w:p>
    <w:p w14:paraId="24E91580" w14:textId="77777777" w:rsidR="00F67193" w:rsidRDefault="00F67193" w:rsidP="00F67193">
      <w:pPr>
        <w:pStyle w:val="big-header"/>
        <w:ind w:left="0" w:right="1134"/>
        <w:rPr>
          <w:sz w:val="32"/>
          <w:rtl/>
        </w:rPr>
      </w:pPr>
      <w:r>
        <w:rPr>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3660" w:rsidRPr="00A93660" w14:paraId="5B108343" w14:textId="77777777" w:rsidTr="00A93660">
        <w:tblPrEx>
          <w:tblCellMar>
            <w:top w:w="0" w:type="dxa"/>
            <w:bottom w:w="0" w:type="dxa"/>
          </w:tblCellMar>
        </w:tblPrEx>
        <w:tc>
          <w:tcPr>
            <w:tcW w:w="1247" w:type="dxa"/>
          </w:tcPr>
          <w:p w14:paraId="1CEAA42C" w14:textId="77777777" w:rsidR="00A93660" w:rsidRPr="00A93660" w:rsidRDefault="00A93660" w:rsidP="00A93660">
            <w:pPr>
              <w:spacing w:line="240" w:lineRule="auto"/>
              <w:jc w:val="left"/>
              <w:rPr>
                <w:rFonts w:cs="Frankruhel"/>
                <w:sz w:val="24"/>
                <w:rtl/>
              </w:rPr>
            </w:pPr>
            <w:r>
              <w:rPr>
                <w:rFonts w:cs="Times New Roman"/>
                <w:sz w:val="24"/>
                <w:rtl/>
              </w:rPr>
              <w:t xml:space="preserve">סעיף 1 </w:t>
            </w:r>
          </w:p>
        </w:tc>
        <w:tc>
          <w:tcPr>
            <w:tcW w:w="5669" w:type="dxa"/>
          </w:tcPr>
          <w:p w14:paraId="70A8E933" w14:textId="77777777" w:rsidR="00A93660" w:rsidRPr="00A93660" w:rsidRDefault="00A93660" w:rsidP="00A93660">
            <w:pPr>
              <w:spacing w:line="240" w:lineRule="auto"/>
              <w:jc w:val="left"/>
              <w:rPr>
                <w:rFonts w:cs="Frankruhel"/>
                <w:sz w:val="24"/>
                <w:rtl/>
              </w:rPr>
            </w:pPr>
            <w:r>
              <w:rPr>
                <w:rFonts w:cs="Times New Roman"/>
                <w:sz w:val="24"/>
                <w:rtl/>
              </w:rPr>
              <w:t>הגדרות</w:t>
            </w:r>
          </w:p>
        </w:tc>
        <w:tc>
          <w:tcPr>
            <w:tcW w:w="567" w:type="dxa"/>
          </w:tcPr>
          <w:p w14:paraId="1B0732BB" w14:textId="77777777" w:rsidR="00A93660" w:rsidRPr="00A93660" w:rsidRDefault="00A93660" w:rsidP="00A93660">
            <w:pPr>
              <w:spacing w:line="240" w:lineRule="auto"/>
              <w:jc w:val="left"/>
              <w:rPr>
                <w:rStyle w:val="Hyperlink"/>
                <w:rtl/>
              </w:rPr>
            </w:pPr>
            <w:hyperlink w:anchor="Seif1" w:tooltip="הגדרות" w:history="1">
              <w:r w:rsidRPr="00A93660">
                <w:rPr>
                  <w:rStyle w:val="Hyperlink"/>
                </w:rPr>
                <w:t>Go</w:t>
              </w:r>
            </w:hyperlink>
          </w:p>
        </w:tc>
        <w:tc>
          <w:tcPr>
            <w:tcW w:w="850" w:type="dxa"/>
          </w:tcPr>
          <w:p w14:paraId="7E31E44E"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2B3F3E18" w14:textId="77777777" w:rsidTr="00A93660">
        <w:tblPrEx>
          <w:tblCellMar>
            <w:top w:w="0" w:type="dxa"/>
            <w:bottom w:w="0" w:type="dxa"/>
          </w:tblCellMar>
        </w:tblPrEx>
        <w:tc>
          <w:tcPr>
            <w:tcW w:w="1247" w:type="dxa"/>
          </w:tcPr>
          <w:p w14:paraId="23889628" w14:textId="77777777" w:rsidR="00A93660" w:rsidRPr="00A93660" w:rsidRDefault="00A93660" w:rsidP="00A93660">
            <w:pPr>
              <w:spacing w:line="240" w:lineRule="auto"/>
              <w:jc w:val="left"/>
              <w:rPr>
                <w:rFonts w:cs="Frankruhel"/>
                <w:sz w:val="24"/>
                <w:rtl/>
              </w:rPr>
            </w:pPr>
            <w:r>
              <w:rPr>
                <w:rFonts w:cs="Times New Roman"/>
                <w:sz w:val="24"/>
                <w:rtl/>
              </w:rPr>
              <w:t xml:space="preserve">סעיף 2 </w:t>
            </w:r>
          </w:p>
        </w:tc>
        <w:tc>
          <w:tcPr>
            <w:tcW w:w="5669" w:type="dxa"/>
          </w:tcPr>
          <w:p w14:paraId="49F536D3" w14:textId="77777777" w:rsidR="00A93660" w:rsidRPr="00A93660" w:rsidRDefault="00A93660" w:rsidP="00A93660">
            <w:pPr>
              <w:spacing w:line="240" w:lineRule="auto"/>
              <w:jc w:val="left"/>
              <w:rPr>
                <w:rFonts w:cs="Frankruhel"/>
                <w:sz w:val="24"/>
                <w:rtl/>
              </w:rPr>
            </w:pPr>
            <w:r>
              <w:rPr>
                <w:rFonts w:cs="Times New Roman"/>
                <w:sz w:val="24"/>
                <w:rtl/>
              </w:rPr>
              <w:t>דין המדינה לענין הליך</w:t>
            </w:r>
          </w:p>
        </w:tc>
        <w:tc>
          <w:tcPr>
            <w:tcW w:w="567" w:type="dxa"/>
          </w:tcPr>
          <w:p w14:paraId="5F4522A1" w14:textId="77777777" w:rsidR="00A93660" w:rsidRPr="00A93660" w:rsidRDefault="00A93660" w:rsidP="00A93660">
            <w:pPr>
              <w:spacing w:line="240" w:lineRule="auto"/>
              <w:jc w:val="left"/>
              <w:rPr>
                <w:rStyle w:val="Hyperlink"/>
                <w:rtl/>
              </w:rPr>
            </w:pPr>
            <w:hyperlink w:anchor="Seif2" w:tooltip="דין המדינה לענין הליך" w:history="1">
              <w:r w:rsidRPr="00A93660">
                <w:rPr>
                  <w:rStyle w:val="Hyperlink"/>
                </w:rPr>
                <w:t>Go</w:t>
              </w:r>
            </w:hyperlink>
          </w:p>
        </w:tc>
        <w:tc>
          <w:tcPr>
            <w:tcW w:w="850" w:type="dxa"/>
          </w:tcPr>
          <w:p w14:paraId="7A4E5C7E"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70182CA7" w14:textId="77777777" w:rsidTr="00A93660">
        <w:tblPrEx>
          <w:tblCellMar>
            <w:top w:w="0" w:type="dxa"/>
            <w:bottom w:w="0" w:type="dxa"/>
          </w:tblCellMar>
        </w:tblPrEx>
        <w:tc>
          <w:tcPr>
            <w:tcW w:w="1247" w:type="dxa"/>
          </w:tcPr>
          <w:p w14:paraId="343DDCFC" w14:textId="77777777" w:rsidR="00A93660" w:rsidRPr="00A93660" w:rsidRDefault="00A93660" w:rsidP="00A93660">
            <w:pPr>
              <w:spacing w:line="240" w:lineRule="auto"/>
              <w:jc w:val="left"/>
              <w:rPr>
                <w:rFonts w:cs="Frankruhel"/>
                <w:sz w:val="24"/>
                <w:rtl/>
              </w:rPr>
            </w:pPr>
            <w:r>
              <w:rPr>
                <w:rFonts w:cs="Times New Roman"/>
                <w:sz w:val="24"/>
                <w:rtl/>
              </w:rPr>
              <w:t xml:space="preserve">סעיף 3 </w:t>
            </w:r>
          </w:p>
        </w:tc>
        <w:tc>
          <w:tcPr>
            <w:tcW w:w="5669" w:type="dxa"/>
          </w:tcPr>
          <w:p w14:paraId="44538737" w14:textId="77777777" w:rsidR="00A93660" w:rsidRPr="00A93660" w:rsidRDefault="00A93660" w:rsidP="00A93660">
            <w:pPr>
              <w:spacing w:line="240" w:lineRule="auto"/>
              <w:jc w:val="left"/>
              <w:rPr>
                <w:rFonts w:cs="Frankruhel"/>
                <w:sz w:val="24"/>
                <w:rtl/>
              </w:rPr>
            </w:pPr>
            <w:r>
              <w:rPr>
                <w:rFonts w:cs="Times New Roman"/>
                <w:sz w:val="24"/>
                <w:rtl/>
              </w:rPr>
              <w:t>הליכים שהמדינה צד להם</w:t>
            </w:r>
          </w:p>
        </w:tc>
        <w:tc>
          <w:tcPr>
            <w:tcW w:w="567" w:type="dxa"/>
          </w:tcPr>
          <w:p w14:paraId="53771063" w14:textId="77777777" w:rsidR="00A93660" w:rsidRPr="00A93660" w:rsidRDefault="00A93660" w:rsidP="00A93660">
            <w:pPr>
              <w:spacing w:line="240" w:lineRule="auto"/>
              <w:jc w:val="left"/>
              <w:rPr>
                <w:rStyle w:val="Hyperlink"/>
                <w:rtl/>
              </w:rPr>
            </w:pPr>
            <w:hyperlink w:anchor="Seif3" w:tooltip="הליכים שהמדינה צד להם" w:history="1">
              <w:r w:rsidRPr="00A93660">
                <w:rPr>
                  <w:rStyle w:val="Hyperlink"/>
                </w:rPr>
                <w:t>Go</w:t>
              </w:r>
            </w:hyperlink>
          </w:p>
        </w:tc>
        <w:tc>
          <w:tcPr>
            <w:tcW w:w="850" w:type="dxa"/>
          </w:tcPr>
          <w:p w14:paraId="19BC83C7"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66FD4BF4" w14:textId="77777777" w:rsidTr="00A93660">
        <w:tblPrEx>
          <w:tblCellMar>
            <w:top w:w="0" w:type="dxa"/>
            <w:bottom w:w="0" w:type="dxa"/>
          </w:tblCellMar>
        </w:tblPrEx>
        <w:tc>
          <w:tcPr>
            <w:tcW w:w="1247" w:type="dxa"/>
          </w:tcPr>
          <w:p w14:paraId="6A75E7D2" w14:textId="77777777" w:rsidR="00A93660" w:rsidRPr="00A93660" w:rsidRDefault="00A93660" w:rsidP="00A93660">
            <w:pPr>
              <w:spacing w:line="240" w:lineRule="auto"/>
              <w:jc w:val="left"/>
              <w:rPr>
                <w:rFonts w:cs="Frankruhel"/>
                <w:sz w:val="24"/>
                <w:rtl/>
              </w:rPr>
            </w:pPr>
            <w:r>
              <w:rPr>
                <w:rFonts w:cs="Times New Roman"/>
                <w:sz w:val="24"/>
                <w:rtl/>
              </w:rPr>
              <w:t xml:space="preserve">סעיף 4 </w:t>
            </w:r>
          </w:p>
        </w:tc>
        <w:tc>
          <w:tcPr>
            <w:tcW w:w="5669" w:type="dxa"/>
          </w:tcPr>
          <w:p w14:paraId="484B4585" w14:textId="77777777" w:rsidR="00A93660" w:rsidRPr="00A93660" w:rsidRDefault="00A93660" w:rsidP="00A93660">
            <w:pPr>
              <w:spacing w:line="240" w:lineRule="auto"/>
              <w:jc w:val="left"/>
              <w:rPr>
                <w:rFonts w:cs="Frankruhel"/>
                <w:sz w:val="24"/>
                <w:rtl/>
              </w:rPr>
            </w:pPr>
            <w:r>
              <w:rPr>
                <w:rFonts w:cs="Times New Roman"/>
                <w:sz w:val="24"/>
                <w:rtl/>
              </w:rPr>
              <w:t>ייצוג המדינה</w:t>
            </w:r>
          </w:p>
        </w:tc>
        <w:tc>
          <w:tcPr>
            <w:tcW w:w="567" w:type="dxa"/>
          </w:tcPr>
          <w:p w14:paraId="0AB6DE2E" w14:textId="77777777" w:rsidR="00A93660" w:rsidRPr="00A93660" w:rsidRDefault="00A93660" w:rsidP="00A93660">
            <w:pPr>
              <w:spacing w:line="240" w:lineRule="auto"/>
              <w:jc w:val="left"/>
              <w:rPr>
                <w:rStyle w:val="Hyperlink"/>
                <w:rtl/>
              </w:rPr>
            </w:pPr>
            <w:hyperlink w:anchor="Seif4" w:tooltip="ייצוג המדינה" w:history="1">
              <w:r w:rsidRPr="00A93660">
                <w:rPr>
                  <w:rStyle w:val="Hyperlink"/>
                </w:rPr>
                <w:t>Go</w:t>
              </w:r>
            </w:hyperlink>
          </w:p>
        </w:tc>
        <w:tc>
          <w:tcPr>
            <w:tcW w:w="850" w:type="dxa"/>
          </w:tcPr>
          <w:p w14:paraId="24763C8A"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490D9789" w14:textId="77777777" w:rsidTr="00A93660">
        <w:tblPrEx>
          <w:tblCellMar>
            <w:top w:w="0" w:type="dxa"/>
            <w:bottom w:w="0" w:type="dxa"/>
          </w:tblCellMar>
        </w:tblPrEx>
        <w:tc>
          <w:tcPr>
            <w:tcW w:w="1247" w:type="dxa"/>
          </w:tcPr>
          <w:p w14:paraId="1E57B6F8" w14:textId="77777777" w:rsidR="00A93660" w:rsidRPr="00A93660" w:rsidRDefault="00A93660" w:rsidP="00A93660">
            <w:pPr>
              <w:spacing w:line="240" w:lineRule="auto"/>
              <w:jc w:val="left"/>
              <w:rPr>
                <w:rFonts w:cs="Frankruhel"/>
                <w:sz w:val="24"/>
                <w:rtl/>
              </w:rPr>
            </w:pPr>
            <w:r>
              <w:rPr>
                <w:rFonts w:cs="Times New Roman"/>
                <w:sz w:val="24"/>
                <w:rtl/>
              </w:rPr>
              <w:t xml:space="preserve">סעיף 6 </w:t>
            </w:r>
          </w:p>
        </w:tc>
        <w:tc>
          <w:tcPr>
            <w:tcW w:w="5669" w:type="dxa"/>
          </w:tcPr>
          <w:p w14:paraId="26130E14" w14:textId="77777777" w:rsidR="00A93660" w:rsidRPr="00A93660" w:rsidRDefault="00A93660" w:rsidP="00A93660">
            <w:pPr>
              <w:spacing w:line="240" w:lineRule="auto"/>
              <w:jc w:val="left"/>
              <w:rPr>
                <w:rFonts w:cs="Frankruhel"/>
                <w:sz w:val="24"/>
                <w:rtl/>
              </w:rPr>
            </w:pPr>
            <w:r>
              <w:rPr>
                <w:rFonts w:cs="Times New Roman"/>
                <w:sz w:val="24"/>
                <w:rtl/>
              </w:rPr>
              <w:t>ביצוע פסק דין לטובת המדינה</w:t>
            </w:r>
          </w:p>
        </w:tc>
        <w:tc>
          <w:tcPr>
            <w:tcW w:w="567" w:type="dxa"/>
          </w:tcPr>
          <w:p w14:paraId="440FE1C4" w14:textId="77777777" w:rsidR="00A93660" w:rsidRPr="00A93660" w:rsidRDefault="00A93660" w:rsidP="00A93660">
            <w:pPr>
              <w:spacing w:line="240" w:lineRule="auto"/>
              <w:jc w:val="left"/>
              <w:rPr>
                <w:rStyle w:val="Hyperlink"/>
                <w:rtl/>
              </w:rPr>
            </w:pPr>
            <w:hyperlink w:anchor="Seif5" w:tooltip="ביצוע פסק דין לטובת המדינה" w:history="1">
              <w:r w:rsidRPr="00A93660">
                <w:rPr>
                  <w:rStyle w:val="Hyperlink"/>
                </w:rPr>
                <w:t>Go</w:t>
              </w:r>
            </w:hyperlink>
          </w:p>
        </w:tc>
        <w:tc>
          <w:tcPr>
            <w:tcW w:w="850" w:type="dxa"/>
          </w:tcPr>
          <w:p w14:paraId="30550780"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09A1E350" w14:textId="77777777" w:rsidTr="00A93660">
        <w:tblPrEx>
          <w:tblCellMar>
            <w:top w:w="0" w:type="dxa"/>
            <w:bottom w:w="0" w:type="dxa"/>
          </w:tblCellMar>
        </w:tblPrEx>
        <w:tc>
          <w:tcPr>
            <w:tcW w:w="1247" w:type="dxa"/>
          </w:tcPr>
          <w:p w14:paraId="297B3B09" w14:textId="77777777" w:rsidR="00A93660" w:rsidRPr="00A93660" w:rsidRDefault="00A93660" w:rsidP="00A93660">
            <w:pPr>
              <w:spacing w:line="240" w:lineRule="auto"/>
              <w:jc w:val="left"/>
              <w:rPr>
                <w:rFonts w:cs="Frankruhel"/>
                <w:sz w:val="24"/>
                <w:rtl/>
              </w:rPr>
            </w:pPr>
            <w:r>
              <w:rPr>
                <w:rFonts w:cs="Times New Roman"/>
                <w:sz w:val="24"/>
                <w:rtl/>
              </w:rPr>
              <w:t xml:space="preserve">סעיף 6א </w:t>
            </w:r>
          </w:p>
        </w:tc>
        <w:tc>
          <w:tcPr>
            <w:tcW w:w="5669" w:type="dxa"/>
          </w:tcPr>
          <w:p w14:paraId="7794A10E" w14:textId="77777777" w:rsidR="00A93660" w:rsidRPr="00A93660" w:rsidRDefault="00A93660" w:rsidP="00A93660">
            <w:pPr>
              <w:spacing w:line="240" w:lineRule="auto"/>
              <w:jc w:val="left"/>
              <w:rPr>
                <w:rFonts w:cs="Frankruhel"/>
                <w:sz w:val="24"/>
                <w:rtl/>
              </w:rPr>
            </w:pPr>
            <w:r>
              <w:rPr>
                <w:rFonts w:cs="Times New Roman"/>
                <w:sz w:val="24"/>
                <w:rtl/>
              </w:rPr>
              <w:t>ביצוע פסק דין לטובת המדינה לפינוי או לסילוק יד ממקרקעי ישראל</w:t>
            </w:r>
          </w:p>
        </w:tc>
        <w:tc>
          <w:tcPr>
            <w:tcW w:w="567" w:type="dxa"/>
          </w:tcPr>
          <w:p w14:paraId="1BF39FA8" w14:textId="77777777" w:rsidR="00A93660" w:rsidRPr="00A93660" w:rsidRDefault="00A93660" w:rsidP="00A93660">
            <w:pPr>
              <w:spacing w:line="240" w:lineRule="auto"/>
              <w:jc w:val="left"/>
              <w:rPr>
                <w:rStyle w:val="Hyperlink"/>
                <w:rtl/>
              </w:rPr>
            </w:pPr>
            <w:hyperlink w:anchor="Seif14" w:tooltip="ביצוע פסק דין לטובת המדינה לפינוי או לסילוק יד ממקרקעי ישראל" w:history="1">
              <w:r w:rsidRPr="00A93660">
                <w:rPr>
                  <w:rStyle w:val="Hyperlink"/>
                </w:rPr>
                <w:t>Go</w:t>
              </w:r>
            </w:hyperlink>
          </w:p>
        </w:tc>
        <w:tc>
          <w:tcPr>
            <w:tcW w:w="850" w:type="dxa"/>
          </w:tcPr>
          <w:p w14:paraId="6C40B663"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0335759B" w14:textId="77777777" w:rsidTr="00A93660">
        <w:tblPrEx>
          <w:tblCellMar>
            <w:top w:w="0" w:type="dxa"/>
            <w:bottom w:w="0" w:type="dxa"/>
          </w:tblCellMar>
        </w:tblPrEx>
        <w:tc>
          <w:tcPr>
            <w:tcW w:w="1247" w:type="dxa"/>
          </w:tcPr>
          <w:p w14:paraId="229A248B" w14:textId="77777777" w:rsidR="00A93660" w:rsidRPr="00A93660" w:rsidRDefault="00A93660" w:rsidP="00A93660">
            <w:pPr>
              <w:spacing w:line="240" w:lineRule="auto"/>
              <w:jc w:val="left"/>
              <w:rPr>
                <w:rFonts w:cs="Frankruhel"/>
                <w:sz w:val="24"/>
                <w:rtl/>
              </w:rPr>
            </w:pPr>
            <w:r>
              <w:rPr>
                <w:rFonts w:cs="Times New Roman"/>
                <w:sz w:val="24"/>
                <w:rtl/>
              </w:rPr>
              <w:t xml:space="preserve">סעיף 7 </w:t>
            </w:r>
          </w:p>
        </w:tc>
        <w:tc>
          <w:tcPr>
            <w:tcW w:w="5669" w:type="dxa"/>
          </w:tcPr>
          <w:p w14:paraId="0E78AFFB" w14:textId="77777777" w:rsidR="00A93660" w:rsidRPr="00A93660" w:rsidRDefault="00A93660" w:rsidP="00A93660">
            <w:pPr>
              <w:spacing w:line="240" w:lineRule="auto"/>
              <w:jc w:val="left"/>
              <w:rPr>
                <w:rFonts w:cs="Frankruhel"/>
                <w:sz w:val="24"/>
                <w:rtl/>
              </w:rPr>
            </w:pPr>
            <w:r>
              <w:rPr>
                <w:rFonts w:cs="Times New Roman"/>
                <w:sz w:val="24"/>
                <w:rtl/>
              </w:rPr>
              <w:t>ביצוע פסק דין נגד המדינה</w:t>
            </w:r>
          </w:p>
        </w:tc>
        <w:tc>
          <w:tcPr>
            <w:tcW w:w="567" w:type="dxa"/>
          </w:tcPr>
          <w:p w14:paraId="4703EE99" w14:textId="77777777" w:rsidR="00A93660" w:rsidRPr="00A93660" w:rsidRDefault="00A93660" w:rsidP="00A93660">
            <w:pPr>
              <w:spacing w:line="240" w:lineRule="auto"/>
              <w:jc w:val="left"/>
              <w:rPr>
                <w:rStyle w:val="Hyperlink"/>
                <w:rtl/>
              </w:rPr>
            </w:pPr>
            <w:hyperlink w:anchor="Seif6" w:tooltip="ביצוע פסק דין נגד המדינה" w:history="1">
              <w:r w:rsidRPr="00A93660">
                <w:rPr>
                  <w:rStyle w:val="Hyperlink"/>
                </w:rPr>
                <w:t>Go</w:t>
              </w:r>
            </w:hyperlink>
          </w:p>
        </w:tc>
        <w:tc>
          <w:tcPr>
            <w:tcW w:w="850" w:type="dxa"/>
          </w:tcPr>
          <w:p w14:paraId="7CE5492E"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5A0573D8" w14:textId="77777777" w:rsidTr="00A93660">
        <w:tblPrEx>
          <w:tblCellMar>
            <w:top w:w="0" w:type="dxa"/>
            <w:bottom w:w="0" w:type="dxa"/>
          </w:tblCellMar>
        </w:tblPrEx>
        <w:tc>
          <w:tcPr>
            <w:tcW w:w="1247" w:type="dxa"/>
          </w:tcPr>
          <w:p w14:paraId="34ED7395" w14:textId="77777777" w:rsidR="00A93660" w:rsidRPr="00A93660" w:rsidRDefault="00A93660" w:rsidP="00A93660">
            <w:pPr>
              <w:spacing w:line="240" w:lineRule="auto"/>
              <w:jc w:val="left"/>
              <w:rPr>
                <w:rFonts w:cs="Frankruhel"/>
                <w:sz w:val="24"/>
                <w:rtl/>
              </w:rPr>
            </w:pPr>
            <w:r>
              <w:rPr>
                <w:rFonts w:cs="Times New Roman"/>
                <w:sz w:val="24"/>
                <w:rtl/>
              </w:rPr>
              <w:t xml:space="preserve">סעיף 8 </w:t>
            </w:r>
          </w:p>
        </w:tc>
        <w:tc>
          <w:tcPr>
            <w:tcW w:w="5669" w:type="dxa"/>
          </w:tcPr>
          <w:p w14:paraId="1477DE6B" w14:textId="77777777" w:rsidR="00A93660" w:rsidRPr="00A93660" w:rsidRDefault="00A93660" w:rsidP="00A93660">
            <w:pPr>
              <w:spacing w:line="240" w:lineRule="auto"/>
              <w:jc w:val="left"/>
              <w:rPr>
                <w:rFonts w:cs="Frankruhel"/>
                <w:sz w:val="24"/>
                <w:rtl/>
              </w:rPr>
            </w:pPr>
            <w:r>
              <w:rPr>
                <w:rFonts w:cs="Times New Roman"/>
                <w:sz w:val="24"/>
                <w:rtl/>
              </w:rPr>
              <w:t>סדרי דין ואגרות</w:t>
            </w:r>
          </w:p>
        </w:tc>
        <w:tc>
          <w:tcPr>
            <w:tcW w:w="567" w:type="dxa"/>
          </w:tcPr>
          <w:p w14:paraId="559C7DB2" w14:textId="77777777" w:rsidR="00A93660" w:rsidRPr="00A93660" w:rsidRDefault="00A93660" w:rsidP="00A93660">
            <w:pPr>
              <w:spacing w:line="240" w:lineRule="auto"/>
              <w:jc w:val="left"/>
              <w:rPr>
                <w:rStyle w:val="Hyperlink"/>
                <w:rtl/>
              </w:rPr>
            </w:pPr>
            <w:hyperlink w:anchor="Seif7" w:tooltip="סדרי דין ואגרות" w:history="1">
              <w:r w:rsidRPr="00A93660">
                <w:rPr>
                  <w:rStyle w:val="Hyperlink"/>
                </w:rPr>
                <w:t>Go</w:t>
              </w:r>
            </w:hyperlink>
          </w:p>
        </w:tc>
        <w:tc>
          <w:tcPr>
            <w:tcW w:w="850" w:type="dxa"/>
          </w:tcPr>
          <w:p w14:paraId="6F8EF2CC"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2238F161" w14:textId="77777777" w:rsidTr="00A93660">
        <w:tblPrEx>
          <w:tblCellMar>
            <w:top w:w="0" w:type="dxa"/>
            <w:bottom w:w="0" w:type="dxa"/>
          </w:tblCellMar>
        </w:tblPrEx>
        <w:tc>
          <w:tcPr>
            <w:tcW w:w="1247" w:type="dxa"/>
          </w:tcPr>
          <w:p w14:paraId="1E3A0980" w14:textId="77777777" w:rsidR="00A93660" w:rsidRPr="00A93660" w:rsidRDefault="00A93660" w:rsidP="00A93660">
            <w:pPr>
              <w:spacing w:line="240" w:lineRule="auto"/>
              <w:jc w:val="left"/>
              <w:rPr>
                <w:rFonts w:cs="Frankruhel"/>
                <w:sz w:val="24"/>
                <w:rtl/>
              </w:rPr>
            </w:pPr>
            <w:r>
              <w:rPr>
                <w:rFonts w:cs="Times New Roman"/>
                <w:sz w:val="24"/>
                <w:rtl/>
              </w:rPr>
              <w:t xml:space="preserve">סעיף 9 </w:t>
            </w:r>
          </w:p>
        </w:tc>
        <w:tc>
          <w:tcPr>
            <w:tcW w:w="5669" w:type="dxa"/>
          </w:tcPr>
          <w:p w14:paraId="338B39C9" w14:textId="77777777" w:rsidR="00A93660" w:rsidRPr="00A93660" w:rsidRDefault="00A93660" w:rsidP="00A93660">
            <w:pPr>
              <w:spacing w:line="240" w:lineRule="auto"/>
              <w:jc w:val="left"/>
              <w:rPr>
                <w:rFonts w:cs="Frankruhel"/>
                <w:sz w:val="24"/>
                <w:rtl/>
              </w:rPr>
            </w:pPr>
            <w:r>
              <w:rPr>
                <w:rFonts w:cs="Times New Roman"/>
                <w:sz w:val="24"/>
                <w:rtl/>
              </w:rPr>
              <w:t>הוצאות</w:t>
            </w:r>
          </w:p>
        </w:tc>
        <w:tc>
          <w:tcPr>
            <w:tcW w:w="567" w:type="dxa"/>
          </w:tcPr>
          <w:p w14:paraId="7F349607" w14:textId="77777777" w:rsidR="00A93660" w:rsidRPr="00A93660" w:rsidRDefault="00A93660" w:rsidP="00A93660">
            <w:pPr>
              <w:spacing w:line="240" w:lineRule="auto"/>
              <w:jc w:val="left"/>
              <w:rPr>
                <w:rStyle w:val="Hyperlink"/>
                <w:rtl/>
              </w:rPr>
            </w:pPr>
            <w:hyperlink w:anchor="Seif8" w:tooltip="הוצאות" w:history="1">
              <w:r w:rsidRPr="00A93660">
                <w:rPr>
                  <w:rStyle w:val="Hyperlink"/>
                </w:rPr>
                <w:t>Go</w:t>
              </w:r>
            </w:hyperlink>
          </w:p>
        </w:tc>
        <w:tc>
          <w:tcPr>
            <w:tcW w:w="850" w:type="dxa"/>
          </w:tcPr>
          <w:p w14:paraId="1F6C8BB9"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65B6F0CB" w14:textId="77777777" w:rsidTr="00A93660">
        <w:tblPrEx>
          <w:tblCellMar>
            <w:top w:w="0" w:type="dxa"/>
            <w:bottom w:w="0" w:type="dxa"/>
          </w:tblCellMar>
        </w:tblPrEx>
        <w:tc>
          <w:tcPr>
            <w:tcW w:w="1247" w:type="dxa"/>
          </w:tcPr>
          <w:p w14:paraId="7D90E06A" w14:textId="77777777" w:rsidR="00A93660" w:rsidRPr="00A93660" w:rsidRDefault="00A93660" w:rsidP="00A93660">
            <w:pPr>
              <w:spacing w:line="240" w:lineRule="auto"/>
              <w:jc w:val="left"/>
              <w:rPr>
                <w:rFonts w:cs="Frankruhel"/>
                <w:sz w:val="24"/>
                <w:rtl/>
              </w:rPr>
            </w:pPr>
            <w:r>
              <w:rPr>
                <w:rFonts w:cs="Times New Roman"/>
                <w:sz w:val="24"/>
                <w:rtl/>
              </w:rPr>
              <w:t xml:space="preserve">סעיף 10 </w:t>
            </w:r>
          </w:p>
        </w:tc>
        <w:tc>
          <w:tcPr>
            <w:tcW w:w="5669" w:type="dxa"/>
          </w:tcPr>
          <w:p w14:paraId="39FE3BF8" w14:textId="77777777" w:rsidR="00A93660" w:rsidRPr="00A93660" w:rsidRDefault="00A93660" w:rsidP="00A93660">
            <w:pPr>
              <w:spacing w:line="240" w:lineRule="auto"/>
              <w:jc w:val="left"/>
              <w:rPr>
                <w:rFonts w:cs="Frankruhel"/>
                <w:sz w:val="24"/>
                <w:rtl/>
              </w:rPr>
            </w:pPr>
            <w:r>
              <w:rPr>
                <w:rFonts w:cs="Times New Roman"/>
                <w:sz w:val="24"/>
                <w:rtl/>
              </w:rPr>
              <w:t>שמירת דינים</w:t>
            </w:r>
          </w:p>
        </w:tc>
        <w:tc>
          <w:tcPr>
            <w:tcW w:w="567" w:type="dxa"/>
          </w:tcPr>
          <w:p w14:paraId="694F5D80" w14:textId="77777777" w:rsidR="00A93660" w:rsidRPr="00A93660" w:rsidRDefault="00A93660" w:rsidP="00A93660">
            <w:pPr>
              <w:spacing w:line="240" w:lineRule="auto"/>
              <w:jc w:val="left"/>
              <w:rPr>
                <w:rStyle w:val="Hyperlink"/>
                <w:rtl/>
              </w:rPr>
            </w:pPr>
            <w:hyperlink w:anchor="Seif9" w:tooltip="שמירת דינים" w:history="1">
              <w:r w:rsidRPr="00A93660">
                <w:rPr>
                  <w:rStyle w:val="Hyperlink"/>
                </w:rPr>
                <w:t>Go</w:t>
              </w:r>
            </w:hyperlink>
          </w:p>
        </w:tc>
        <w:tc>
          <w:tcPr>
            <w:tcW w:w="850" w:type="dxa"/>
          </w:tcPr>
          <w:p w14:paraId="24C2F17C"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64E92C00" w14:textId="77777777" w:rsidTr="00A93660">
        <w:tblPrEx>
          <w:tblCellMar>
            <w:top w:w="0" w:type="dxa"/>
            <w:bottom w:w="0" w:type="dxa"/>
          </w:tblCellMar>
        </w:tblPrEx>
        <w:tc>
          <w:tcPr>
            <w:tcW w:w="1247" w:type="dxa"/>
          </w:tcPr>
          <w:p w14:paraId="36409847" w14:textId="77777777" w:rsidR="00A93660" w:rsidRPr="00A93660" w:rsidRDefault="00A93660" w:rsidP="00A93660">
            <w:pPr>
              <w:spacing w:line="240" w:lineRule="auto"/>
              <w:jc w:val="left"/>
              <w:rPr>
                <w:rFonts w:cs="Frankruhel"/>
                <w:sz w:val="24"/>
                <w:rtl/>
              </w:rPr>
            </w:pPr>
            <w:r>
              <w:rPr>
                <w:rFonts w:cs="Times New Roman"/>
                <w:sz w:val="24"/>
                <w:rtl/>
              </w:rPr>
              <w:t xml:space="preserve">סעיף 11 </w:t>
            </w:r>
          </w:p>
        </w:tc>
        <w:tc>
          <w:tcPr>
            <w:tcW w:w="5669" w:type="dxa"/>
          </w:tcPr>
          <w:p w14:paraId="671EB149" w14:textId="77777777" w:rsidR="00A93660" w:rsidRPr="00A93660" w:rsidRDefault="00A93660" w:rsidP="00A93660">
            <w:pPr>
              <w:spacing w:line="240" w:lineRule="auto"/>
              <w:jc w:val="left"/>
              <w:rPr>
                <w:rFonts w:cs="Frankruhel"/>
                <w:sz w:val="24"/>
                <w:rtl/>
              </w:rPr>
            </w:pPr>
            <w:r>
              <w:rPr>
                <w:rFonts w:cs="Times New Roman"/>
                <w:sz w:val="24"/>
                <w:rtl/>
              </w:rPr>
              <w:t>מוסד המדינה שאינו תאגיד</w:t>
            </w:r>
          </w:p>
        </w:tc>
        <w:tc>
          <w:tcPr>
            <w:tcW w:w="567" w:type="dxa"/>
          </w:tcPr>
          <w:p w14:paraId="1F842107" w14:textId="77777777" w:rsidR="00A93660" w:rsidRPr="00A93660" w:rsidRDefault="00A93660" w:rsidP="00A93660">
            <w:pPr>
              <w:spacing w:line="240" w:lineRule="auto"/>
              <w:jc w:val="left"/>
              <w:rPr>
                <w:rStyle w:val="Hyperlink"/>
                <w:rtl/>
              </w:rPr>
            </w:pPr>
            <w:hyperlink w:anchor="Seif10" w:tooltip="מוסד המדינה שאינו תאגיד" w:history="1">
              <w:r w:rsidRPr="00A93660">
                <w:rPr>
                  <w:rStyle w:val="Hyperlink"/>
                </w:rPr>
                <w:t>Go</w:t>
              </w:r>
            </w:hyperlink>
          </w:p>
        </w:tc>
        <w:tc>
          <w:tcPr>
            <w:tcW w:w="850" w:type="dxa"/>
          </w:tcPr>
          <w:p w14:paraId="2AF3C56A"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6FE19F08" w14:textId="77777777" w:rsidTr="00A93660">
        <w:tblPrEx>
          <w:tblCellMar>
            <w:top w:w="0" w:type="dxa"/>
            <w:bottom w:w="0" w:type="dxa"/>
          </w:tblCellMar>
        </w:tblPrEx>
        <w:tc>
          <w:tcPr>
            <w:tcW w:w="1247" w:type="dxa"/>
          </w:tcPr>
          <w:p w14:paraId="6049FA8D" w14:textId="77777777" w:rsidR="00A93660" w:rsidRPr="00A93660" w:rsidRDefault="00A93660" w:rsidP="00A93660">
            <w:pPr>
              <w:spacing w:line="240" w:lineRule="auto"/>
              <w:jc w:val="left"/>
              <w:rPr>
                <w:rFonts w:cs="Frankruhel"/>
                <w:sz w:val="24"/>
                <w:rtl/>
              </w:rPr>
            </w:pPr>
            <w:r>
              <w:rPr>
                <w:rFonts w:cs="Times New Roman"/>
                <w:sz w:val="24"/>
                <w:rtl/>
              </w:rPr>
              <w:t xml:space="preserve">סעיף 12 </w:t>
            </w:r>
          </w:p>
        </w:tc>
        <w:tc>
          <w:tcPr>
            <w:tcW w:w="5669" w:type="dxa"/>
          </w:tcPr>
          <w:p w14:paraId="111DEB69" w14:textId="77777777" w:rsidR="00A93660" w:rsidRPr="00A93660" w:rsidRDefault="00A93660" w:rsidP="00A93660">
            <w:pPr>
              <w:spacing w:line="240" w:lineRule="auto"/>
              <w:jc w:val="left"/>
              <w:rPr>
                <w:rFonts w:cs="Frankruhel"/>
                <w:sz w:val="24"/>
                <w:rtl/>
              </w:rPr>
            </w:pPr>
            <w:r>
              <w:rPr>
                <w:rFonts w:cs="Times New Roman"/>
                <w:sz w:val="24"/>
                <w:rtl/>
              </w:rPr>
              <w:t>הוראות מעבר</w:t>
            </w:r>
          </w:p>
        </w:tc>
        <w:tc>
          <w:tcPr>
            <w:tcW w:w="567" w:type="dxa"/>
          </w:tcPr>
          <w:p w14:paraId="43DCDC1C" w14:textId="77777777" w:rsidR="00A93660" w:rsidRPr="00A93660" w:rsidRDefault="00A93660" w:rsidP="00A93660">
            <w:pPr>
              <w:spacing w:line="240" w:lineRule="auto"/>
              <w:jc w:val="left"/>
              <w:rPr>
                <w:rStyle w:val="Hyperlink"/>
                <w:rtl/>
              </w:rPr>
            </w:pPr>
            <w:hyperlink w:anchor="Seif11" w:tooltip="הוראות מעבר" w:history="1">
              <w:r w:rsidRPr="00A93660">
                <w:rPr>
                  <w:rStyle w:val="Hyperlink"/>
                </w:rPr>
                <w:t>Go</w:t>
              </w:r>
            </w:hyperlink>
          </w:p>
        </w:tc>
        <w:tc>
          <w:tcPr>
            <w:tcW w:w="850" w:type="dxa"/>
          </w:tcPr>
          <w:p w14:paraId="0AF4E429"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3660" w:rsidRPr="00A93660" w14:paraId="1C55C79C" w14:textId="77777777" w:rsidTr="00A93660">
        <w:tblPrEx>
          <w:tblCellMar>
            <w:top w:w="0" w:type="dxa"/>
            <w:bottom w:w="0" w:type="dxa"/>
          </w:tblCellMar>
        </w:tblPrEx>
        <w:tc>
          <w:tcPr>
            <w:tcW w:w="1247" w:type="dxa"/>
          </w:tcPr>
          <w:p w14:paraId="3D9EE134" w14:textId="77777777" w:rsidR="00A93660" w:rsidRPr="00A93660" w:rsidRDefault="00A93660" w:rsidP="00A93660">
            <w:pPr>
              <w:spacing w:line="240" w:lineRule="auto"/>
              <w:jc w:val="left"/>
              <w:rPr>
                <w:rFonts w:cs="Frankruhel"/>
                <w:sz w:val="24"/>
                <w:rtl/>
              </w:rPr>
            </w:pPr>
            <w:r>
              <w:rPr>
                <w:rFonts w:cs="Times New Roman"/>
                <w:sz w:val="24"/>
                <w:rtl/>
              </w:rPr>
              <w:t xml:space="preserve">סעיף 13 </w:t>
            </w:r>
          </w:p>
        </w:tc>
        <w:tc>
          <w:tcPr>
            <w:tcW w:w="5669" w:type="dxa"/>
          </w:tcPr>
          <w:p w14:paraId="133265EE" w14:textId="77777777" w:rsidR="00A93660" w:rsidRPr="00A93660" w:rsidRDefault="00A93660" w:rsidP="00A93660">
            <w:pPr>
              <w:spacing w:line="240" w:lineRule="auto"/>
              <w:jc w:val="left"/>
              <w:rPr>
                <w:rFonts w:cs="Frankruhel"/>
                <w:sz w:val="24"/>
                <w:rtl/>
              </w:rPr>
            </w:pPr>
            <w:r>
              <w:rPr>
                <w:rFonts w:cs="Times New Roman"/>
                <w:sz w:val="24"/>
                <w:rtl/>
              </w:rPr>
              <w:t>ביטול</w:t>
            </w:r>
          </w:p>
        </w:tc>
        <w:tc>
          <w:tcPr>
            <w:tcW w:w="567" w:type="dxa"/>
          </w:tcPr>
          <w:p w14:paraId="0F7D0D5E" w14:textId="77777777" w:rsidR="00A93660" w:rsidRPr="00A93660" w:rsidRDefault="00A93660" w:rsidP="00A93660">
            <w:pPr>
              <w:spacing w:line="240" w:lineRule="auto"/>
              <w:jc w:val="left"/>
              <w:rPr>
                <w:rStyle w:val="Hyperlink"/>
                <w:rtl/>
              </w:rPr>
            </w:pPr>
            <w:hyperlink w:anchor="Seif12" w:tooltip="ביטול" w:history="1">
              <w:r w:rsidRPr="00A93660">
                <w:rPr>
                  <w:rStyle w:val="Hyperlink"/>
                </w:rPr>
                <w:t>Go</w:t>
              </w:r>
            </w:hyperlink>
          </w:p>
        </w:tc>
        <w:tc>
          <w:tcPr>
            <w:tcW w:w="850" w:type="dxa"/>
          </w:tcPr>
          <w:p w14:paraId="4B768193"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3660" w:rsidRPr="00A93660" w14:paraId="768547B5" w14:textId="77777777" w:rsidTr="00A93660">
        <w:tblPrEx>
          <w:tblCellMar>
            <w:top w:w="0" w:type="dxa"/>
            <w:bottom w:w="0" w:type="dxa"/>
          </w:tblCellMar>
        </w:tblPrEx>
        <w:tc>
          <w:tcPr>
            <w:tcW w:w="1247" w:type="dxa"/>
          </w:tcPr>
          <w:p w14:paraId="21D77208" w14:textId="77777777" w:rsidR="00A93660" w:rsidRPr="00A93660" w:rsidRDefault="00A93660" w:rsidP="00A93660">
            <w:pPr>
              <w:spacing w:line="240" w:lineRule="auto"/>
              <w:jc w:val="left"/>
              <w:rPr>
                <w:rFonts w:cs="Frankruhel"/>
                <w:sz w:val="24"/>
                <w:rtl/>
              </w:rPr>
            </w:pPr>
            <w:r>
              <w:rPr>
                <w:rFonts w:cs="Times New Roman"/>
                <w:sz w:val="24"/>
                <w:rtl/>
              </w:rPr>
              <w:t xml:space="preserve">סעיף 14 </w:t>
            </w:r>
          </w:p>
        </w:tc>
        <w:tc>
          <w:tcPr>
            <w:tcW w:w="5669" w:type="dxa"/>
          </w:tcPr>
          <w:p w14:paraId="613E65E2" w14:textId="77777777" w:rsidR="00A93660" w:rsidRPr="00A93660" w:rsidRDefault="00A93660" w:rsidP="00A93660">
            <w:pPr>
              <w:spacing w:line="240" w:lineRule="auto"/>
              <w:jc w:val="left"/>
              <w:rPr>
                <w:rFonts w:cs="Frankruhel"/>
                <w:sz w:val="24"/>
                <w:rtl/>
              </w:rPr>
            </w:pPr>
            <w:r>
              <w:rPr>
                <w:rFonts w:cs="Times New Roman"/>
                <w:sz w:val="24"/>
                <w:rtl/>
              </w:rPr>
              <w:t>ביצוע ותקנות</w:t>
            </w:r>
          </w:p>
        </w:tc>
        <w:tc>
          <w:tcPr>
            <w:tcW w:w="567" w:type="dxa"/>
          </w:tcPr>
          <w:p w14:paraId="31D78C28" w14:textId="77777777" w:rsidR="00A93660" w:rsidRPr="00A93660" w:rsidRDefault="00A93660" w:rsidP="00A93660">
            <w:pPr>
              <w:spacing w:line="240" w:lineRule="auto"/>
              <w:jc w:val="left"/>
              <w:rPr>
                <w:rStyle w:val="Hyperlink"/>
                <w:rtl/>
              </w:rPr>
            </w:pPr>
            <w:hyperlink w:anchor="Seif13" w:tooltip="ביצוע ותקנות" w:history="1">
              <w:r w:rsidRPr="00A93660">
                <w:rPr>
                  <w:rStyle w:val="Hyperlink"/>
                </w:rPr>
                <w:t>Go</w:t>
              </w:r>
            </w:hyperlink>
          </w:p>
        </w:tc>
        <w:tc>
          <w:tcPr>
            <w:tcW w:w="850" w:type="dxa"/>
          </w:tcPr>
          <w:p w14:paraId="3528BA71" w14:textId="77777777" w:rsidR="00A93660" w:rsidRPr="00A93660" w:rsidRDefault="00A93660" w:rsidP="00A936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21CCF9B" w14:textId="77777777" w:rsidR="00F67193" w:rsidRDefault="00F67193" w:rsidP="00F67193">
      <w:pPr>
        <w:pStyle w:val="big-header"/>
        <w:ind w:left="0" w:right="1134"/>
        <w:rPr>
          <w:sz w:val="32"/>
          <w:rtl/>
        </w:rPr>
      </w:pPr>
    </w:p>
    <w:p w14:paraId="56555A07" w14:textId="77777777" w:rsidR="002D21E9" w:rsidRDefault="00F67193" w:rsidP="006A625C">
      <w:pPr>
        <w:pStyle w:val="big-header"/>
        <w:ind w:left="0" w:right="1134"/>
        <w:rPr>
          <w:rStyle w:val="default"/>
          <w:rFonts w:cs="FrankRuehl" w:hint="cs"/>
          <w:rtl/>
        </w:rPr>
      </w:pPr>
      <w:r>
        <w:rPr>
          <w:sz w:val="32"/>
          <w:rtl/>
        </w:rPr>
        <w:br w:type="page"/>
      </w:r>
      <w:r w:rsidR="002D21E9">
        <w:rPr>
          <w:rtl/>
        </w:rPr>
        <w:lastRenderedPageBreak/>
        <w:t>ח</w:t>
      </w:r>
      <w:r w:rsidR="002D21E9">
        <w:rPr>
          <w:rFonts w:hint="cs"/>
          <w:rtl/>
        </w:rPr>
        <w:t>וק לתיקון סדרי הדין האזרחי (המדינה כ</w:t>
      </w:r>
      <w:r w:rsidR="002D21E9">
        <w:rPr>
          <w:rtl/>
        </w:rPr>
        <w:t>ב</w:t>
      </w:r>
      <w:r w:rsidR="002D21E9">
        <w:rPr>
          <w:rFonts w:hint="cs"/>
          <w:rtl/>
        </w:rPr>
        <w:t>על דין), תשי"ח</w:t>
      </w:r>
      <w:r>
        <w:rPr>
          <w:rFonts w:hint="cs"/>
          <w:rtl/>
        </w:rPr>
        <w:t>-</w:t>
      </w:r>
      <w:r w:rsidR="002D21E9">
        <w:rPr>
          <w:rFonts w:hint="cs"/>
          <w:rtl/>
        </w:rPr>
        <w:t>1958</w:t>
      </w:r>
      <w:r>
        <w:rPr>
          <w:rStyle w:val="a6"/>
          <w:rtl/>
        </w:rPr>
        <w:footnoteReference w:customMarkFollows="1" w:id="1"/>
        <w:t>*</w:t>
      </w:r>
    </w:p>
    <w:p w14:paraId="236BADF7" w14:textId="77777777" w:rsidR="002D21E9" w:rsidRDefault="002D21E9">
      <w:pPr>
        <w:pStyle w:val="P00"/>
        <w:spacing w:before="72"/>
        <w:ind w:left="0" w:right="1134"/>
        <w:rPr>
          <w:rStyle w:val="default"/>
          <w:rFonts w:cs="FrankRuehl" w:hint="cs"/>
          <w:rtl/>
        </w:rPr>
      </w:pPr>
      <w:bookmarkStart w:id="0" w:name="Seif1"/>
      <w:bookmarkEnd w:id="0"/>
      <w:r>
        <w:rPr>
          <w:lang w:val="he-IL"/>
        </w:rPr>
        <w:pict w14:anchorId="198F5F37">
          <v:rect id="_x0000_s1026" style="position:absolute;left:0;text-align:left;margin-left:464.5pt;margin-top:8.05pt;width:75.05pt;height:12.6pt;z-index:251650560" o:allowincell="f" filled="f" stroked="f" strokecolor="lime" strokeweight=".25pt">
            <v:textbox inset="0,0,0,0">
              <w:txbxContent>
                <w:p w14:paraId="58655551" w14:textId="77777777" w:rsidR="002D21E9" w:rsidRDefault="002D21E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F67193">
        <w:rPr>
          <w:rStyle w:val="default"/>
          <w:rFonts w:cs="FrankRuehl"/>
          <w:rtl/>
        </w:rPr>
        <w:t>–</w:t>
      </w:r>
    </w:p>
    <w:p w14:paraId="74FD9406" w14:textId="77777777" w:rsidR="002D21E9" w:rsidRDefault="002D21E9" w:rsidP="00F671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הליך" </w:t>
      </w:r>
      <w:r w:rsidR="000A5CD0">
        <w:rPr>
          <w:rStyle w:val="default"/>
          <w:rFonts w:cs="FrankRuehl"/>
          <w:rtl/>
        </w:rPr>
        <w:t>–</w:t>
      </w:r>
      <w:r>
        <w:rPr>
          <w:rStyle w:val="default"/>
          <w:rFonts w:cs="FrankRuehl" w:hint="cs"/>
          <w:rtl/>
        </w:rPr>
        <w:t xml:space="preserve"> הליך משפטי בענין אזרחי, לרבות הליך בפני פקיד מסדר כמשמעותו בפקודת הקרקעות (סידור זכות הקנין).</w:t>
      </w:r>
    </w:p>
    <w:p w14:paraId="3F24AC55" w14:textId="77777777" w:rsidR="002D21E9" w:rsidRDefault="002D21E9">
      <w:pPr>
        <w:pStyle w:val="P00"/>
        <w:spacing w:before="72"/>
        <w:ind w:left="0" w:right="1134"/>
        <w:rPr>
          <w:rStyle w:val="default"/>
          <w:rFonts w:cs="FrankRuehl"/>
          <w:rtl/>
        </w:rPr>
      </w:pPr>
      <w:bookmarkStart w:id="1" w:name="Seif2"/>
      <w:bookmarkEnd w:id="1"/>
      <w:r>
        <w:rPr>
          <w:lang w:val="he-IL"/>
        </w:rPr>
        <w:pict w14:anchorId="2C448E4F">
          <v:rect id="_x0000_s1027" style="position:absolute;left:0;text-align:left;margin-left:464.5pt;margin-top:8.05pt;width:75.05pt;height:17.15pt;z-index:251651584" o:allowincell="f" filled="f" stroked="f" strokecolor="lime" strokeweight=".25pt">
            <v:textbox inset="0,0,0,0">
              <w:txbxContent>
                <w:p w14:paraId="4AEA09CC" w14:textId="77777777" w:rsidR="002D21E9" w:rsidRDefault="002D21E9" w:rsidP="00F67193">
                  <w:pPr>
                    <w:spacing w:line="160" w:lineRule="exact"/>
                    <w:jc w:val="left"/>
                    <w:rPr>
                      <w:rFonts w:cs="Miriam"/>
                      <w:noProof/>
                      <w:szCs w:val="18"/>
                      <w:rtl/>
                    </w:rPr>
                  </w:pPr>
                  <w:r>
                    <w:rPr>
                      <w:rFonts w:cs="Miriam"/>
                      <w:szCs w:val="18"/>
                      <w:rtl/>
                    </w:rPr>
                    <w:t>ד</w:t>
                  </w:r>
                  <w:r>
                    <w:rPr>
                      <w:rFonts w:cs="Miriam" w:hint="cs"/>
                      <w:szCs w:val="18"/>
                      <w:rtl/>
                    </w:rPr>
                    <w:t>ין המדינה</w:t>
                  </w:r>
                  <w:r w:rsidR="00F67193">
                    <w:rPr>
                      <w:rFonts w:cs="Miriam" w:hint="cs"/>
                      <w:szCs w:val="18"/>
                      <w:rtl/>
                    </w:rPr>
                    <w:t xml:space="preserve"> </w:t>
                  </w:r>
                  <w:r>
                    <w:rPr>
                      <w:rFonts w:cs="Miriam"/>
                      <w:szCs w:val="18"/>
                      <w:rtl/>
                    </w:rPr>
                    <w:t>ל</w:t>
                  </w:r>
                  <w:r>
                    <w:rPr>
                      <w:rFonts w:cs="Miriam" w:hint="cs"/>
                      <w:szCs w:val="18"/>
                      <w:rtl/>
                    </w:rPr>
                    <w:t>ענין הליך</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הליך דין המדינה כדין כל אדם.</w:t>
      </w:r>
    </w:p>
    <w:p w14:paraId="7CF3FFFC" w14:textId="77777777" w:rsidR="002D21E9" w:rsidRDefault="002D21E9">
      <w:pPr>
        <w:pStyle w:val="P00"/>
        <w:spacing w:before="72"/>
        <w:ind w:left="0" w:right="1134"/>
        <w:rPr>
          <w:rStyle w:val="default"/>
          <w:rFonts w:cs="FrankRuehl" w:hint="cs"/>
          <w:rtl/>
        </w:rPr>
      </w:pPr>
      <w:bookmarkStart w:id="2" w:name="Seif3"/>
      <w:bookmarkEnd w:id="2"/>
      <w:r>
        <w:rPr>
          <w:lang w:val="he-IL"/>
        </w:rPr>
        <w:pict w14:anchorId="5D14318F">
          <v:rect id="_x0000_s1028" style="position:absolute;left:0;text-align:left;margin-left:464.5pt;margin-top:8.05pt;width:75.05pt;height:19.6pt;z-index:251652608" o:allowincell="f" filled="f" stroked="f" strokecolor="lime" strokeweight=".25pt">
            <v:textbox inset="0,0,0,0">
              <w:txbxContent>
                <w:p w14:paraId="3E3940B3" w14:textId="77777777" w:rsidR="002D21E9" w:rsidRDefault="002D21E9">
                  <w:pPr>
                    <w:spacing w:line="160" w:lineRule="exact"/>
                    <w:jc w:val="left"/>
                    <w:rPr>
                      <w:rFonts w:cs="Miriam"/>
                      <w:noProof/>
                      <w:szCs w:val="18"/>
                      <w:rtl/>
                    </w:rPr>
                  </w:pPr>
                  <w:r>
                    <w:rPr>
                      <w:rFonts w:cs="Miriam"/>
                      <w:szCs w:val="18"/>
                      <w:rtl/>
                    </w:rPr>
                    <w:t>ה</w:t>
                  </w:r>
                  <w:r>
                    <w:rPr>
                      <w:rFonts w:cs="Miriam" w:hint="cs"/>
                      <w:szCs w:val="18"/>
                      <w:rtl/>
                    </w:rPr>
                    <w:t>ליכים שהמדינה צד להם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ליך שהמדינה צד לו, יוגש ויתנהל </w:t>
      </w:r>
      <w:r w:rsidR="00F67193">
        <w:rPr>
          <w:rStyle w:val="default"/>
          <w:rFonts w:cs="FrankRuehl"/>
          <w:rtl/>
        </w:rPr>
        <w:t>–</w:t>
      </w:r>
    </w:p>
    <w:p w14:paraId="37B04ED9" w14:textId="77777777" w:rsidR="002D21E9" w:rsidRDefault="002D21E9" w:rsidP="000A5CD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בשם מדינת ישראל כתובעת, כמבקשת או כמערערת, או</w:t>
      </w:r>
    </w:p>
    <w:p w14:paraId="01CDAEAE" w14:textId="77777777" w:rsidR="002D21E9" w:rsidRDefault="002D21E9" w:rsidP="000A5CD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נגד מדינת ישראל</w:t>
      </w:r>
      <w:r>
        <w:rPr>
          <w:rStyle w:val="default"/>
          <w:rFonts w:cs="FrankRuehl"/>
          <w:rtl/>
        </w:rPr>
        <w:t xml:space="preserve"> </w:t>
      </w:r>
      <w:r>
        <w:rPr>
          <w:rStyle w:val="default"/>
          <w:rFonts w:cs="FrankRuehl" w:hint="cs"/>
          <w:rtl/>
        </w:rPr>
        <w:t>כנתבעת או כמשיבה.</w:t>
      </w:r>
    </w:p>
    <w:p w14:paraId="4AB30681" w14:textId="77777777" w:rsidR="002D21E9" w:rsidRDefault="002D21E9">
      <w:pPr>
        <w:pStyle w:val="P00"/>
        <w:spacing w:before="72"/>
        <w:ind w:left="0" w:right="1134"/>
        <w:rPr>
          <w:rStyle w:val="default"/>
          <w:rFonts w:cs="FrankRuehl"/>
          <w:rtl/>
        </w:rPr>
      </w:pPr>
      <w:bookmarkStart w:id="3" w:name="Seif4"/>
      <w:bookmarkEnd w:id="3"/>
      <w:r>
        <w:rPr>
          <w:lang w:val="he-IL"/>
        </w:rPr>
        <w:pict w14:anchorId="6ABE1203">
          <v:rect id="_x0000_s1029" style="position:absolute;left:0;text-align:left;margin-left:464.5pt;margin-top:8.05pt;width:75.05pt;height:11.3pt;z-index:251653632" o:allowincell="f" filled="f" stroked="f" strokecolor="lime" strokeweight=".25pt">
            <v:textbox style="mso-next-textbox:#_x0000_s1029" inset="0,0,0,0">
              <w:txbxContent>
                <w:p w14:paraId="3944C9FD" w14:textId="77777777" w:rsidR="002D21E9" w:rsidRDefault="002D21E9">
                  <w:pPr>
                    <w:spacing w:line="160" w:lineRule="exact"/>
                    <w:jc w:val="left"/>
                    <w:rPr>
                      <w:rFonts w:cs="Miriam"/>
                      <w:noProof/>
                      <w:szCs w:val="18"/>
                      <w:rtl/>
                    </w:rPr>
                  </w:pPr>
                  <w:r>
                    <w:rPr>
                      <w:rFonts w:cs="Miriam"/>
                      <w:szCs w:val="18"/>
                      <w:rtl/>
                    </w:rPr>
                    <w:t>י</w:t>
                  </w:r>
                  <w:r>
                    <w:rPr>
                      <w:rFonts w:cs="Miriam" w:hint="cs"/>
                      <w:szCs w:val="18"/>
                      <w:rtl/>
                    </w:rPr>
                    <w:t>יצוג המדינה</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כל הליך שהמדינה צד לו תיוצג המדינה על ידי היועץ המשפטי לממשלה או בא-כוחו.</w:t>
      </w:r>
    </w:p>
    <w:p w14:paraId="510D4CAB" w14:textId="77777777" w:rsidR="002D21E9" w:rsidRDefault="002D21E9">
      <w:pPr>
        <w:pStyle w:val="P00"/>
        <w:spacing w:before="72"/>
        <w:ind w:left="0" w:right="1134"/>
        <w:rPr>
          <w:rStyle w:val="default"/>
          <w:rFonts w:cs="FrankRuehl" w:hint="cs"/>
          <w:rtl/>
        </w:rPr>
      </w:pPr>
      <w:r>
        <w:rPr>
          <w:lang w:val="he-IL"/>
        </w:rPr>
        <w:pict w14:anchorId="18C5FFD8">
          <v:rect id="_x0000_s1030" style="position:absolute;left:0;text-align:left;margin-left:464.5pt;margin-top:8.05pt;width:75.05pt;height:25pt;z-index:251654656" o:allowincell="f" filled="f" stroked="f" strokecolor="lime" strokeweight=".25pt">
            <v:textbox inset="0,0,0,0">
              <w:txbxContent>
                <w:p w14:paraId="39EAF6D5" w14:textId="77777777" w:rsidR="002D21E9" w:rsidRDefault="00F67193">
                  <w:pPr>
                    <w:spacing w:line="160" w:lineRule="exact"/>
                    <w:jc w:val="left"/>
                    <w:rPr>
                      <w:rFonts w:cs="Miriam"/>
                      <w:noProof/>
                      <w:szCs w:val="18"/>
                      <w:rtl/>
                    </w:rPr>
                  </w:pPr>
                  <w:r>
                    <w:rPr>
                      <w:rFonts w:cs="Miriam" w:hint="cs"/>
                      <w:szCs w:val="18"/>
                      <w:rtl/>
                    </w:rPr>
                    <w:t>(תיקון מס' 1)</w:t>
                  </w:r>
                  <w:r w:rsidR="002D21E9">
                    <w:rPr>
                      <w:rFonts w:cs="Miriam" w:hint="cs"/>
                      <w:szCs w:val="18"/>
                      <w:rtl/>
                    </w:rPr>
                    <w:t xml:space="preserve"> </w:t>
                  </w:r>
                  <w:r>
                    <w:rPr>
                      <w:rFonts w:cs="Miriam"/>
                      <w:szCs w:val="18"/>
                      <w:rtl/>
                    </w:rPr>
                    <w:br/>
                  </w:r>
                  <w:r w:rsidR="002D21E9">
                    <w:rPr>
                      <w:rFonts w:cs="Miriam" w:hint="cs"/>
                      <w:szCs w:val="18"/>
                      <w:rtl/>
                    </w:rPr>
                    <w:t>תשנ"ט</w:t>
                  </w:r>
                  <w:r>
                    <w:rPr>
                      <w:rFonts w:cs="Miriam" w:hint="cs"/>
                      <w:szCs w:val="18"/>
                      <w:rtl/>
                    </w:rPr>
                    <w:t>-</w:t>
                  </w:r>
                  <w:r w:rsidR="002D21E9">
                    <w:rPr>
                      <w:rFonts w:cs="Miriam" w:hint="cs"/>
                      <w:szCs w:val="18"/>
                      <w:rtl/>
                    </w:rPr>
                    <w:t>1998</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בוטל).</w:t>
      </w:r>
    </w:p>
    <w:p w14:paraId="064329BF" w14:textId="77777777" w:rsidR="00BA5829" w:rsidRPr="00130A02" w:rsidRDefault="00BA5829" w:rsidP="00BA5829">
      <w:pPr>
        <w:pStyle w:val="P00"/>
        <w:spacing w:before="0"/>
        <w:ind w:left="0" w:right="1134"/>
        <w:rPr>
          <w:rFonts w:hint="cs"/>
          <w:b/>
          <w:bCs/>
          <w:vanish/>
          <w:szCs w:val="20"/>
          <w:shd w:val="clear" w:color="auto" w:fill="FFFF99"/>
          <w:rtl/>
        </w:rPr>
      </w:pPr>
      <w:bookmarkStart w:id="4" w:name="Rov1"/>
      <w:r w:rsidRPr="00130A02">
        <w:rPr>
          <w:rFonts w:hint="cs"/>
          <w:vanish/>
          <w:color w:val="FF0000"/>
          <w:szCs w:val="20"/>
          <w:shd w:val="clear" w:color="auto" w:fill="FFFF99"/>
          <w:rtl/>
        </w:rPr>
        <w:t>מיום 17.1.1999</w:t>
      </w:r>
    </w:p>
    <w:p w14:paraId="59A52DE5" w14:textId="77777777" w:rsidR="00BA5829" w:rsidRPr="00130A02" w:rsidRDefault="00BA5829" w:rsidP="00BA5829">
      <w:pPr>
        <w:pStyle w:val="P00"/>
        <w:spacing w:before="0"/>
        <w:ind w:left="0" w:right="1134"/>
        <w:rPr>
          <w:rFonts w:hint="cs"/>
          <w:b/>
          <w:bCs/>
          <w:vanish/>
          <w:szCs w:val="20"/>
          <w:shd w:val="clear" w:color="auto" w:fill="FFFF99"/>
          <w:rtl/>
        </w:rPr>
      </w:pPr>
      <w:r w:rsidRPr="00130A02">
        <w:rPr>
          <w:rFonts w:hint="cs"/>
          <w:b/>
          <w:bCs/>
          <w:vanish/>
          <w:szCs w:val="20"/>
          <w:shd w:val="clear" w:color="auto" w:fill="FFFF99"/>
          <w:rtl/>
        </w:rPr>
        <w:t>תיקון מס' 1</w:t>
      </w:r>
    </w:p>
    <w:p w14:paraId="30DE9C29" w14:textId="77777777" w:rsidR="00BA5829" w:rsidRPr="00130A02" w:rsidRDefault="00BA5829" w:rsidP="00BA5829">
      <w:pPr>
        <w:pStyle w:val="P00"/>
        <w:tabs>
          <w:tab w:val="clear" w:pos="6259"/>
        </w:tabs>
        <w:spacing w:before="0"/>
        <w:ind w:left="0" w:right="1134"/>
        <w:rPr>
          <w:rFonts w:hint="cs"/>
          <w:vanish/>
          <w:szCs w:val="20"/>
          <w:shd w:val="clear" w:color="auto" w:fill="FFFF99"/>
          <w:rtl/>
        </w:rPr>
      </w:pPr>
      <w:hyperlink r:id="rId6" w:history="1">
        <w:r w:rsidRPr="00130A02">
          <w:rPr>
            <w:rStyle w:val="Hyperlink"/>
            <w:rFonts w:hint="cs"/>
            <w:vanish/>
            <w:szCs w:val="20"/>
            <w:shd w:val="clear" w:color="auto" w:fill="FFFF99"/>
            <w:rtl/>
          </w:rPr>
          <w:t>ס"ח תשנ"ט מס' 1695</w:t>
        </w:r>
      </w:hyperlink>
      <w:r w:rsidRPr="00130A02">
        <w:rPr>
          <w:rFonts w:hint="cs"/>
          <w:vanish/>
          <w:szCs w:val="20"/>
          <w:shd w:val="clear" w:color="auto" w:fill="FFFF99"/>
          <w:rtl/>
        </w:rPr>
        <w:t xml:space="preserve"> מיום 18.12.1999 עמ' 34 (</w:t>
      </w:r>
      <w:hyperlink r:id="rId7" w:history="1">
        <w:r w:rsidRPr="00130A02">
          <w:rPr>
            <w:rStyle w:val="Hyperlink"/>
            <w:rFonts w:hint="cs"/>
            <w:vanish/>
            <w:szCs w:val="20"/>
            <w:shd w:val="clear" w:color="auto" w:fill="FFFF99"/>
            <w:rtl/>
          </w:rPr>
          <w:t>ה"ח 2751</w:t>
        </w:r>
      </w:hyperlink>
      <w:r w:rsidRPr="00130A02">
        <w:rPr>
          <w:rFonts w:hint="cs"/>
          <w:vanish/>
          <w:szCs w:val="20"/>
          <w:shd w:val="clear" w:color="auto" w:fill="FFFF99"/>
          <w:rtl/>
        </w:rPr>
        <w:t>)</w:t>
      </w:r>
    </w:p>
    <w:p w14:paraId="67198EEF" w14:textId="77777777" w:rsidR="00BA5829" w:rsidRPr="00130A02" w:rsidRDefault="00BA5829" w:rsidP="00BA5829">
      <w:pPr>
        <w:pStyle w:val="P00"/>
        <w:tabs>
          <w:tab w:val="clear" w:pos="6259"/>
        </w:tabs>
        <w:spacing w:before="0"/>
        <w:ind w:left="0" w:right="1134"/>
        <w:rPr>
          <w:rFonts w:hint="cs"/>
          <w:b/>
          <w:bCs/>
          <w:vanish/>
          <w:szCs w:val="20"/>
          <w:shd w:val="clear" w:color="auto" w:fill="FFFF99"/>
          <w:rtl/>
        </w:rPr>
      </w:pPr>
      <w:r w:rsidRPr="00130A02">
        <w:rPr>
          <w:rFonts w:hint="cs"/>
          <w:b/>
          <w:bCs/>
          <w:vanish/>
          <w:szCs w:val="20"/>
          <w:shd w:val="clear" w:color="auto" w:fill="FFFF99"/>
          <w:rtl/>
        </w:rPr>
        <w:t>ביטול סעיף 5</w:t>
      </w:r>
    </w:p>
    <w:p w14:paraId="5A8D4FF3" w14:textId="77777777" w:rsidR="00BA5829" w:rsidRPr="00130A02" w:rsidRDefault="00BA5829" w:rsidP="00BA5829">
      <w:pPr>
        <w:pStyle w:val="P00"/>
        <w:tabs>
          <w:tab w:val="clear" w:pos="6259"/>
        </w:tabs>
        <w:ind w:left="0" w:right="1134"/>
        <w:rPr>
          <w:rFonts w:hint="cs"/>
          <w:vanish/>
          <w:szCs w:val="20"/>
          <w:shd w:val="clear" w:color="auto" w:fill="FFFF99"/>
          <w:rtl/>
        </w:rPr>
      </w:pPr>
      <w:r w:rsidRPr="00130A02">
        <w:rPr>
          <w:rFonts w:hint="cs"/>
          <w:vanish/>
          <w:szCs w:val="20"/>
          <w:shd w:val="clear" w:color="auto" w:fill="FFFF99"/>
          <w:rtl/>
        </w:rPr>
        <w:t>הנוסח הקודם:</w:t>
      </w:r>
    </w:p>
    <w:p w14:paraId="7A40F10B" w14:textId="77777777" w:rsidR="00BA5829" w:rsidRPr="00130A02" w:rsidRDefault="00BA5829" w:rsidP="00BA5829">
      <w:pPr>
        <w:pStyle w:val="P00"/>
        <w:tabs>
          <w:tab w:val="clear" w:pos="6259"/>
        </w:tabs>
        <w:spacing w:before="20"/>
        <w:ind w:left="0" w:right="1134"/>
        <w:rPr>
          <w:rFonts w:cs="Miriam" w:hint="cs"/>
          <w:strike/>
          <w:vanish/>
          <w:sz w:val="16"/>
          <w:szCs w:val="16"/>
          <w:shd w:val="clear" w:color="auto" w:fill="FFFF99"/>
          <w:rtl/>
        </w:rPr>
      </w:pPr>
      <w:r w:rsidRPr="00130A02">
        <w:rPr>
          <w:rFonts w:cs="Miriam" w:hint="cs"/>
          <w:strike/>
          <w:vanish/>
          <w:sz w:val="16"/>
          <w:szCs w:val="16"/>
          <w:shd w:val="clear" w:color="auto" w:fill="FFFF99"/>
          <w:rtl/>
        </w:rPr>
        <w:t>צווי מניעה וביצוע בעין</w:t>
      </w:r>
    </w:p>
    <w:p w14:paraId="286C360C" w14:textId="77777777" w:rsidR="00BA5829" w:rsidRPr="00BA5829" w:rsidRDefault="00BA5829" w:rsidP="00BA5829">
      <w:pPr>
        <w:pStyle w:val="P00"/>
        <w:tabs>
          <w:tab w:val="clear" w:pos="6259"/>
        </w:tabs>
        <w:spacing w:before="0"/>
        <w:ind w:left="0" w:right="1134"/>
        <w:rPr>
          <w:rFonts w:hint="cs"/>
          <w:strike/>
          <w:sz w:val="2"/>
          <w:szCs w:val="2"/>
          <w:rtl/>
        </w:rPr>
      </w:pPr>
      <w:r w:rsidRPr="00130A02">
        <w:rPr>
          <w:rFonts w:hint="cs"/>
          <w:strike/>
          <w:vanish/>
          <w:sz w:val="22"/>
          <w:szCs w:val="22"/>
          <w:shd w:val="clear" w:color="auto" w:fill="FFFF99"/>
          <w:rtl/>
        </w:rPr>
        <w:t>5.</w:t>
      </w:r>
      <w:r w:rsidRPr="00130A02">
        <w:rPr>
          <w:rFonts w:hint="cs"/>
          <w:strike/>
          <w:vanish/>
          <w:sz w:val="22"/>
          <w:szCs w:val="22"/>
          <w:shd w:val="clear" w:color="auto" w:fill="FFFF99"/>
          <w:rtl/>
        </w:rPr>
        <w:tab/>
        <w:t>לא ייתן בית המשפט סעד נגד המדינה בדרך צו מניעה או ביצוע בעין; והוא כשאין בחוק הוראה אחרת.</w:t>
      </w:r>
      <w:bookmarkEnd w:id="4"/>
    </w:p>
    <w:p w14:paraId="5A62385C" w14:textId="77777777" w:rsidR="002D21E9" w:rsidRDefault="002D21E9">
      <w:pPr>
        <w:pStyle w:val="P00"/>
        <w:spacing w:before="72"/>
        <w:ind w:left="0" w:right="1134"/>
        <w:rPr>
          <w:rStyle w:val="default"/>
          <w:rFonts w:cs="FrankRuehl" w:hint="cs"/>
          <w:rtl/>
        </w:rPr>
      </w:pPr>
      <w:bookmarkStart w:id="5" w:name="Seif5"/>
      <w:bookmarkEnd w:id="5"/>
      <w:r>
        <w:rPr>
          <w:lang w:val="he-IL"/>
        </w:rPr>
        <w:pict w14:anchorId="7EF4B384">
          <v:rect id="_x0000_s1031" style="position:absolute;left:0;text-align:left;margin-left:464.5pt;margin-top:8.05pt;width:75.05pt;height:21.5pt;z-index:251655680" o:allowincell="f" filled="f" stroked="f" strokecolor="lime" strokeweight=".25pt">
            <v:textbox inset="0,0,0,0">
              <w:txbxContent>
                <w:p w14:paraId="176B72A7" w14:textId="77777777" w:rsidR="002D21E9" w:rsidRDefault="002D21E9">
                  <w:pPr>
                    <w:spacing w:line="160" w:lineRule="exact"/>
                    <w:jc w:val="left"/>
                    <w:rPr>
                      <w:rFonts w:cs="Miriam"/>
                      <w:noProof/>
                      <w:szCs w:val="18"/>
                      <w:rtl/>
                    </w:rPr>
                  </w:pPr>
                  <w:r>
                    <w:rPr>
                      <w:rFonts w:cs="Miriam"/>
                      <w:szCs w:val="18"/>
                      <w:rtl/>
                    </w:rPr>
                    <w:t>ב</w:t>
                  </w:r>
                  <w:r>
                    <w:rPr>
                      <w:rFonts w:cs="Miriam" w:hint="cs"/>
                      <w:szCs w:val="18"/>
                      <w:rtl/>
                    </w:rPr>
                    <w:t>יצוע פסק דין לטובת המדינה</w:t>
                  </w:r>
                </w:p>
              </w:txbxContent>
            </v:textbox>
            <w10:anchorlock/>
          </v:rect>
        </w:pict>
      </w:r>
      <w:r>
        <w:rPr>
          <w:rStyle w:val="big-number"/>
          <w:rtl/>
        </w:rPr>
        <w:t>6.</w:t>
      </w:r>
      <w:r>
        <w:rPr>
          <w:rStyle w:val="big-number"/>
          <w:rtl/>
        </w:rPr>
        <w:tab/>
      </w:r>
      <w:r>
        <w:rPr>
          <w:rStyle w:val="default"/>
          <w:rFonts w:cs="FrankRuehl"/>
          <w:rtl/>
        </w:rPr>
        <w:t>פ</w:t>
      </w:r>
      <w:r>
        <w:rPr>
          <w:rStyle w:val="default"/>
          <w:rFonts w:cs="FrankRuehl" w:hint="cs"/>
          <w:rtl/>
        </w:rPr>
        <w:t>סק דין שניתן לטובת המדינה דינו לענין הוצאה לפועל כדין כל פסק דין.</w:t>
      </w:r>
    </w:p>
    <w:p w14:paraId="0518FEA3" w14:textId="77777777" w:rsidR="00874BDB" w:rsidRPr="009B6F21" w:rsidRDefault="00874BDB" w:rsidP="00E209E7">
      <w:pPr>
        <w:pStyle w:val="P00"/>
        <w:spacing w:before="72"/>
        <w:ind w:left="0" w:right="1134"/>
        <w:rPr>
          <w:rStyle w:val="default"/>
          <w:rFonts w:cs="FrankRuehl" w:hint="cs"/>
          <w:rtl/>
        </w:rPr>
      </w:pPr>
      <w:bookmarkStart w:id="6" w:name="Seif14"/>
      <w:bookmarkEnd w:id="6"/>
      <w:r w:rsidRPr="009B6F21">
        <w:rPr>
          <w:lang w:val="he-IL"/>
        </w:rPr>
        <w:pict w14:anchorId="0C97DC0C">
          <v:rect id="_x0000_s1041" style="position:absolute;left:0;text-align:left;margin-left:464.5pt;margin-top:8.05pt;width:75.05pt;height:50.65pt;z-index:251664896" o:allowincell="f" filled="f" stroked="f" strokecolor="lime" strokeweight=".25pt">
            <v:textbox inset="0,0,0,0">
              <w:txbxContent>
                <w:p w14:paraId="575680B0" w14:textId="77777777" w:rsidR="00874BDB" w:rsidRDefault="00874BDB" w:rsidP="00874BDB">
                  <w:pPr>
                    <w:spacing w:line="160" w:lineRule="exact"/>
                    <w:jc w:val="left"/>
                    <w:rPr>
                      <w:rFonts w:cs="Miriam" w:hint="cs"/>
                      <w:noProof/>
                      <w:szCs w:val="18"/>
                      <w:rtl/>
                    </w:rPr>
                  </w:pPr>
                  <w:r>
                    <w:rPr>
                      <w:rFonts w:cs="Miriam"/>
                      <w:szCs w:val="18"/>
                      <w:rtl/>
                    </w:rPr>
                    <w:t>ב</w:t>
                  </w:r>
                  <w:r>
                    <w:rPr>
                      <w:rFonts w:cs="Miriam" w:hint="cs"/>
                      <w:szCs w:val="18"/>
                      <w:rtl/>
                    </w:rPr>
                    <w:t>יצוע פסק דין לטובת המדינה</w:t>
                  </w:r>
                  <w:r w:rsidR="00E209E7">
                    <w:rPr>
                      <w:rFonts w:cs="Miriam" w:hint="cs"/>
                      <w:szCs w:val="18"/>
                      <w:rtl/>
                    </w:rPr>
                    <w:t xml:space="preserve"> לפינוי או לסילוק יד ממקרקעי ישראל</w:t>
                  </w:r>
                </w:p>
                <w:p w14:paraId="2C93C70A" w14:textId="77777777" w:rsidR="00874BDB" w:rsidRDefault="00874BDB" w:rsidP="00874BDB">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תשע"ז-2017</w:t>
                  </w:r>
                </w:p>
              </w:txbxContent>
            </v:textbox>
            <w10:anchorlock/>
          </v:rect>
        </w:pict>
      </w:r>
      <w:r w:rsidRPr="009B6F21">
        <w:rPr>
          <w:rStyle w:val="big-number"/>
          <w:rtl/>
        </w:rPr>
        <w:t>6</w:t>
      </w:r>
      <w:r w:rsidRPr="009B6F21">
        <w:rPr>
          <w:rStyle w:val="default"/>
          <w:rFonts w:cs="FrankRuehl" w:hint="cs"/>
          <w:rtl/>
        </w:rPr>
        <w:t>א</w:t>
      </w:r>
      <w:r w:rsidRPr="009B6F21">
        <w:rPr>
          <w:rStyle w:val="default"/>
          <w:rFonts w:cs="FrankRuehl"/>
          <w:rtl/>
        </w:rPr>
        <w:t>.</w:t>
      </w:r>
      <w:r w:rsidRPr="009B6F21">
        <w:rPr>
          <w:rStyle w:val="default"/>
          <w:rFonts w:cs="FrankRuehl"/>
          <w:rtl/>
        </w:rPr>
        <w:tab/>
      </w:r>
      <w:r w:rsidR="00E209E7" w:rsidRPr="009B6F21">
        <w:rPr>
          <w:rStyle w:val="default"/>
          <w:rFonts w:cs="FrankRuehl" w:hint="cs"/>
          <w:rtl/>
        </w:rPr>
        <w:t xml:space="preserve">ניתן לטובת המדינה פסק דין לפינוי או לסילוק יד ממקרקעי ישראל כמשמעותם בחוק-יסוד: מקרקעי ישראל, שהם מקרקעין המיועדים לפיתוח, והפך לסופי, יהיה ניתן לבצעו בדרך שבה מבוצע צו לפי סעיף 4 לחוק מקרקעי ציבור (פינוי קרקע), התשמ"א-1981, ויחולו לעניין זה ההוראות לפי סעיפים 5 ו-5א לחוק האמור, בשינויים המחויבים, ובלבד שניתנה למי שניתן נגדו פסק הדין התראה על ביצוע פסק הדין 21 ימים לפחות לפני מועד הביצוע; לעניין סעיף זה, "מקרקעין המיועדים לפיתוח" </w:t>
      </w:r>
      <w:r w:rsidR="00E209E7" w:rsidRPr="009B6F21">
        <w:rPr>
          <w:rStyle w:val="default"/>
          <w:rFonts w:cs="FrankRuehl"/>
          <w:rtl/>
        </w:rPr>
        <w:t>–</w:t>
      </w:r>
      <w:r w:rsidR="00E209E7" w:rsidRPr="009B6F21">
        <w:rPr>
          <w:rStyle w:val="default"/>
          <w:rFonts w:cs="FrankRuehl" w:hint="cs"/>
          <w:rtl/>
        </w:rPr>
        <w:t xml:space="preserve"> מקרקעין הכלולים בתחומה של תכנית בת-תוקף כמשמעותה בחוק התכנון והבנייה, התשכ"ה-1965, שניתן להוציא מכוחה היתר בנייה בלא צורך באישורה של תכנית נוספת, ברבע משטח התכנית לפחות, ושייעודם בתכנית כאמור הוא למגורים, לתעשייה, למלאכה, למסחר, למלונאות או לדרך (בסעיף זה </w:t>
      </w:r>
      <w:r w:rsidR="00E209E7" w:rsidRPr="009B6F21">
        <w:rPr>
          <w:rStyle w:val="default"/>
          <w:rFonts w:cs="FrankRuehl"/>
          <w:rtl/>
        </w:rPr>
        <w:t>–</w:t>
      </w:r>
      <w:r w:rsidR="00E209E7" w:rsidRPr="009B6F21">
        <w:rPr>
          <w:rStyle w:val="default"/>
          <w:rFonts w:cs="FrankRuehl" w:hint="cs"/>
          <w:rtl/>
        </w:rPr>
        <w:t xml:space="preserve"> הייעודים העיקריים) או לייעוד של מיתקני תשתית או תשתיות לאומיות, כהגדרתם בחוק האמור, הנדרשים למימוש התכנית שבה נקבעו הייעודים העיקריים.</w:t>
      </w:r>
    </w:p>
    <w:p w14:paraId="2AED6532" w14:textId="77777777" w:rsidR="00874BDB" w:rsidRPr="009B6F21" w:rsidRDefault="00874BDB" w:rsidP="00874BDB">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7" w:name="Rov17"/>
      <w:r w:rsidRPr="009B6F21">
        <w:rPr>
          <w:rStyle w:val="default"/>
          <w:rFonts w:cs="FrankRuehl" w:hint="cs"/>
          <w:vanish/>
          <w:color w:val="FF0000"/>
          <w:szCs w:val="20"/>
          <w:shd w:val="clear" w:color="auto" w:fill="FFFF99"/>
          <w:rtl/>
        </w:rPr>
        <w:t>מיום 25.10.2017</w:t>
      </w:r>
    </w:p>
    <w:p w14:paraId="704FE88E" w14:textId="77777777" w:rsidR="00874BDB" w:rsidRPr="009B6F21" w:rsidRDefault="00874BDB" w:rsidP="00874BDB">
      <w:pPr>
        <w:pStyle w:val="P00"/>
        <w:tabs>
          <w:tab w:val="clear" w:pos="1021"/>
          <w:tab w:val="left" w:pos="-3"/>
        </w:tabs>
        <w:spacing w:before="0"/>
        <w:ind w:left="0" w:right="1134"/>
        <w:rPr>
          <w:rStyle w:val="default"/>
          <w:rFonts w:cs="FrankRuehl" w:hint="cs"/>
          <w:vanish/>
          <w:szCs w:val="20"/>
          <w:shd w:val="clear" w:color="auto" w:fill="FFFF99"/>
          <w:rtl/>
        </w:rPr>
      </w:pPr>
      <w:r w:rsidRPr="009B6F21">
        <w:rPr>
          <w:rStyle w:val="default"/>
          <w:rFonts w:cs="FrankRuehl" w:hint="cs"/>
          <w:b/>
          <w:bCs/>
          <w:vanish/>
          <w:szCs w:val="20"/>
          <w:shd w:val="clear" w:color="auto" w:fill="FFFF99"/>
          <w:rtl/>
        </w:rPr>
        <w:t>תיקון מס' 2</w:t>
      </w:r>
    </w:p>
    <w:p w14:paraId="44999509" w14:textId="77777777" w:rsidR="00874BDB" w:rsidRPr="009B6F21" w:rsidRDefault="00874BDB" w:rsidP="00874BDB">
      <w:pPr>
        <w:pStyle w:val="P00"/>
        <w:tabs>
          <w:tab w:val="clear" w:pos="1021"/>
          <w:tab w:val="left" w:pos="-3"/>
        </w:tabs>
        <w:spacing w:before="0"/>
        <w:ind w:left="0" w:right="1134"/>
        <w:rPr>
          <w:rStyle w:val="default"/>
          <w:rFonts w:cs="FrankRuehl" w:hint="cs"/>
          <w:vanish/>
          <w:szCs w:val="20"/>
          <w:shd w:val="clear" w:color="auto" w:fill="FFFF99"/>
          <w:rtl/>
        </w:rPr>
      </w:pPr>
      <w:hyperlink r:id="rId8" w:history="1">
        <w:r w:rsidRPr="009B6F21">
          <w:rPr>
            <w:rStyle w:val="Hyperlink"/>
            <w:rFonts w:hint="cs"/>
            <w:vanish/>
            <w:szCs w:val="20"/>
            <w:shd w:val="clear" w:color="auto" w:fill="FFFF99"/>
            <w:rtl/>
          </w:rPr>
          <w:t>ס"ח תשע"ז מס' 2635</w:t>
        </w:r>
      </w:hyperlink>
      <w:r w:rsidRPr="009B6F21">
        <w:rPr>
          <w:rStyle w:val="default"/>
          <w:rFonts w:cs="FrankRuehl" w:hint="cs"/>
          <w:vanish/>
          <w:szCs w:val="20"/>
          <w:shd w:val="clear" w:color="auto" w:fill="FFFF99"/>
          <w:rtl/>
        </w:rPr>
        <w:t xml:space="preserve"> מיום 25.4.2017 עמ' 920 (</w:t>
      </w:r>
      <w:hyperlink r:id="rId9" w:history="1">
        <w:r w:rsidRPr="009B6F21">
          <w:rPr>
            <w:rStyle w:val="Hyperlink"/>
            <w:rFonts w:hint="cs"/>
            <w:vanish/>
            <w:szCs w:val="20"/>
            <w:shd w:val="clear" w:color="auto" w:fill="FFFF99"/>
            <w:rtl/>
          </w:rPr>
          <w:t>ה"ח 1074</w:t>
        </w:r>
      </w:hyperlink>
      <w:r w:rsidRPr="009B6F21">
        <w:rPr>
          <w:rStyle w:val="default"/>
          <w:rFonts w:cs="FrankRuehl" w:hint="cs"/>
          <w:vanish/>
          <w:szCs w:val="20"/>
          <w:shd w:val="clear" w:color="auto" w:fill="FFFF99"/>
          <w:rtl/>
        </w:rPr>
        <w:t>)</w:t>
      </w:r>
    </w:p>
    <w:p w14:paraId="52F74113" w14:textId="77777777" w:rsidR="00874BDB" w:rsidRPr="009B6F21" w:rsidRDefault="00874BDB" w:rsidP="009B6F21">
      <w:pPr>
        <w:pStyle w:val="P00"/>
        <w:tabs>
          <w:tab w:val="clear" w:pos="1021"/>
          <w:tab w:val="left" w:pos="-3"/>
        </w:tabs>
        <w:spacing w:before="0"/>
        <w:ind w:left="0" w:right="1134"/>
        <w:rPr>
          <w:rStyle w:val="default"/>
          <w:rFonts w:cs="FrankRuehl"/>
          <w:b/>
          <w:bCs/>
          <w:sz w:val="2"/>
          <w:szCs w:val="2"/>
          <w:shd w:val="clear" w:color="auto" w:fill="FFFF99"/>
          <w:rtl/>
        </w:rPr>
      </w:pPr>
      <w:r w:rsidRPr="009B6F21">
        <w:rPr>
          <w:rStyle w:val="default"/>
          <w:rFonts w:cs="FrankRuehl" w:hint="cs"/>
          <w:b/>
          <w:bCs/>
          <w:vanish/>
          <w:szCs w:val="20"/>
          <w:shd w:val="clear" w:color="auto" w:fill="FFFF99"/>
          <w:rtl/>
        </w:rPr>
        <w:t>הוספת סעיף 6א</w:t>
      </w:r>
      <w:bookmarkEnd w:id="7"/>
    </w:p>
    <w:p w14:paraId="728868B1" w14:textId="77777777" w:rsidR="002D21E9" w:rsidRDefault="002D21E9">
      <w:pPr>
        <w:pStyle w:val="P00"/>
        <w:spacing w:before="72"/>
        <w:ind w:left="0" w:right="1134"/>
        <w:rPr>
          <w:rStyle w:val="default"/>
          <w:rFonts w:cs="FrankRuehl" w:hint="cs"/>
          <w:rtl/>
        </w:rPr>
      </w:pPr>
      <w:bookmarkStart w:id="8" w:name="Seif6"/>
      <w:bookmarkEnd w:id="8"/>
      <w:r>
        <w:rPr>
          <w:lang w:val="he-IL"/>
        </w:rPr>
        <w:pict w14:anchorId="38E16D09">
          <v:rect id="_x0000_s1032" style="position:absolute;left:0;text-align:left;margin-left:464.5pt;margin-top:8.05pt;width:75.05pt;height:40.8pt;z-index:251656704" o:allowincell="f" filled="f" stroked="f" strokecolor="lime" strokeweight=".25pt">
            <v:textbox inset="0,0,0,0">
              <w:txbxContent>
                <w:p w14:paraId="23218BC5" w14:textId="77777777" w:rsidR="002D21E9" w:rsidRDefault="002D21E9">
                  <w:pPr>
                    <w:spacing w:line="160" w:lineRule="exact"/>
                    <w:jc w:val="left"/>
                    <w:rPr>
                      <w:rFonts w:cs="Miriam"/>
                      <w:noProof/>
                      <w:szCs w:val="18"/>
                      <w:rtl/>
                    </w:rPr>
                  </w:pPr>
                  <w:r>
                    <w:rPr>
                      <w:rFonts w:cs="Miriam"/>
                      <w:szCs w:val="18"/>
                      <w:rtl/>
                    </w:rPr>
                    <w:t>ב</w:t>
                  </w:r>
                  <w:r>
                    <w:rPr>
                      <w:rFonts w:cs="Miriam" w:hint="cs"/>
                      <w:szCs w:val="18"/>
                      <w:rtl/>
                    </w:rPr>
                    <w:t>יצוע פסק דין נגד המדינה</w:t>
                  </w:r>
                </w:p>
                <w:p w14:paraId="58FBC860" w14:textId="77777777" w:rsidR="002D21E9" w:rsidRDefault="00F67193" w:rsidP="00F67193">
                  <w:pPr>
                    <w:spacing w:line="160" w:lineRule="exact"/>
                    <w:jc w:val="left"/>
                    <w:rPr>
                      <w:rFonts w:cs="Miriam"/>
                      <w:noProof/>
                      <w:szCs w:val="18"/>
                      <w:rtl/>
                    </w:rPr>
                  </w:pPr>
                  <w:r>
                    <w:rPr>
                      <w:rFonts w:cs="Miriam" w:hint="cs"/>
                      <w:szCs w:val="18"/>
                      <w:rtl/>
                    </w:rPr>
                    <w:t>(תיקון מס' 1)</w:t>
                  </w:r>
                  <w:r w:rsidR="002D21E9">
                    <w:rPr>
                      <w:rFonts w:cs="Miriam" w:hint="cs"/>
                      <w:szCs w:val="18"/>
                      <w:rtl/>
                    </w:rPr>
                    <w:t xml:space="preserve"> </w:t>
                  </w:r>
                  <w:r>
                    <w:rPr>
                      <w:rFonts w:cs="Miriam"/>
                      <w:szCs w:val="18"/>
                      <w:rtl/>
                    </w:rPr>
                    <w:br/>
                  </w:r>
                  <w:r w:rsidR="002D21E9">
                    <w:rPr>
                      <w:rFonts w:cs="Miriam" w:hint="cs"/>
                      <w:szCs w:val="18"/>
                      <w:rtl/>
                    </w:rPr>
                    <w:t>תשנ"ט</w:t>
                  </w:r>
                  <w:r>
                    <w:rPr>
                      <w:rFonts w:cs="Miriam" w:hint="cs"/>
                      <w:szCs w:val="18"/>
                      <w:rtl/>
                    </w:rPr>
                    <w:t>-</w:t>
                  </w:r>
                  <w:r w:rsidR="002D21E9">
                    <w:rPr>
                      <w:rFonts w:cs="Miriam" w:hint="cs"/>
                      <w:szCs w:val="18"/>
                      <w:rtl/>
                    </w:rPr>
                    <w:t>1998</w:t>
                  </w:r>
                </w:p>
              </w:txbxContent>
            </v:textbox>
            <w10:anchorlock/>
          </v:rect>
        </w:pict>
      </w:r>
      <w:r>
        <w:rPr>
          <w:rStyle w:val="big-number"/>
          <w:rtl/>
        </w:rPr>
        <w:t>7.</w:t>
      </w:r>
      <w:r>
        <w:rPr>
          <w:rStyle w:val="big-number"/>
          <w:rtl/>
        </w:rPr>
        <w:tab/>
      </w:r>
      <w:r>
        <w:rPr>
          <w:rStyle w:val="default"/>
          <w:rFonts w:cs="FrankRuehl"/>
          <w:rtl/>
        </w:rPr>
        <w:t>פ</w:t>
      </w:r>
      <w:r>
        <w:rPr>
          <w:rStyle w:val="default"/>
          <w:rFonts w:cs="FrankRuehl" w:hint="cs"/>
          <w:rtl/>
        </w:rPr>
        <w:t xml:space="preserve">סק דין שניתן נגד המדינה, יועבר על ידי שר המשפטים לשר האוצר, ויבוצע על </w:t>
      </w:r>
      <w:r>
        <w:rPr>
          <w:rStyle w:val="default"/>
          <w:rFonts w:cs="FrankRuehl"/>
          <w:rtl/>
        </w:rPr>
        <w:t>י</w:t>
      </w:r>
      <w:r>
        <w:rPr>
          <w:rStyle w:val="default"/>
          <w:rFonts w:cs="FrankRuehl" w:hint="cs"/>
          <w:rtl/>
        </w:rPr>
        <w:t>די שר האוצר, ודיני ההוצאה לפועל של פסקי דין לא יחולו.</w:t>
      </w:r>
    </w:p>
    <w:p w14:paraId="762532A0" w14:textId="77777777" w:rsidR="00BA5829" w:rsidRPr="00130A02" w:rsidRDefault="00BA5829" w:rsidP="00BA5829">
      <w:pPr>
        <w:pStyle w:val="P00"/>
        <w:spacing w:before="0"/>
        <w:ind w:left="0" w:right="1134"/>
        <w:rPr>
          <w:rFonts w:hint="cs"/>
          <w:b/>
          <w:bCs/>
          <w:vanish/>
          <w:szCs w:val="20"/>
          <w:shd w:val="clear" w:color="auto" w:fill="FFFF99"/>
          <w:rtl/>
        </w:rPr>
      </w:pPr>
      <w:bookmarkStart w:id="9" w:name="Rov2"/>
      <w:r w:rsidRPr="00130A02">
        <w:rPr>
          <w:rFonts w:hint="cs"/>
          <w:vanish/>
          <w:color w:val="FF0000"/>
          <w:szCs w:val="20"/>
          <w:shd w:val="clear" w:color="auto" w:fill="FFFF99"/>
          <w:rtl/>
        </w:rPr>
        <w:t>מיום 17.1.1999</w:t>
      </w:r>
    </w:p>
    <w:p w14:paraId="0C142CB9" w14:textId="77777777" w:rsidR="00BA5829" w:rsidRPr="00130A02" w:rsidRDefault="00BA5829" w:rsidP="00BA5829">
      <w:pPr>
        <w:pStyle w:val="P00"/>
        <w:spacing w:before="0"/>
        <w:ind w:left="0" w:right="1134"/>
        <w:rPr>
          <w:rFonts w:hint="cs"/>
          <w:b/>
          <w:bCs/>
          <w:vanish/>
          <w:szCs w:val="20"/>
          <w:shd w:val="clear" w:color="auto" w:fill="FFFF99"/>
          <w:rtl/>
        </w:rPr>
      </w:pPr>
      <w:r w:rsidRPr="00130A02">
        <w:rPr>
          <w:rFonts w:hint="cs"/>
          <w:b/>
          <w:bCs/>
          <w:vanish/>
          <w:szCs w:val="20"/>
          <w:shd w:val="clear" w:color="auto" w:fill="FFFF99"/>
          <w:rtl/>
        </w:rPr>
        <w:t>תיקון מס' 1</w:t>
      </w:r>
    </w:p>
    <w:p w14:paraId="7D046DC6" w14:textId="77777777" w:rsidR="00BA5829" w:rsidRPr="00130A02" w:rsidRDefault="00BA5829" w:rsidP="00BA5829">
      <w:pPr>
        <w:pStyle w:val="P00"/>
        <w:tabs>
          <w:tab w:val="clear" w:pos="6259"/>
        </w:tabs>
        <w:spacing w:before="0"/>
        <w:ind w:left="0" w:right="1134"/>
        <w:rPr>
          <w:rFonts w:hint="cs"/>
          <w:vanish/>
          <w:szCs w:val="20"/>
          <w:shd w:val="clear" w:color="auto" w:fill="FFFF99"/>
          <w:rtl/>
        </w:rPr>
      </w:pPr>
      <w:hyperlink r:id="rId10" w:history="1">
        <w:r w:rsidRPr="00130A02">
          <w:rPr>
            <w:rStyle w:val="Hyperlink"/>
            <w:rFonts w:hint="cs"/>
            <w:vanish/>
            <w:szCs w:val="20"/>
            <w:shd w:val="clear" w:color="auto" w:fill="FFFF99"/>
            <w:rtl/>
          </w:rPr>
          <w:t>ס"ח תשנ"ט מס' 1695</w:t>
        </w:r>
      </w:hyperlink>
      <w:r w:rsidRPr="00130A02">
        <w:rPr>
          <w:rFonts w:hint="cs"/>
          <w:vanish/>
          <w:szCs w:val="20"/>
          <w:shd w:val="clear" w:color="auto" w:fill="FFFF99"/>
          <w:rtl/>
        </w:rPr>
        <w:t xml:space="preserve"> מיום 18.12.1999 עמ' 34 (</w:t>
      </w:r>
      <w:hyperlink r:id="rId11" w:history="1">
        <w:r w:rsidRPr="00130A02">
          <w:rPr>
            <w:rStyle w:val="Hyperlink"/>
            <w:rFonts w:hint="cs"/>
            <w:vanish/>
            <w:szCs w:val="20"/>
            <w:shd w:val="clear" w:color="auto" w:fill="FFFF99"/>
            <w:rtl/>
          </w:rPr>
          <w:t>ה"ח 2751</w:t>
        </w:r>
      </w:hyperlink>
      <w:r w:rsidRPr="00130A02">
        <w:rPr>
          <w:rFonts w:hint="cs"/>
          <w:vanish/>
          <w:szCs w:val="20"/>
          <w:shd w:val="clear" w:color="auto" w:fill="FFFF99"/>
          <w:rtl/>
        </w:rPr>
        <w:t>)</w:t>
      </w:r>
    </w:p>
    <w:p w14:paraId="2DF44A74" w14:textId="77777777" w:rsidR="00BA5829" w:rsidRPr="00BA5829" w:rsidRDefault="00BA5829" w:rsidP="00BA5829">
      <w:pPr>
        <w:pStyle w:val="P00"/>
        <w:ind w:left="0" w:right="1134"/>
        <w:rPr>
          <w:rStyle w:val="default"/>
          <w:rFonts w:cs="FrankRuehl" w:hint="cs"/>
          <w:sz w:val="2"/>
          <w:szCs w:val="2"/>
          <w:rtl/>
        </w:rPr>
      </w:pPr>
      <w:r w:rsidRPr="00130A02">
        <w:rPr>
          <w:rStyle w:val="big-number"/>
          <w:rFonts w:cs="FrankRuehl"/>
          <w:vanish/>
          <w:sz w:val="22"/>
          <w:szCs w:val="22"/>
          <w:shd w:val="clear" w:color="auto" w:fill="FFFF99"/>
          <w:rtl/>
        </w:rPr>
        <w:t>7.</w:t>
      </w:r>
      <w:r w:rsidRPr="00130A02">
        <w:rPr>
          <w:rStyle w:val="big-number"/>
          <w:rFonts w:cs="FrankRuehl"/>
          <w:vanish/>
          <w:sz w:val="22"/>
          <w:szCs w:val="22"/>
          <w:shd w:val="clear" w:color="auto" w:fill="FFFF99"/>
          <w:rtl/>
        </w:rPr>
        <w:tab/>
      </w:r>
      <w:r w:rsidRPr="00130A02">
        <w:rPr>
          <w:rStyle w:val="default"/>
          <w:rFonts w:cs="FrankRuehl"/>
          <w:vanish/>
          <w:sz w:val="22"/>
          <w:szCs w:val="22"/>
          <w:shd w:val="clear" w:color="auto" w:fill="FFFF99"/>
          <w:rtl/>
        </w:rPr>
        <w:t>פ</w:t>
      </w:r>
      <w:r w:rsidRPr="00130A02">
        <w:rPr>
          <w:rStyle w:val="default"/>
          <w:rFonts w:cs="FrankRuehl" w:hint="cs"/>
          <w:vanish/>
          <w:sz w:val="22"/>
          <w:szCs w:val="22"/>
          <w:shd w:val="clear" w:color="auto" w:fill="FFFF99"/>
          <w:rtl/>
        </w:rPr>
        <w:t xml:space="preserve">סק דין שניתן נגד המדינה </w:t>
      </w:r>
      <w:r w:rsidRPr="00130A02">
        <w:rPr>
          <w:rStyle w:val="default"/>
          <w:rFonts w:cs="FrankRuehl" w:hint="cs"/>
          <w:strike/>
          <w:vanish/>
          <w:sz w:val="22"/>
          <w:szCs w:val="22"/>
          <w:shd w:val="clear" w:color="auto" w:fill="FFFF99"/>
          <w:rtl/>
        </w:rPr>
        <w:t>ושאין עליו ערעור</w:t>
      </w:r>
      <w:r w:rsidRPr="00130A02">
        <w:rPr>
          <w:rStyle w:val="default"/>
          <w:rFonts w:cs="FrankRuehl" w:hint="cs"/>
          <w:vanish/>
          <w:sz w:val="22"/>
          <w:szCs w:val="22"/>
          <w:shd w:val="clear" w:color="auto" w:fill="FFFF99"/>
          <w:rtl/>
        </w:rPr>
        <w:t xml:space="preserve">, יועבר על ידי שר המשפטים לשר האוצר, ויבוצע על </w:t>
      </w:r>
      <w:r w:rsidRPr="00130A02">
        <w:rPr>
          <w:rStyle w:val="default"/>
          <w:rFonts w:cs="FrankRuehl"/>
          <w:vanish/>
          <w:sz w:val="22"/>
          <w:szCs w:val="22"/>
          <w:shd w:val="clear" w:color="auto" w:fill="FFFF99"/>
          <w:rtl/>
        </w:rPr>
        <w:t>י</w:t>
      </w:r>
      <w:r w:rsidRPr="00130A02">
        <w:rPr>
          <w:rStyle w:val="default"/>
          <w:rFonts w:cs="FrankRuehl" w:hint="cs"/>
          <w:vanish/>
          <w:sz w:val="22"/>
          <w:szCs w:val="22"/>
          <w:shd w:val="clear" w:color="auto" w:fill="FFFF99"/>
          <w:rtl/>
        </w:rPr>
        <w:t>די שר האוצר, ודיני ההוצאה לפועל של פסקי דין לא יחולו.</w:t>
      </w:r>
      <w:bookmarkEnd w:id="9"/>
    </w:p>
    <w:p w14:paraId="0FD911FF" w14:textId="77777777" w:rsidR="002D21E9" w:rsidRDefault="002D21E9">
      <w:pPr>
        <w:pStyle w:val="P00"/>
        <w:spacing w:before="72"/>
        <w:ind w:left="0" w:right="1134"/>
        <w:rPr>
          <w:rStyle w:val="default"/>
          <w:rFonts w:cs="FrankRuehl"/>
          <w:rtl/>
        </w:rPr>
      </w:pPr>
      <w:bookmarkStart w:id="10" w:name="Seif7"/>
      <w:bookmarkEnd w:id="10"/>
      <w:r>
        <w:rPr>
          <w:lang w:val="he-IL"/>
        </w:rPr>
        <w:pict w14:anchorId="3B20C058">
          <v:rect id="_x0000_s1033" style="position:absolute;left:0;text-align:left;margin-left:464.5pt;margin-top:8.05pt;width:75.05pt;height:14.45pt;z-index:251657728" o:allowincell="f" filled="f" stroked="f" strokecolor="lime" strokeweight=".25pt">
            <v:textbox inset="0,0,0,0">
              <w:txbxContent>
                <w:p w14:paraId="798358AC" w14:textId="77777777" w:rsidR="002D21E9" w:rsidRDefault="002D21E9">
                  <w:pPr>
                    <w:spacing w:line="160" w:lineRule="exact"/>
                    <w:jc w:val="left"/>
                    <w:rPr>
                      <w:rFonts w:cs="Miriam"/>
                      <w:noProof/>
                      <w:szCs w:val="18"/>
                      <w:rtl/>
                    </w:rPr>
                  </w:pPr>
                  <w:r>
                    <w:rPr>
                      <w:rFonts w:cs="Miriam"/>
                      <w:szCs w:val="18"/>
                      <w:rtl/>
                    </w:rPr>
                    <w:t>ס</w:t>
                  </w:r>
                  <w:r>
                    <w:rPr>
                      <w:rFonts w:cs="Miriam" w:hint="cs"/>
                      <w:szCs w:val="18"/>
                      <w:rtl/>
                    </w:rPr>
                    <w:t>דרי דין ו</w:t>
                  </w:r>
                  <w:r>
                    <w:rPr>
                      <w:rFonts w:cs="Miriam"/>
                      <w:szCs w:val="18"/>
                      <w:rtl/>
                    </w:rPr>
                    <w:t>א</w:t>
                  </w:r>
                  <w:r>
                    <w:rPr>
                      <w:rFonts w:cs="Miriam" w:hint="cs"/>
                      <w:szCs w:val="18"/>
                      <w:rtl/>
                    </w:rPr>
                    <w:t>גרות</w:t>
                  </w:r>
                </w:p>
              </w:txbxContent>
            </v:textbox>
            <w10:anchorlock/>
          </v:rect>
        </w:pict>
      </w:r>
      <w:r>
        <w:rPr>
          <w:rStyle w:val="big-number"/>
          <w:rtl/>
        </w:rPr>
        <w:t>8.</w:t>
      </w:r>
      <w:r>
        <w:rPr>
          <w:rStyle w:val="big-number"/>
          <w:rtl/>
        </w:rPr>
        <w:tab/>
      </w:r>
      <w:r>
        <w:rPr>
          <w:rStyle w:val="default"/>
          <w:rFonts w:cs="FrankRuehl"/>
          <w:rtl/>
        </w:rPr>
        <w:t>ס</w:t>
      </w:r>
      <w:r>
        <w:rPr>
          <w:rStyle w:val="default"/>
          <w:rFonts w:cs="FrankRuehl" w:hint="cs"/>
          <w:rtl/>
        </w:rPr>
        <w:t>דרי הדין החלים על הליכים יחולו על הליכים של המדינה או נגדה, בשינויים המחוייבים לפי הענין, ובלבד שהמדינה לא תהיה חייבת לשלם אגרה, להפקיד פקדון או לתת ערובה או בטוחה.</w:t>
      </w:r>
    </w:p>
    <w:p w14:paraId="15940C8D" w14:textId="77777777" w:rsidR="002D21E9" w:rsidRDefault="002D21E9">
      <w:pPr>
        <w:pStyle w:val="P00"/>
        <w:spacing w:before="72"/>
        <w:ind w:left="0" w:right="1134"/>
        <w:rPr>
          <w:rStyle w:val="default"/>
          <w:rFonts w:cs="FrankRuehl"/>
          <w:rtl/>
        </w:rPr>
      </w:pPr>
      <w:bookmarkStart w:id="11" w:name="Seif8"/>
      <w:bookmarkEnd w:id="11"/>
      <w:r>
        <w:rPr>
          <w:lang w:val="he-IL"/>
        </w:rPr>
        <w:pict w14:anchorId="727FD425">
          <v:rect id="_x0000_s1034" style="position:absolute;left:0;text-align:left;margin-left:464.5pt;margin-top:8.05pt;width:75.05pt;height:13.35pt;z-index:251658752" o:allowincell="f" filled="f" stroked="f" strokecolor="lime" strokeweight=".25pt">
            <v:textbox inset="0,0,0,0">
              <w:txbxContent>
                <w:p w14:paraId="40B96345" w14:textId="77777777" w:rsidR="002D21E9" w:rsidRDefault="002D21E9">
                  <w:pPr>
                    <w:spacing w:line="160" w:lineRule="exact"/>
                    <w:jc w:val="left"/>
                    <w:rPr>
                      <w:rFonts w:cs="Miriam"/>
                      <w:noProof/>
                      <w:szCs w:val="18"/>
                      <w:rtl/>
                    </w:rPr>
                  </w:pPr>
                  <w:r>
                    <w:rPr>
                      <w:rFonts w:cs="Miriam"/>
                      <w:szCs w:val="18"/>
                      <w:rtl/>
                    </w:rPr>
                    <w:t>ה</w:t>
                  </w:r>
                  <w:r>
                    <w:rPr>
                      <w:rFonts w:cs="Miriam" w:hint="cs"/>
                      <w:szCs w:val="18"/>
                      <w:rtl/>
                    </w:rPr>
                    <w:t>וצאות</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ענין הוצאות משפט, דין המדי</w:t>
      </w:r>
      <w:r>
        <w:rPr>
          <w:rStyle w:val="default"/>
          <w:rFonts w:cs="FrankRuehl"/>
          <w:rtl/>
        </w:rPr>
        <w:t>נ</w:t>
      </w:r>
      <w:r>
        <w:rPr>
          <w:rStyle w:val="default"/>
          <w:rFonts w:cs="FrankRuehl" w:hint="cs"/>
          <w:rtl/>
        </w:rPr>
        <w:t>ה כדין כל בעל דין, ודין המדינה כשהיא מיוצגת על ידי היועץ המשפטי לממשלה או בא-כוחו כדין בעל דין המיוצג על ידי עורך דין.</w:t>
      </w:r>
    </w:p>
    <w:p w14:paraId="6BB23771" w14:textId="77777777" w:rsidR="002D21E9" w:rsidRDefault="002D21E9">
      <w:pPr>
        <w:pStyle w:val="P00"/>
        <w:spacing w:before="72"/>
        <w:ind w:left="0" w:right="1134"/>
        <w:rPr>
          <w:rStyle w:val="default"/>
          <w:rFonts w:cs="FrankRuehl"/>
          <w:rtl/>
        </w:rPr>
      </w:pPr>
      <w:bookmarkStart w:id="12" w:name="Seif9"/>
      <w:bookmarkEnd w:id="12"/>
      <w:r>
        <w:rPr>
          <w:lang w:val="he-IL"/>
        </w:rPr>
        <w:pict w14:anchorId="2CFA8A07">
          <v:rect id="_x0000_s1035" style="position:absolute;left:0;text-align:left;margin-left:464.5pt;margin-top:8.05pt;width:75.05pt;height:14pt;z-index:251659776" o:allowincell="f" filled="f" stroked="f" strokecolor="lime" strokeweight=".25pt">
            <v:textbox inset="0,0,0,0">
              <w:txbxContent>
                <w:p w14:paraId="6FE066C5" w14:textId="77777777" w:rsidR="002D21E9" w:rsidRDefault="002D21E9">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10.</w:t>
      </w:r>
      <w:r>
        <w:rPr>
          <w:rStyle w:val="big-number"/>
          <w:rtl/>
        </w:rPr>
        <w:tab/>
      </w:r>
      <w:r>
        <w:rPr>
          <w:rStyle w:val="default"/>
          <w:rFonts w:cs="FrankRuehl"/>
          <w:rtl/>
        </w:rPr>
        <w:t>ח</w:t>
      </w:r>
      <w:r>
        <w:rPr>
          <w:rStyle w:val="default"/>
          <w:rFonts w:cs="FrankRuehl" w:hint="cs"/>
          <w:rtl/>
        </w:rPr>
        <w:t>וק זה אינו בא לגרוע מהוראות כל דין אחר, והוא אינו חל על ענינים בבית המשפט העליון בשבתו כבית משפט גבוה לצדק או בועדת ערעורים או ערר</w:t>
      </w:r>
      <w:r>
        <w:rPr>
          <w:rStyle w:val="default"/>
          <w:rFonts w:cs="FrankRuehl"/>
          <w:rtl/>
        </w:rPr>
        <w:t>י</w:t>
      </w:r>
      <w:r>
        <w:rPr>
          <w:rStyle w:val="default"/>
          <w:rFonts w:cs="FrankRuehl" w:hint="cs"/>
          <w:rtl/>
        </w:rPr>
        <w:t>ם.</w:t>
      </w:r>
    </w:p>
    <w:p w14:paraId="2F05C910" w14:textId="77777777" w:rsidR="002D21E9" w:rsidRDefault="002D21E9">
      <w:pPr>
        <w:pStyle w:val="P00"/>
        <w:spacing w:before="72"/>
        <w:ind w:left="0" w:right="1134"/>
        <w:rPr>
          <w:rStyle w:val="default"/>
          <w:rFonts w:cs="FrankRuehl"/>
          <w:rtl/>
        </w:rPr>
      </w:pPr>
      <w:bookmarkStart w:id="13" w:name="Seif10"/>
      <w:bookmarkEnd w:id="13"/>
      <w:r>
        <w:rPr>
          <w:lang w:val="he-IL"/>
        </w:rPr>
        <w:pict w14:anchorId="228DE851">
          <v:rect id="_x0000_s1036" style="position:absolute;left:0;text-align:left;margin-left:464.5pt;margin-top:8.05pt;width:75.05pt;height:20.3pt;z-index:251660800" o:allowincell="f" filled="f" stroked="f" strokecolor="lime" strokeweight=".25pt">
            <v:textbox inset="0,0,0,0">
              <w:txbxContent>
                <w:p w14:paraId="64D32A01" w14:textId="77777777" w:rsidR="002D21E9" w:rsidRDefault="002D21E9">
                  <w:pPr>
                    <w:spacing w:line="160" w:lineRule="exact"/>
                    <w:jc w:val="left"/>
                    <w:rPr>
                      <w:rFonts w:cs="Miriam"/>
                      <w:noProof/>
                      <w:szCs w:val="18"/>
                      <w:rtl/>
                    </w:rPr>
                  </w:pPr>
                  <w:r>
                    <w:rPr>
                      <w:rFonts w:cs="Miriam"/>
                      <w:szCs w:val="18"/>
                      <w:rtl/>
                    </w:rPr>
                    <w:t>מ</w:t>
                  </w:r>
                  <w:r>
                    <w:rPr>
                      <w:rFonts w:cs="Miriam" w:hint="cs"/>
                      <w:szCs w:val="18"/>
                      <w:rtl/>
                    </w:rPr>
                    <w:t>וסד המדינה שאינו תאגיד</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ענין חוק זה, דין מוסד המדינה שאינו תאגיד כדין המדינה.</w:t>
      </w:r>
    </w:p>
    <w:p w14:paraId="0BFF2A94" w14:textId="77777777" w:rsidR="002D21E9" w:rsidRDefault="002D21E9">
      <w:pPr>
        <w:pStyle w:val="P00"/>
        <w:spacing w:before="72"/>
        <w:ind w:left="0" w:right="1134"/>
        <w:rPr>
          <w:rStyle w:val="default"/>
          <w:rFonts w:cs="FrankRuehl"/>
          <w:rtl/>
        </w:rPr>
      </w:pPr>
      <w:bookmarkStart w:id="14" w:name="Seif11"/>
      <w:bookmarkEnd w:id="14"/>
      <w:r>
        <w:rPr>
          <w:lang w:val="he-IL"/>
        </w:rPr>
        <w:pict w14:anchorId="391620A0">
          <v:rect id="_x0000_s1037" style="position:absolute;left:0;text-align:left;margin-left:464.5pt;margin-top:8.05pt;width:75.05pt;height:17.2pt;z-index:251661824" o:allowincell="f" filled="f" stroked="f" strokecolor="lime" strokeweight=".25pt">
            <v:textbox inset="0,0,0,0">
              <w:txbxContent>
                <w:p w14:paraId="46FF83FF" w14:textId="77777777" w:rsidR="002D21E9" w:rsidRDefault="002D21E9">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 xml:space="preserve">יה ענין תלוי ועומד בבית משפט לפני תחילתו של חוק זה, רשאים בעלי הדין להגיש או לנהל הליכים באותו ענין לפי הדין שהיה קיים ערב תחילתו של חוק זה, ולא תישמע טענה שהליך בענין הוגש או התנהל שלא </w:t>
      </w:r>
      <w:r>
        <w:rPr>
          <w:rStyle w:val="default"/>
          <w:rFonts w:cs="FrankRuehl"/>
          <w:rtl/>
        </w:rPr>
        <w:t>ל</w:t>
      </w:r>
      <w:r>
        <w:rPr>
          <w:rStyle w:val="default"/>
          <w:rFonts w:cs="FrankRuehl" w:hint="cs"/>
          <w:rtl/>
        </w:rPr>
        <w:t>פי הוראות חוק זה.</w:t>
      </w:r>
    </w:p>
    <w:p w14:paraId="57113958" w14:textId="77777777" w:rsidR="002D21E9" w:rsidRDefault="002D21E9" w:rsidP="00684FD9">
      <w:pPr>
        <w:pStyle w:val="P00"/>
        <w:spacing w:before="72"/>
        <w:ind w:left="0" w:right="1134"/>
        <w:rPr>
          <w:rStyle w:val="default"/>
          <w:rFonts w:cs="FrankRuehl"/>
          <w:rtl/>
        </w:rPr>
      </w:pPr>
      <w:bookmarkStart w:id="15" w:name="Seif12"/>
      <w:bookmarkEnd w:id="15"/>
      <w:r>
        <w:rPr>
          <w:lang w:val="he-IL"/>
        </w:rPr>
        <w:lastRenderedPageBreak/>
        <w:pict w14:anchorId="20EE729E">
          <v:rect id="_x0000_s1038" style="position:absolute;left:0;text-align:left;margin-left:464.5pt;margin-top:8.05pt;width:75.05pt;height:16.05pt;z-index:251662848" o:allowincell="f" filled="f" stroked="f" strokecolor="lime" strokeweight=".25pt">
            <v:textbox inset="0,0,0,0">
              <w:txbxContent>
                <w:p w14:paraId="304CA5E6" w14:textId="77777777" w:rsidR="002D21E9" w:rsidRDefault="002D21E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13.</w:t>
      </w:r>
      <w:r>
        <w:rPr>
          <w:rStyle w:val="big-number"/>
          <w:rtl/>
        </w:rPr>
        <w:tab/>
      </w:r>
      <w:r>
        <w:rPr>
          <w:rStyle w:val="default"/>
          <w:rFonts w:cs="FrankRuehl"/>
          <w:rtl/>
        </w:rPr>
        <w:t>פ</w:t>
      </w:r>
      <w:r>
        <w:rPr>
          <w:rStyle w:val="default"/>
          <w:rFonts w:cs="FrankRuehl" w:hint="cs"/>
          <w:rtl/>
        </w:rPr>
        <w:t xml:space="preserve">קודת המשפטים הממשלתיים </w:t>
      </w:r>
      <w:r w:rsidR="000A5CD0">
        <w:rPr>
          <w:rStyle w:val="default"/>
          <w:rFonts w:cs="FrankRuehl"/>
          <w:rtl/>
        </w:rPr>
        <w:t>–</w:t>
      </w:r>
      <w:r>
        <w:rPr>
          <w:rStyle w:val="default"/>
          <w:rFonts w:cs="FrankRuehl" w:hint="cs"/>
          <w:rtl/>
        </w:rPr>
        <w:t xml:space="preserve"> בטלה.</w:t>
      </w:r>
    </w:p>
    <w:p w14:paraId="4AD1CD0B" w14:textId="77777777" w:rsidR="002D21E9" w:rsidRDefault="002D21E9">
      <w:pPr>
        <w:pStyle w:val="page"/>
        <w:widowControl/>
        <w:ind w:right="1134"/>
        <w:rPr>
          <w:rStyle w:val="default"/>
          <w:rFonts w:cs="FrankRuehl"/>
          <w:rtl/>
        </w:rPr>
      </w:pPr>
      <w:bookmarkStart w:id="16" w:name="Seif13"/>
      <w:bookmarkEnd w:id="16"/>
      <w:r>
        <w:rPr>
          <w:lang w:val="he-IL"/>
        </w:rPr>
        <w:pict w14:anchorId="76AFDEBA">
          <v:rect id="_x0000_s1039" style="position:absolute;left:0;text-align:left;margin-left:464.5pt;margin-top:8.05pt;width:75.05pt;height:11pt;z-index:251663872" o:allowincell="f" filled="f" stroked="f" strokecolor="lime" strokeweight=".25pt">
            <v:textbox inset="0,0,0,0">
              <w:txbxContent>
                <w:p w14:paraId="1CD29F91" w14:textId="77777777" w:rsidR="002D21E9" w:rsidRDefault="002D21E9">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14.</w:t>
      </w:r>
      <w:r>
        <w:rPr>
          <w:rStyle w:val="big-number"/>
          <w:rtl/>
        </w:rPr>
        <w:tab/>
      </w:r>
      <w:r>
        <w:rPr>
          <w:rStyle w:val="default"/>
          <w:rFonts w:cs="FrankRuehl"/>
          <w:rtl/>
        </w:rPr>
        <w:t>ש</w:t>
      </w:r>
      <w:r>
        <w:rPr>
          <w:rStyle w:val="default"/>
          <w:rFonts w:cs="FrankRuehl" w:hint="cs"/>
          <w:rtl/>
        </w:rPr>
        <w:t>ר המשפטים ממונה על ביצוע חוק זה והוא רשאי להתקין תקנות בכל הנוגע לביצועו, לרבות דרכי ביצועם של פסקי דין שניתנו נגד המדינה.</w:t>
      </w:r>
    </w:p>
    <w:p w14:paraId="6DB4044C" w14:textId="77777777" w:rsidR="00F67193" w:rsidRDefault="00F67193">
      <w:pPr>
        <w:pStyle w:val="P00"/>
        <w:spacing w:before="72"/>
        <w:ind w:left="0" w:right="1134"/>
        <w:rPr>
          <w:rStyle w:val="default"/>
          <w:rFonts w:cs="FrankRuehl" w:hint="cs"/>
          <w:rtl/>
        </w:rPr>
      </w:pPr>
    </w:p>
    <w:p w14:paraId="2E15C7A1" w14:textId="77777777" w:rsidR="000A5CD0" w:rsidRDefault="000A5CD0">
      <w:pPr>
        <w:pStyle w:val="P00"/>
        <w:spacing w:before="72"/>
        <w:ind w:left="0" w:right="1134"/>
        <w:rPr>
          <w:rStyle w:val="default"/>
          <w:rFonts w:cs="FrankRuehl" w:hint="cs"/>
          <w:rtl/>
        </w:rPr>
      </w:pPr>
    </w:p>
    <w:p w14:paraId="1498343F" w14:textId="77777777" w:rsidR="002D21E9" w:rsidRPr="00F67193" w:rsidRDefault="002D21E9" w:rsidP="000A5CD0">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F67193">
        <w:rPr>
          <w:sz w:val="26"/>
          <w:szCs w:val="26"/>
          <w:rtl/>
        </w:rPr>
        <w:tab/>
      </w:r>
      <w:r w:rsidRPr="00F67193">
        <w:rPr>
          <w:sz w:val="26"/>
          <w:szCs w:val="26"/>
          <w:rtl/>
        </w:rPr>
        <w:tab/>
      </w:r>
      <w:r w:rsidRPr="00F67193">
        <w:rPr>
          <w:rFonts w:hint="cs"/>
          <w:sz w:val="26"/>
          <w:szCs w:val="26"/>
          <w:rtl/>
        </w:rPr>
        <w:t>דוד בן-גוריון</w:t>
      </w:r>
      <w:r w:rsidRPr="00F67193">
        <w:rPr>
          <w:sz w:val="26"/>
          <w:szCs w:val="26"/>
          <w:rtl/>
        </w:rPr>
        <w:tab/>
      </w:r>
      <w:r w:rsidRPr="00F67193">
        <w:rPr>
          <w:rFonts w:hint="cs"/>
          <w:sz w:val="26"/>
          <w:szCs w:val="26"/>
          <w:rtl/>
        </w:rPr>
        <w:t>פנחס רוזן</w:t>
      </w:r>
    </w:p>
    <w:p w14:paraId="2E1916AD" w14:textId="77777777" w:rsidR="002D21E9" w:rsidRDefault="002D21E9" w:rsidP="000A5CD0">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tl/>
        </w:rPr>
        <w:tab/>
      </w:r>
      <w:r>
        <w:rPr>
          <w:rFonts w:hint="cs"/>
          <w:rtl/>
        </w:rPr>
        <w:t>ראש הממשלה</w:t>
      </w:r>
      <w:r>
        <w:rPr>
          <w:rtl/>
        </w:rPr>
        <w:tab/>
      </w:r>
      <w:r>
        <w:rPr>
          <w:rFonts w:hint="cs"/>
          <w:rtl/>
        </w:rPr>
        <w:t>שר המשפטים</w:t>
      </w:r>
    </w:p>
    <w:p w14:paraId="1387B0C2" w14:textId="77777777" w:rsidR="00F67193" w:rsidRPr="00F67193" w:rsidRDefault="00F67193" w:rsidP="000A5CD0">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F67193">
        <w:rPr>
          <w:sz w:val="26"/>
          <w:szCs w:val="26"/>
          <w:rtl/>
        </w:rPr>
        <w:tab/>
      </w:r>
      <w:r w:rsidRPr="00F67193">
        <w:rPr>
          <w:rFonts w:hint="cs"/>
          <w:sz w:val="26"/>
          <w:szCs w:val="26"/>
          <w:rtl/>
        </w:rPr>
        <w:t>יצחק בן-צבי</w:t>
      </w:r>
    </w:p>
    <w:p w14:paraId="5794C802" w14:textId="77777777" w:rsidR="00F67193" w:rsidRDefault="00F67193" w:rsidP="000A5CD0">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Fonts w:hint="cs"/>
          <w:rtl/>
        </w:rPr>
        <w:t>נשיא ה</w:t>
      </w:r>
      <w:r>
        <w:rPr>
          <w:rtl/>
        </w:rPr>
        <w:t>מ</w:t>
      </w:r>
      <w:r>
        <w:rPr>
          <w:rFonts w:hint="cs"/>
          <w:rtl/>
        </w:rPr>
        <w:t>דינה</w:t>
      </w:r>
    </w:p>
    <w:p w14:paraId="01C9E426" w14:textId="77777777" w:rsidR="00F67193" w:rsidRDefault="00F67193" w:rsidP="000A5CD0">
      <w:pPr>
        <w:pStyle w:val="P00"/>
        <w:spacing w:before="72"/>
        <w:ind w:left="0" w:right="1134"/>
        <w:rPr>
          <w:rStyle w:val="default"/>
          <w:rFonts w:cs="FrankRuehl" w:hint="cs"/>
          <w:rtl/>
        </w:rPr>
      </w:pPr>
    </w:p>
    <w:p w14:paraId="39423D1A" w14:textId="77777777" w:rsidR="000A5CD0" w:rsidRPr="00F67193" w:rsidRDefault="000A5CD0" w:rsidP="000A5CD0">
      <w:pPr>
        <w:pStyle w:val="P00"/>
        <w:spacing w:before="72"/>
        <w:ind w:left="0" w:right="1134"/>
        <w:rPr>
          <w:rStyle w:val="default"/>
          <w:rFonts w:cs="FrankRuehl" w:hint="cs"/>
          <w:rtl/>
        </w:rPr>
      </w:pPr>
    </w:p>
    <w:p w14:paraId="3D2EEA3C" w14:textId="77777777" w:rsidR="00A93660" w:rsidRDefault="00A93660" w:rsidP="000A5CD0">
      <w:pPr>
        <w:pStyle w:val="P00"/>
        <w:spacing w:before="72"/>
        <w:ind w:left="0" w:right="1134"/>
        <w:rPr>
          <w:rStyle w:val="default"/>
          <w:rFonts w:cs="FrankRuehl"/>
          <w:rtl/>
        </w:rPr>
      </w:pPr>
    </w:p>
    <w:p w14:paraId="4BDCDDD5" w14:textId="77777777" w:rsidR="00A93660" w:rsidRDefault="00A93660" w:rsidP="000A5CD0">
      <w:pPr>
        <w:pStyle w:val="P00"/>
        <w:spacing w:before="72"/>
        <w:ind w:left="0" w:right="1134"/>
        <w:rPr>
          <w:rStyle w:val="default"/>
          <w:rFonts w:cs="FrankRuehl"/>
          <w:rtl/>
        </w:rPr>
      </w:pPr>
    </w:p>
    <w:p w14:paraId="73370CA4" w14:textId="77777777" w:rsidR="00A93660" w:rsidRDefault="00A93660" w:rsidP="00A93660">
      <w:pPr>
        <w:pStyle w:val="P00"/>
        <w:spacing w:before="72"/>
        <w:ind w:left="0" w:right="1134"/>
        <w:jc w:val="center"/>
        <w:rPr>
          <w:rStyle w:val="default"/>
          <w:rFonts w:cs="David"/>
          <w:color w:val="0000FF"/>
          <w:szCs w:val="24"/>
          <w:u w:val="single"/>
          <w:rtl/>
        </w:rPr>
      </w:pPr>
      <w:hyperlink r:id="rId12" w:history="1">
        <w:r>
          <w:rPr>
            <w:rStyle w:val="Hyperlink"/>
            <w:rFonts w:cs="David"/>
            <w:noProof w:val="0"/>
            <w:sz w:val="22"/>
            <w:szCs w:val="24"/>
            <w:rtl/>
          </w:rPr>
          <w:t>הודעה למנויים על עריכה ושינויים במסמכי פסיקה, חקיקה ועוד באתר נבו - הקש כאן</w:t>
        </w:r>
      </w:hyperlink>
    </w:p>
    <w:p w14:paraId="21ECEEBC" w14:textId="77777777" w:rsidR="00F67193" w:rsidRPr="00A93660" w:rsidRDefault="00F67193" w:rsidP="00A93660">
      <w:pPr>
        <w:pStyle w:val="P00"/>
        <w:spacing w:before="72"/>
        <w:ind w:left="0" w:right="1134"/>
        <w:jc w:val="center"/>
        <w:rPr>
          <w:rStyle w:val="default"/>
          <w:rFonts w:cs="David" w:hint="cs"/>
          <w:color w:val="0000FF"/>
          <w:szCs w:val="24"/>
          <w:u w:val="single"/>
          <w:rtl/>
        </w:rPr>
      </w:pPr>
    </w:p>
    <w:sectPr w:rsidR="00F67193" w:rsidRPr="00A93660">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ED8CB" w14:textId="77777777" w:rsidR="00062347" w:rsidRDefault="00062347">
      <w:r>
        <w:separator/>
      </w:r>
    </w:p>
  </w:endnote>
  <w:endnote w:type="continuationSeparator" w:id="0">
    <w:p w14:paraId="21973550" w14:textId="77777777" w:rsidR="00062347" w:rsidRDefault="0006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79E" w14:textId="77777777" w:rsidR="002D21E9" w:rsidRDefault="002D21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BD50773" w14:textId="77777777" w:rsidR="002D21E9" w:rsidRDefault="002D21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8B9274" w14:textId="77777777" w:rsidR="002D21E9" w:rsidRDefault="002D21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3357">
      <w:rPr>
        <w:rFonts w:cs="TopType Jerushalmi"/>
        <w:noProof/>
        <w:color w:val="000000"/>
        <w:sz w:val="14"/>
        <w:szCs w:val="14"/>
      </w:rPr>
      <w:t>Z:\000000000000-law\yael\revadim\08-12-23\01\revadim2312\tav\055_012.doc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02198" w14:textId="77777777" w:rsidR="002D21E9" w:rsidRDefault="002D21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93660">
      <w:rPr>
        <w:rFonts w:hAnsi="FrankRuehl" w:cs="FrankRuehl"/>
        <w:noProof/>
        <w:sz w:val="24"/>
        <w:szCs w:val="24"/>
        <w:rtl/>
      </w:rPr>
      <w:t>3</w:t>
    </w:r>
    <w:r>
      <w:rPr>
        <w:rFonts w:hAnsi="FrankRuehl" w:cs="FrankRuehl"/>
        <w:sz w:val="24"/>
        <w:szCs w:val="24"/>
        <w:rtl/>
      </w:rPr>
      <w:fldChar w:fldCharType="end"/>
    </w:r>
  </w:p>
  <w:p w14:paraId="2745985D" w14:textId="77777777" w:rsidR="002D21E9" w:rsidRDefault="002D21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F300F3" w14:textId="77777777" w:rsidR="002D21E9" w:rsidRDefault="002D21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3357">
      <w:rPr>
        <w:rFonts w:cs="TopType Jerushalmi"/>
        <w:noProof/>
        <w:color w:val="000000"/>
        <w:sz w:val="14"/>
        <w:szCs w:val="14"/>
      </w:rPr>
      <w:t>Z:\000000000000-law\yael\revadim\08-12-23\01\revadim2312\tav\055_012.doc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082C6" w14:textId="77777777" w:rsidR="00062347" w:rsidRDefault="00062347" w:rsidP="00F67193">
      <w:pPr>
        <w:spacing w:before="60" w:line="240" w:lineRule="auto"/>
        <w:ind w:right="1134"/>
      </w:pPr>
      <w:r>
        <w:separator/>
      </w:r>
    </w:p>
  </w:footnote>
  <w:footnote w:type="continuationSeparator" w:id="0">
    <w:p w14:paraId="1EBD1795" w14:textId="77777777" w:rsidR="00062347" w:rsidRDefault="00062347">
      <w:r>
        <w:continuationSeparator/>
      </w:r>
    </w:p>
  </w:footnote>
  <w:footnote w:id="1">
    <w:p w14:paraId="6C6271E6" w14:textId="77777777" w:rsidR="00F67193" w:rsidRDefault="00F67193" w:rsidP="00F67193">
      <w:pPr>
        <w:pStyle w:val="P00"/>
        <w:spacing w:before="72"/>
        <w:ind w:left="0" w:right="1134"/>
        <w:rPr>
          <w:szCs w:val="22"/>
          <w:rtl/>
        </w:rPr>
      </w:pPr>
      <w:r w:rsidRPr="00F67193">
        <w:rPr>
          <w:szCs w:val="22"/>
          <w:rtl/>
        </w:rPr>
        <w:t xml:space="preserve">* </w:t>
      </w:r>
      <w:r>
        <w:rPr>
          <w:szCs w:val="22"/>
          <w:rtl/>
        </w:rPr>
        <w:t>פ</w:t>
      </w:r>
      <w:r>
        <w:rPr>
          <w:rFonts w:hint="cs"/>
          <w:szCs w:val="22"/>
          <w:rtl/>
        </w:rPr>
        <w:t xml:space="preserve">ורסם </w:t>
      </w:r>
      <w:hyperlink r:id="rId1" w:history="1">
        <w:r w:rsidRPr="00BA5829">
          <w:rPr>
            <w:rStyle w:val="Hyperlink"/>
            <w:rFonts w:hint="cs"/>
            <w:szCs w:val="22"/>
            <w:rtl/>
          </w:rPr>
          <w:t>ס"</w:t>
        </w:r>
        <w:r w:rsidRPr="00BA5829">
          <w:rPr>
            <w:rStyle w:val="Hyperlink"/>
            <w:rFonts w:hint="cs"/>
            <w:szCs w:val="22"/>
            <w:rtl/>
          </w:rPr>
          <w:t>ח תשי"ח מס' 251</w:t>
        </w:r>
      </w:hyperlink>
      <w:r>
        <w:rPr>
          <w:rFonts w:hint="cs"/>
          <w:szCs w:val="22"/>
          <w:rtl/>
        </w:rPr>
        <w:t xml:space="preserve"> מיום 6.4.1958 עמ' 11</w:t>
      </w:r>
      <w:r>
        <w:rPr>
          <w:szCs w:val="22"/>
          <w:rtl/>
        </w:rPr>
        <w:t>8</w:t>
      </w:r>
      <w:r>
        <w:rPr>
          <w:rFonts w:hint="cs"/>
          <w:szCs w:val="22"/>
          <w:rtl/>
        </w:rPr>
        <w:t xml:space="preserve"> (</w:t>
      </w:r>
      <w:hyperlink r:id="rId2" w:history="1">
        <w:r w:rsidRPr="00BA5829">
          <w:rPr>
            <w:rStyle w:val="Hyperlink"/>
            <w:rFonts w:hint="cs"/>
            <w:szCs w:val="22"/>
            <w:rtl/>
          </w:rPr>
          <w:t>ה"ח תשי"ח מס' 336</w:t>
        </w:r>
      </w:hyperlink>
      <w:r>
        <w:rPr>
          <w:rFonts w:hint="cs"/>
          <w:szCs w:val="22"/>
          <w:rtl/>
        </w:rPr>
        <w:t xml:space="preserve"> עמ' 153)</w:t>
      </w:r>
      <w:r>
        <w:rPr>
          <w:szCs w:val="22"/>
          <w:rtl/>
        </w:rPr>
        <w:t>.</w:t>
      </w:r>
    </w:p>
    <w:p w14:paraId="17B87014" w14:textId="77777777" w:rsidR="00F67193" w:rsidRDefault="00F67193" w:rsidP="00F67193">
      <w:pPr>
        <w:pStyle w:val="P00"/>
        <w:spacing w:before="72"/>
        <w:ind w:left="0" w:right="1134"/>
        <w:rPr>
          <w:rFonts w:hint="cs"/>
          <w:sz w:val="22"/>
          <w:szCs w:val="22"/>
          <w:rtl/>
        </w:rPr>
      </w:pPr>
      <w:r w:rsidRPr="00F67193">
        <w:rPr>
          <w:sz w:val="22"/>
          <w:szCs w:val="22"/>
          <w:rtl/>
        </w:rPr>
        <w:t>ת</w:t>
      </w:r>
      <w:r w:rsidRPr="00F67193">
        <w:rPr>
          <w:rFonts w:hint="cs"/>
          <w:sz w:val="22"/>
          <w:szCs w:val="22"/>
          <w:rtl/>
        </w:rPr>
        <w:t>ו</w:t>
      </w:r>
      <w:r w:rsidRPr="00F67193">
        <w:rPr>
          <w:rFonts w:hint="cs"/>
          <w:sz w:val="22"/>
          <w:szCs w:val="22"/>
          <w:rtl/>
        </w:rPr>
        <w:t>ק</w:t>
      </w:r>
      <w:r w:rsidRPr="00F67193">
        <w:rPr>
          <w:rFonts w:hint="cs"/>
          <w:sz w:val="22"/>
          <w:szCs w:val="22"/>
          <w:rtl/>
        </w:rPr>
        <w:t xml:space="preserve">ן </w:t>
      </w:r>
      <w:hyperlink r:id="rId3" w:history="1">
        <w:r w:rsidRPr="00F67193">
          <w:rPr>
            <w:rStyle w:val="Hyperlink"/>
            <w:rFonts w:hint="cs"/>
            <w:sz w:val="22"/>
            <w:szCs w:val="22"/>
            <w:rtl/>
          </w:rPr>
          <w:t>ס</w:t>
        </w:r>
        <w:r w:rsidRPr="00F67193">
          <w:rPr>
            <w:rStyle w:val="Hyperlink"/>
            <w:rFonts w:hint="cs"/>
            <w:sz w:val="22"/>
            <w:szCs w:val="22"/>
            <w:rtl/>
          </w:rPr>
          <w:t>"</w:t>
        </w:r>
        <w:r w:rsidRPr="00F67193">
          <w:rPr>
            <w:rStyle w:val="Hyperlink"/>
            <w:rFonts w:hint="cs"/>
            <w:sz w:val="22"/>
            <w:szCs w:val="22"/>
            <w:rtl/>
          </w:rPr>
          <w:t>ח תשנ"</w:t>
        </w:r>
        <w:r w:rsidRPr="00F67193">
          <w:rPr>
            <w:rStyle w:val="Hyperlink"/>
            <w:rFonts w:hint="cs"/>
            <w:sz w:val="22"/>
            <w:szCs w:val="22"/>
            <w:rtl/>
          </w:rPr>
          <w:t>ט</w:t>
        </w:r>
        <w:r w:rsidRPr="00F67193">
          <w:rPr>
            <w:rStyle w:val="Hyperlink"/>
            <w:rFonts w:hint="cs"/>
            <w:sz w:val="22"/>
            <w:szCs w:val="22"/>
            <w:rtl/>
          </w:rPr>
          <w:t xml:space="preserve"> מ</w:t>
        </w:r>
        <w:r w:rsidRPr="00F67193">
          <w:rPr>
            <w:rStyle w:val="Hyperlink"/>
            <w:rFonts w:hint="cs"/>
            <w:sz w:val="22"/>
            <w:szCs w:val="22"/>
            <w:rtl/>
          </w:rPr>
          <w:t>ס</w:t>
        </w:r>
        <w:r w:rsidRPr="00F67193">
          <w:rPr>
            <w:rStyle w:val="Hyperlink"/>
            <w:rFonts w:hint="cs"/>
            <w:sz w:val="22"/>
            <w:szCs w:val="22"/>
            <w:rtl/>
          </w:rPr>
          <w:t>' 1695</w:t>
        </w:r>
      </w:hyperlink>
      <w:r w:rsidRPr="00F67193">
        <w:rPr>
          <w:rFonts w:hint="cs"/>
          <w:sz w:val="22"/>
          <w:szCs w:val="22"/>
          <w:rtl/>
        </w:rPr>
        <w:t xml:space="preserve"> מיום 18.12.1998 עמ' 34 (</w:t>
      </w:r>
      <w:hyperlink r:id="rId4" w:history="1">
        <w:r w:rsidRPr="00F67193">
          <w:rPr>
            <w:rStyle w:val="Hyperlink"/>
            <w:rFonts w:hint="cs"/>
            <w:sz w:val="22"/>
            <w:szCs w:val="22"/>
            <w:rtl/>
          </w:rPr>
          <w:t>ה"ח תשנ"ט מס' 2751</w:t>
        </w:r>
      </w:hyperlink>
      <w:r w:rsidRPr="00F67193">
        <w:rPr>
          <w:rFonts w:hint="cs"/>
          <w:sz w:val="22"/>
          <w:szCs w:val="22"/>
          <w:rtl/>
        </w:rPr>
        <w:t xml:space="preserve"> עמ' 1) </w:t>
      </w:r>
      <w:r>
        <w:rPr>
          <w:sz w:val="22"/>
          <w:szCs w:val="22"/>
          <w:rtl/>
        </w:rPr>
        <w:t>–</w:t>
      </w:r>
      <w:r w:rsidRPr="00F67193">
        <w:rPr>
          <w:rFonts w:hint="cs"/>
          <w:sz w:val="22"/>
          <w:szCs w:val="22"/>
          <w:rtl/>
        </w:rPr>
        <w:t xml:space="preserve"> תיקון מס' 1; תחילתו 30 ימים מיום פרסומו.</w:t>
      </w:r>
    </w:p>
    <w:p w14:paraId="19B07BEC" w14:textId="77777777" w:rsidR="001A5F3A" w:rsidRPr="00874BDB" w:rsidRDefault="001A5F3A" w:rsidP="001A5F3A">
      <w:pPr>
        <w:pStyle w:val="P00"/>
        <w:spacing w:before="72"/>
        <w:ind w:left="0" w:right="1134"/>
        <w:rPr>
          <w:rFonts w:hint="cs"/>
          <w:sz w:val="22"/>
          <w:szCs w:val="22"/>
        </w:rPr>
      </w:pPr>
      <w:hyperlink r:id="rId5" w:history="1">
        <w:r w:rsidR="00874BDB" w:rsidRPr="001A5F3A">
          <w:rPr>
            <w:rStyle w:val="Hyperlink"/>
            <w:rFonts w:hint="cs"/>
            <w:sz w:val="22"/>
            <w:szCs w:val="22"/>
            <w:rtl/>
          </w:rPr>
          <w:t>ס"ח תשע"ז מס' 2635</w:t>
        </w:r>
      </w:hyperlink>
      <w:r w:rsidR="00874BDB" w:rsidRPr="00874BDB">
        <w:rPr>
          <w:rFonts w:hint="cs"/>
          <w:sz w:val="22"/>
          <w:szCs w:val="22"/>
          <w:rtl/>
        </w:rPr>
        <w:t xml:space="preserve"> מיום 25.4.2017 עמ' </w:t>
      </w:r>
      <w:r w:rsidR="00874BDB">
        <w:rPr>
          <w:rFonts w:hint="cs"/>
          <w:sz w:val="22"/>
          <w:szCs w:val="22"/>
          <w:rtl/>
        </w:rPr>
        <w:t>920</w:t>
      </w:r>
      <w:r w:rsidR="00874BDB" w:rsidRPr="00874BDB">
        <w:rPr>
          <w:rFonts w:hint="cs"/>
          <w:sz w:val="22"/>
          <w:szCs w:val="22"/>
          <w:rtl/>
        </w:rPr>
        <w:t xml:space="preserve"> (</w:t>
      </w:r>
      <w:hyperlink r:id="rId6" w:history="1">
        <w:r w:rsidR="00874BDB" w:rsidRPr="00874BDB">
          <w:rPr>
            <w:rStyle w:val="Hyperlink"/>
            <w:rFonts w:hint="cs"/>
            <w:sz w:val="22"/>
            <w:szCs w:val="22"/>
            <w:rtl/>
          </w:rPr>
          <w:t>ה"ח הממשלה תשע"ו מס' 1074</w:t>
        </w:r>
      </w:hyperlink>
      <w:r w:rsidR="00874BDB" w:rsidRPr="00874BDB">
        <w:rPr>
          <w:rFonts w:hint="cs"/>
          <w:sz w:val="22"/>
          <w:szCs w:val="22"/>
          <w:rtl/>
        </w:rPr>
        <w:t xml:space="preserve"> עמ' 1426) </w:t>
      </w:r>
      <w:r w:rsidR="00874BDB" w:rsidRPr="00874BDB">
        <w:rPr>
          <w:sz w:val="22"/>
          <w:szCs w:val="22"/>
          <w:rtl/>
        </w:rPr>
        <w:t>–</w:t>
      </w:r>
      <w:r w:rsidR="00874BDB" w:rsidRPr="00874BDB">
        <w:rPr>
          <w:rFonts w:hint="cs"/>
          <w:sz w:val="22"/>
          <w:szCs w:val="22"/>
          <w:rtl/>
        </w:rPr>
        <w:t xml:space="preserve"> תיקון מס'</w:t>
      </w:r>
      <w:r w:rsidR="00874BDB">
        <w:rPr>
          <w:rFonts w:hint="cs"/>
          <w:sz w:val="22"/>
          <w:szCs w:val="22"/>
          <w:rtl/>
        </w:rPr>
        <w:t xml:space="preserve"> 2 בסעיף 10 לחוק התכנון והבנייה (תיקון מס' 116), תשע"ז-2017;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7AB3" w14:textId="77777777" w:rsidR="002D21E9" w:rsidRDefault="002D21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סדרי הדין האזרחי (המדינה כבעל דין), תשי"ח–1958</w:t>
    </w:r>
  </w:p>
  <w:p w14:paraId="0660FCEC" w14:textId="77777777" w:rsidR="002D21E9" w:rsidRDefault="002D21E9">
    <w:pPr>
      <w:pStyle w:val="a3"/>
      <w:pBdr>
        <w:top w:val="single" w:sz="4" w:space="0" w:color="auto"/>
      </w:pBdr>
      <w:spacing w:line="220" w:lineRule="exact"/>
      <w:ind w:right="1134"/>
      <w:jc w:val="center"/>
      <w:rPr>
        <w:rFonts w:hAnsi="FrankRuehl" w:cs="FrankRuehl"/>
        <w:color w:val="000000"/>
        <w:sz w:val="26"/>
        <w:szCs w:val="26"/>
        <w:rtl/>
      </w:rPr>
    </w:pPr>
  </w:p>
  <w:p w14:paraId="51D39FAF" w14:textId="77777777" w:rsidR="002D21E9" w:rsidRDefault="002D21E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80AA" w14:textId="77777777" w:rsidR="002D21E9" w:rsidRDefault="002D21E9" w:rsidP="00F671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סדרי הדין האזרחי (המדינה כבעל דין), תשי"ח</w:t>
    </w:r>
    <w:r w:rsidR="00F67193">
      <w:rPr>
        <w:rFonts w:hAnsi="FrankRuehl" w:cs="FrankRuehl" w:hint="cs"/>
        <w:color w:val="000000"/>
        <w:sz w:val="28"/>
        <w:szCs w:val="28"/>
        <w:rtl/>
      </w:rPr>
      <w:t>-</w:t>
    </w:r>
    <w:r>
      <w:rPr>
        <w:rFonts w:hAnsi="FrankRuehl" w:cs="FrankRuehl"/>
        <w:color w:val="000000"/>
        <w:sz w:val="28"/>
        <w:szCs w:val="28"/>
        <w:rtl/>
      </w:rPr>
      <w:t>1958</w:t>
    </w:r>
  </w:p>
  <w:p w14:paraId="4A79D459" w14:textId="77777777" w:rsidR="002D21E9" w:rsidRDefault="002D21E9">
    <w:pPr>
      <w:pStyle w:val="a3"/>
      <w:pBdr>
        <w:top w:val="single" w:sz="4" w:space="0" w:color="auto"/>
      </w:pBdr>
      <w:spacing w:line="220" w:lineRule="exact"/>
      <w:ind w:right="1134"/>
      <w:jc w:val="center"/>
      <w:rPr>
        <w:rFonts w:hAnsi="FrankRuehl" w:cs="FrankRuehl"/>
        <w:color w:val="000000"/>
        <w:sz w:val="26"/>
        <w:szCs w:val="26"/>
        <w:rtl/>
      </w:rPr>
    </w:pPr>
  </w:p>
  <w:p w14:paraId="3ED424F6" w14:textId="77777777" w:rsidR="002D21E9" w:rsidRDefault="002D21E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5829"/>
    <w:rsid w:val="00062347"/>
    <w:rsid w:val="000A176F"/>
    <w:rsid w:val="000A5CD0"/>
    <w:rsid w:val="00130A02"/>
    <w:rsid w:val="001A5F3A"/>
    <w:rsid w:val="00226F04"/>
    <w:rsid w:val="002D21E9"/>
    <w:rsid w:val="00657F36"/>
    <w:rsid w:val="00663357"/>
    <w:rsid w:val="00684FD9"/>
    <w:rsid w:val="006A625C"/>
    <w:rsid w:val="006F53E9"/>
    <w:rsid w:val="00874BDB"/>
    <w:rsid w:val="009B6F21"/>
    <w:rsid w:val="00A93660"/>
    <w:rsid w:val="00BA5829"/>
    <w:rsid w:val="00C2329F"/>
    <w:rsid w:val="00E209E7"/>
    <w:rsid w:val="00E5673E"/>
    <w:rsid w:val="00EA0C13"/>
    <w:rsid w:val="00F671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01D5F3"/>
  <w15:chartTrackingRefBased/>
  <w15:docId w15:val="{2E255F5B-5FEA-4921-B396-289123EE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874BDB"/>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635.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2751.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1695.pdf" TargetMode="External"/><Relationship Id="rId11" Type="http://schemas.openxmlformats.org/officeDocument/2006/relationships/hyperlink" Target="http://www.nevo.co.il/Law_word/law17/PROP-2751.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14/LAW-1695.pdf" TargetMode="External"/><Relationship Id="rId4" Type="http://schemas.openxmlformats.org/officeDocument/2006/relationships/footnotes" Target="footnotes.xml"/><Relationship Id="rId9" Type="http://schemas.openxmlformats.org/officeDocument/2006/relationships/hyperlink" Target="http://www.nevo.co.il/Law_word/law15/memshala-1074.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695.pdf" TargetMode="External"/><Relationship Id="rId2" Type="http://schemas.openxmlformats.org/officeDocument/2006/relationships/hyperlink" Target="http://www.nevo.co.il/Law_word/law17/PROP-0336.pdf" TargetMode="External"/><Relationship Id="rId1" Type="http://schemas.openxmlformats.org/officeDocument/2006/relationships/hyperlink" Target="http://www.nevo.co.il/Law_word/law14/LAW-0251.pdf" TargetMode="External"/><Relationship Id="rId6" Type="http://schemas.openxmlformats.org/officeDocument/2006/relationships/hyperlink" Target="http://www.nevo.co.il/Law_word/law15/memshala-1074.pdf" TargetMode="External"/><Relationship Id="rId5" Type="http://schemas.openxmlformats.org/officeDocument/2006/relationships/hyperlink" Target="http://www.nevo.co.il/law_word/law14/law-2635.pdf" TargetMode="External"/><Relationship Id="rId4" Type="http://schemas.openxmlformats.org/officeDocument/2006/relationships/hyperlink" Target="http://www.nevo.co.il/Law_word/law17/PROP-27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5111</CharactersWithSpaces>
  <SharedDoc>false</SharedDoc>
  <HLinks>
    <vt:vector size="162" baseType="variant">
      <vt:variant>
        <vt:i4>393283</vt:i4>
      </vt:variant>
      <vt:variant>
        <vt:i4>102</vt:i4>
      </vt:variant>
      <vt:variant>
        <vt:i4>0</vt:i4>
      </vt:variant>
      <vt:variant>
        <vt:i4>5</vt:i4>
      </vt:variant>
      <vt:variant>
        <vt:lpwstr>http://www.nevo.co.il/advertisements/nevo-100.doc</vt:lpwstr>
      </vt:variant>
      <vt:variant>
        <vt:lpwstr/>
      </vt:variant>
      <vt:variant>
        <vt:i4>983162</vt:i4>
      </vt:variant>
      <vt:variant>
        <vt:i4>99</vt:i4>
      </vt:variant>
      <vt:variant>
        <vt:i4>0</vt:i4>
      </vt:variant>
      <vt:variant>
        <vt:i4>5</vt:i4>
      </vt:variant>
      <vt:variant>
        <vt:lpwstr>http://www.nevo.co.il/Law_word/law17/PROP-2751.pdf</vt:lpwstr>
      </vt:variant>
      <vt:variant>
        <vt:lpwstr/>
      </vt:variant>
      <vt:variant>
        <vt:i4>7798794</vt:i4>
      </vt:variant>
      <vt:variant>
        <vt:i4>96</vt:i4>
      </vt:variant>
      <vt:variant>
        <vt:i4>0</vt:i4>
      </vt:variant>
      <vt:variant>
        <vt:i4>5</vt:i4>
      </vt:variant>
      <vt:variant>
        <vt:lpwstr>http://www.nevo.co.il/Law_word/law14/LAW-1695.pdf</vt:lpwstr>
      </vt:variant>
      <vt:variant>
        <vt:lpwstr/>
      </vt:variant>
      <vt:variant>
        <vt:i4>1310831</vt:i4>
      </vt:variant>
      <vt:variant>
        <vt:i4>93</vt:i4>
      </vt:variant>
      <vt:variant>
        <vt:i4>0</vt:i4>
      </vt:variant>
      <vt:variant>
        <vt:i4>5</vt:i4>
      </vt:variant>
      <vt:variant>
        <vt:lpwstr>http://www.nevo.co.il/Law_word/law15/memshala-1074.pdf</vt:lpwstr>
      </vt:variant>
      <vt:variant>
        <vt:lpwstr/>
      </vt:variant>
      <vt:variant>
        <vt:i4>8257546</vt:i4>
      </vt:variant>
      <vt:variant>
        <vt:i4>90</vt:i4>
      </vt:variant>
      <vt:variant>
        <vt:i4>0</vt:i4>
      </vt:variant>
      <vt:variant>
        <vt:i4>5</vt:i4>
      </vt:variant>
      <vt:variant>
        <vt:lpwstr>http://www.nevo.co.il/Law_word/law14/law-2635.pdf</vt:lpwstr>
      </vt:variant>
      <vt:variant>
        <vt:lpwstr/>
      </vt:variant>
      <vt:variant>
        <vt:i4>983162</vt:i4>
      </vt:variant>
      <vt:variant>
        <vt:i4>87</vt:i4>
      </vt:variant>
      <vt:variant>
        <vt:i4>0</vt:i4>
      </vt:variant>
      <vt:variant>
        <vt:i4>5</vt:i4>
      </vt:variant>
      <vt:variant>
        <vt:lpwstr>http://www.nevo.co.il/Law_word/law17/PROP-2751.pdf</vt:lpwstr>
      </vt:variant>
      <vt:variant>
        <vt:lpwstr/>
      </vt:variant>
      <vt:variant>
        <vt:i4>7798794</vt:i4>
      </vt:variant>
      <vt:variant>
        <vt:i4>84</vt:i4>
      </vt:variant>
      <vt:variant>
        <vt:i4>0</vt:i4>
      </vt:variant>
      <vt:variant>
        <vt:i4>5</vt:i4>
      </vt:variant>
      <vt:variant>
        <vt:lpwstr>http://www.nevo.co.il/Law_word/law14/LAW-1695.pdf</vt:lpwstr>
      </vt:variant>
      <vt:variant>
        <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3604523</vt:i4>
      </vt:variant>
      <vt:variant>
        <vt:i4>30</vt:i4>
      </vt:variant>
      <vt:variant>
        <vt:i4>0</vt:i4>
      </vt:variant>
      <vt:variant>
        <vt:i4>5</vt:i4>
      </vt:variant>
      <vt:variant>
        <vt:lpwstr/>
      </vt:variant>
      <vt:variant>
        <vt:lpwstr>Seif14</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1310831</vt:i4>
      </vt:variant>
      <vt:variant>
        <vt:i4>15</vt:i4>
      </vt:variant>
      <vt:variant>
        <vt:i4>0</vt:i4>
      </vt:variant>
      <vt:variant>
        <vt:i4>5</vt:i4>
      </vt:variant>
      <vt:variant>
        <vt:lpwstr>http://www.nevo.co.il/Law_word/law15/memshala-1074.pdf</vt:lpwstr>
      </vt:variant>
      <vt:variant>
        <vt:lpwstr/>
      </vt:variant>
      <vt:variant>
        <vt:i4>8257546</vt:i4>
      </vt:variant>
      <vt:variant>
        <vt:i4>12</vt:i4>
      </vt:variant>
      <vt:variant>
        <vt:i4>0</vt:i4>
      </vt:variant>
      <vt:variant>
        <vt:i4>5</vt:i4>
      </vt:variant>
      <vt:variant>
        <vt:lpwstr>http://www.nevo.co.il/law_word/law14/law-2635.pdf</vt:lpwstr>
      </vt:variant>
      <vt:variant>
        <vt:lpwstr/>
      </vt:variant>
      <vt:variant>
        <vt:i4>983162</vt:i4>
      </vt:variant>
      <vt:variant>
        <vt:i4>9</vt:i4>
      </vt:variant>
      <vt:variant>
        <vt:i4>0</vt:i4>
      </vt:variant>
      <vt:variant>
        <vt:i4>5</vt:i4>
      </vt:variant>
      <vt:variant>
        <vt:lpwstr>http://www.nevo.co.il/Law_word/law17/PROP-2751.pdf</vt:lpwstr>
      </vt:variant>
      <vt:variant>
        <vt:lpwstr/>
      </vt:variant>
      <vt:variant>
        <vt:i4>7798794</vt:i4>
      </vt:variant>
      <vt:variant>
        <vt:i4>6</vt:i4>
      </vt:variant>
      <vt:variant>
        <vt:i4>0</vt:i4>
      </vt:variant>
      <vt:variant>
        <vt:i4>5</vt:i4>
      </vt:variant>
      <vt:variant>
        <vt:lpwstr>http://www.nevo.co.il/Law_word/law14/LAW-1695.pdf</vt:lpwstr>
      </vt:variant>
      <vt:variant>
        <vt:lpwstr/>
      </vt:variant>
      <vt:variant>
        <vt:i4>786558</vt:i4>
      </vt:variant>
      <vt:variant>
        <vt:i4>3</vt:i4>
      </vt:variant>
      <vt:variant>
        <vt:i4>0</vt:i4>
      </vt:variant>
      <vt:variant>
        <vt:i4>5</vt:i4>
      </vt:variant>
      <vt:variant>
        <vt:lpwstr>http://www.nevo.co.il/Law_word/law17/PROP-0336.pdf</vt:lpwstr>
      </vt:variant>
      <vt:variant>
        <vt:lpwstr/>
      </vt:variant>
      <vt:variant>
        <vt:i4>7995402</vt:i4>
      </vt:variant>
      <vt:variant>
        <vt:i4>0</vt:i4>
      </vt:variant>
      <vt:variant>
        <vt:i4>0</vt:i4>
      </vt:variant>
      <vt:variant>
        <vt:i4>5</vt:i4>
      </vt:variant>
      <vt:variant>
        <vt:lpwstr>http://www.nevo.co.il/Law_word/law14/LAW-0251.pdf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לתיקון סדרי הדין האזרחי (המדינה כבעל דין), תשי"ח-1958</vt:lpwstr>
  </property>
  <property fmtid="{D5CDD505-2E9C-101B-9397-08002B2CF9AE}" pid="5" name="LAWNUMBER">
    <vt:lpwstr>0012</vt:lpwstr>
  </property>
  <property fmtid="{D5CDD505-2E9C-101B-9397-08002B2CF9AE}" pid="6" name="TYPE">
    <vt:lpwstr>01</vt:lpwstr>
  </property>
  <property fmtid="{D5CDD505-2E9C-101B-9397-08002B2CF9AE}" pid="7" name="LINKK1">
    <vt:lpwstr>http://www.nevo.co.il/law_word/law14/law-2635.pdf;‎רשומות - ספר חוקים#ס"ח תשע"ז מס' 2635 ‏‏#מיום 25.4.2017 עמ' 920  – תיקון מס' 2 בסעיף 10 לחוק התכנון והבנייה (תיקון מס' 116), תשע"ז-2017; ‏תחילתו שישה חודשים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בתי משפט וסדרי דין</vt:lpwstr>
  </property>
  <property fmtid="{D5CDD505-2E9C-101B-9397-08002B2CF9AE}" pid="18" name="NOSE21">
    <vt:lpwstr>סדר דין אזרחי</vt:lpwstr>
  </property>
  <property fmtid="{D5CDD505-2E9C-101B-9397-08002B2CF9AE}" pid="19" name="NOSE31">
    <vt:lpwstr>סדר דין בבי"ד שונים</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