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4824" w:rsidRDefault="00794824">
      <w:pPr>
        <w:pStyle w:val="big-header"/>
        <w:ind w:left="0" w:right="1134"/>
        <w:rPr>
          <w:rFonts w:cs="FrankRuehl" w:hint="cs"/>
          <w:sz w:val="32"/>
          <w:rtl/>
        </w:rPr>
      </w:pPr>
      <w:r>
        <w:rPr>
          <w:rFonts w:cs="FrankRuehl"/>
          <w:sz w:val="32"/>
          <w:rtl/>
        </w:rPr>
        <w:t>חוק מניעת הטרדה מאיימת, תשס"ב</w:t>
      </w:r>
      <w:r>
        <w:rPr>
          <w:rFonts w:cs="FrankRuehl" w:hint="cs"/>
          <w:sz w:val="32"/>
          <w:rtl/>
        </w:rPr>
        <w:t>-</w:t>
      </w:r>
      <w:r>
        <w:rPr>
          <w:rFonts w:cs="FrankRuehl"/>
          <w:sz w:val="32"/>
          <w:rtl/>
        </w:rPr>
        <w:t>2001</w:t>
      </w:r>
    </w:p>
    <w:p w:rsidR="004C245E" w:rsidRDefault="004C245E" w:rsidP="004C245E">
      <w:pPr>
        <w:spacing w:line="320" w:lineRule="auto"/>
        <w:jc w:val="left"/>
        <w:rPr>
          <w:rFonts w:hint="cs"/>
          <w:rtl/>
        </w:rPr>
      </w:pPr>
    </w:p>
    <w:p w:rsidR="00151A2F" w:rsidRDefault="00151A2F" w:rsidP="004C245E">
      <w:pPr>
        <w:spacing w:line="320" w:lineRule="auto"/>
        <w:jc w:val="left"/>
        <w:rPr>
          <w:rFonts w:hint="cs"/>
          <w:rtl/>
        </w:rPr>
      </w:pPr>
    </w:p>
    <w:p w:rsidR="004C245E" w:rsidRDefault="004C245E" w:rsidP="004C245E">
      <w:pPr>
        <w:spacing w:line="320" w:lineRule="auto"/>
        <w:jc w:val="left"/>
        <w:rPr>
          <w:rFonts w:cs="FrankRuehl"/>
          <w:szCs w:val="26"/>
          <w:rtl/>
        </w:rPr>
      </w:pPr>
      <w:r w:rsidRPr="004C245E">
        <w:rPr>
          <w:rFonts w:cs="Miriam"/>
          <w:szCs w:val="22"/>
          <w:rtl/>
        </w:rPr>
        <w:t>עונשין ומשפט פלילי</w:t>
      </w:r>
      <w:r w:rsidRPr="004C245E">
        <w:rPr>
          <w:rFonts w:cs="FrankRuehl"/>
          <w:szCs w:val="26"/>
          <w:rtl/>
        </w:rPr>
        <w:t xml:space="preserve"> – עבירות – מניעת הטרדות</w:t>
      </w:r>
    </w:p>
    <w:p w:rsidR="004C245E" w:rsidRPr="004C245E" w:rsidRDefault="004C245E" w:rsidP="004C245E">
      <w:pPr>
        <w:spacing w:line="320" w:lineRule="auto"/>
        <w:jc w:val="left"/>
        <w:rPr>
          <w:rFonts w:cs="Miriam"/>
          <w:szCs w:val="22"/>
          <w:rtl/>
        </w:rPr>
      </w:pPr>
      <w:r w:rsidRPr="004C245E">
        <w:rPr>
          <w:rFonts w:cs="Miriam"/>
          <w:szCs w:val="22"/>
          <w:rtl/>
        </w:rPr>
        <w:t>עונשין ומשפט פלילי</w:t>
      </w:r>
      <w:r w:rsidRPr="004C245E">
        <w:rPr>
          <w:rFonts w:cs="FrankRuehl"/>
          <w:szCs w:val="26"/>
          <w:rtl/>
        </w:rPr>
        <w:t xml:space="preserve"> – עבירות – מניעת אלימות במשפחה</w:t>
      </w:r>
    </w:p>
    <w:p w:rsidR="00794824" w:rsidRDefault="0079482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32C99" w:rsidRPr="00F32C99">
        <w:tblPrEx>
          <w:tblCellMar>
            <w:top w:w="0" w:type="dxa"/>
            <w:bottom w:w="0" w:type="dxa"/>
          </w:tblCellMar>
        </w:tblPrEx>
        <w:tc>
          <w:tcPr>
            <w:tcW w:w="1247" w:type="dxa"/>
          </w:tcPr>
          <w:p w:rsidR="00F32C99" w:rsidRPr="00F32C99" w:rsidRDefault="00F32C99" w:rsidP="00F32C99">
            <w:pPr>
              <w:spacing w:line="240" w:lineRule="auto"/>
              <w:jc w:val="left"/>
              <w:rPr>
                <w:rFonts w:cs="Frankruhel"/>
                <w:sz w:val="24"/>
                <w:rtl/>
              </w:rPr>
            </w:pPr>
            <w:r>
              <w:rPr>
                <w:sz w:val="24"/>
                <w:rtl/>
              </w:rPr>
              <w:t xml:space="preserve">סעיף 1 </w:t>
            </w:r>
          </w:p>
        </w:tc>
        <w:tc>
          <w:tcPr>
            <w:tcW w:w="5669" w:type="dxa"/>
          </w:tcPr>
          <w:p w:rsidR="00F32C99" w:rsidRPr="00F32C99" w:rsidRDefault="00F32C99" w:rsidP="00F32C99">
            <w:pPr>
              <w:spacing w:line="240" w:lineRule="auto"/>
              <w:jc w:val="left"/>
              <w:rPr>
                <w:rFonts w:cs="Frankruhel"/>
                <w:sz w:val="24"/>
                <w:rtl/>
              </w:rPr>
            </w:pPr>
            <w:r>
              <w:rPr>
                <w:sz w:val="24"/>
                <w:rtl/>
              </w:rPr>
              <w:t>מטרה</w:t>
            </w:r>
          </w:p>
        </w:tc>
        <w:tc>
          <w:tcPr>
            <w:tcW w:w="567" w:type="dxa"/>
          </w:tcPr>
          <w:p w:rsidR="00F32C99" w:rsidRPr="00F32C99" w:rsidRDefault="00F32C99" w:rsidP="00F32C99">
            <w:pPr>
              <w:spacing w:line="240" w:lineRule="auto"/>
              <w:jc w:val="left"/>
              <w:rPr>
                <w:rStyle w:val="Hyperlink"/>
                <w:rtl/>
              </w:rPr>
            </w:pPr>
            <w:hyperlink w:anchor="Seif1" w:tooltip="מטרה" w:history="1">
              <w:r w:rsidRPr="00F32C99">
                <w:rPr>
                  <w:rStyle w:val="Hyperlink"/>
                </w:rPr>
                <w:t>Go</w:t>
              </w:r>
            </w:hyperlink>
          </w:p>
        </w:tc>
        <w:tc>
          <w:tcPr>
            <w:tcW w:w="850" w:type="dxa"/>
          </w:tcPr>
          <w:p w:rsidR="00F32C99" w:rsidRPr="00F32C99" w:rsidRDefault="00F32C99" w:rsidP="00F3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32C99" w:rsidRPr="00F32C99">
        <w:tblPrEx>
          <w:tblCellMar>
            <w:top w:w="0" w:type="dxa"/>
            <w:bottom w:w="0" w:type="dxa"/>
          </w:tblCellMar>
        </w:tblPrEx>
        <w:tc>
          <w:tcPr>
            <w:tcW w:w="1247" w:type="dxa"/>
          </w:tcPr>
          <w:p w:rsidR="00F32C99" w:rsidRPr="00F32C99" w:rsidRDefault="00F32C99" w:rsidP="00F32C99">
            <w:pPr>
              <w:spacing w:line="240" w:lineRule="auto"/>
              <w:jc w:val="left"/>
              <w:rPr>
                <w:rFonts w:cs="Frankruhel"/>
                <w:sz w:val="24"/>
                <w:rtl/>
              </w:rPr>
            </w:pPr>
            <w:r>
              <w:rPr>
                <w:sz w:val="24"/>
                <w:rtl/>
              </w:rPr>
              <w:t xml:space="preserve">סעיף 2 </w:t>
            </w:r>
          </w:p>
        </w:tc>
        <w:tc>
          <w:tcPr>
            <w:tcW w:w="5669" w:type="dxa"/>
          </w:tcPr>
          <w:p w:rsidR="00F32C99" w:rsidRPr="00F32C99" w:rsidRDefault="00F32C99" w:rsidP="00F32C99">
            <w:pPr>
              <w:spacing w:line="240" w:lineRule="auto"/>
              <w:jc w:val="left"/>
              <w:rPr>
                <w:rFonts w:cs="Frankruhel"/>
                <w:sz w:val="24"/>
                <w:rtl/>
              </w:rPr>
            </w:pPr>
            <w:r>
              <w:rPr>
                <w:sz w:val="24"/>
                <w:rtl/>
              </w:rPr>
              <w:t>הטרדה מאיימת   מהי?</w:t>
            </w:r>
          </w:p>
        </w:tc>
        <w:tc>
          <w:tcPr>
            <w:tcW w:w="567" w:type="dxa"/>
          </w:tcPr>
          <w:p w:rsidR="00F32C99" w:rsidRPr="00F32C99" w:rsidRDefault="00F32C99" w:rsidP="00F32C99">
            <w:pPr>
              <w:spacing w:line="240" w:lineRule="auto"/>
              <w:jc w:val="left"/>
              <w:rPr>
                <w:rStyle w:val="Hyperlink"/>
                <w:rtl/>
              </w:rPr>
            </w:pPr>
            <w:hyperlink w:anchor="Seif2" w:tooltip="הטרדה מאיימת   מהי?" w:history="1">
              <w:r w:rsidRPr="00F32C99">
                <w:rPr>
                  <w:rStyle w:val="Hyperlink"/>
                </w:rPr>
                <w:t>Go</w:t>
              </w:r>
            </w:hyperlink>
          </w:p>
        </w:tc>
        <w:tc>
          <w:tcPr>
            <w:tcW w:w="850" w:type="dxa"/>
          </w:tcPr>
          <w:p w:rsidR="00F32C99" w:rsidRPr="00F32C99" w:rsidRDefault="00F32C99" w:rsidP="00F3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32C99" w:rsidRPr="00F32C99">
        <w:tblPrEx>
          <w:tblCellMar>
            <w:top w:w="0" w:type="dxa"/>
            <w:bottom w:w="0" w:type="dxa"/>
          </w:tblCellMar>
        </w:tblPrEx>
        <w:tc>
          <w:tcPr>
            <w:tcW w:w="1247" w:type="dxa"/>
          </w:tcPr>
          <w:p w:rsidR="00F32C99" w:rsidRPr="00F32C99" w:rsidRDefault="00F32C99" w:rsidP="00F32C99">
            <w:pPr>
              <w:spacing w:line="240" w:lineRule="auto"/>
              <w:jc w:val="left"/>
              <w:rPr>
                <w:rFonts w:cs="Frankruhel"/>
                <w:sz w:val="24"/>
                <w:rtl/>
              </w:rPr>
            </w:pPr>
            <w:r>
              <w:rPr>
                <w:sz w:val="24"/>
                <w:rtl/>
              </w:rPr>
              <w:t xml:space="preserve">סעיף 3 </w:t>
            </w:r>
          </w:p>
        </w:tc>
        <w:tc>
          <w:tcPr>
            <w:tcW w:w="5669" w:type="dxa"/>
          </w:tcPr>
          <w:p w:rsidR="00F32C99" w:rsidRPr="00F32C99" w:rsidRDefault="00F32C99" w:rsidP="00F32C99">
            <w:pPr>
              <w:spacing w:line="240" w:lineRule="auto"/>
              <w:jc w:val="left"/>
              <w:rPr>
                <w:rFonts w:cs="Frankruhel"/>
                <w:sz w:val="24"/>
                <w:rtl/>
              </w:rPr>
            </w:pPr>
            <w:r>
              <w:rPr>
                <w:sz w:val="24"/>
                <w:rtl/>
              </w:rPr>
              <w:t>הגדרות</w:t>
            </w:r>
          </w:p>
        </w:tc>
        <w:tc>
          <w:tcPr>
            <w:tcW w:w="567" w:type="dxa"/>
          </w:tcPr>
          <w:p w:rsidR="00F32C99" w:rsidRPr="00F32C99" w:rsidRDefault="00F32C99" w:rsidP="00F32C99">
            <w:pPr>
              <w:spacing w:line="240" w:lineRule="auto"/>
              <w:jc w:val="left"/>
              <w:rPr>
                <w:rStyle w:val="Hyperlink"/>
                <w:rtl/>
              </w:rPr>
            </w:pPr>
            <w:hyperlink w:anchor="Seif3" w:tooltip="הגדרות" w:history="1">
              <w:r w:rsidRPr="00F32C99">
                <w:rPr>
                  <w:rStyle w:val="Hyperlink"/>
                </w:rPr>
                <w:t>Go</w:t>
              </w:r>
            </w:hyperlink>
          </w:p>
        </w:tc>
        <w:tc>
          <w:tcPr>
            <w:tcW w:w="850" w:type="dxa"/>
          </w:tcPr>
          <w:p w:rsidR="00F32C99" w:rsidRPr="00F32C99" w:rsidRDefault="00F32C99" w:rsidP="00F3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32C99" w:rsidRPr="00F32C99">
        <w:tblPrEx>
          <w:tblCellMar>
            <w:top w:w="0" w:type="dxa"/>
            <w:bottom w:w="0" w:type="dxa"/>
          </w:tblCellMar>
        </w:tblPrEx>
        <w:tc>
          <w:tcPr>
            <w:tcW w:w="1247" w:type="dxa"/>
          </w:tcPr>
          <w:p w:rsidR="00F32C99" w:rsidRPr="00F32C99" w:rsidRDefault="00F32C99" w:rsidP="00F32C99">
            <w:pPr>
              <w:spacing w:line="240" w:lineRule="auto"/>
              <w:jc w:val="left"/>
              <w:rPr>
                <w:rFonts w:cs="Frankruhel"/>
                <w:sz w:val="24"/>
                <w:rtl/>
              </w:rPr>
            </w:pPr>
            <w:r>
              <w:rPr>
                <w:sz w:val="24"/>
                <w:rtl/>
              </w:rPr>
              <w:t xml:space="preserve">סעיף 4 </w:t>
            </w:r>
          </w:p>
        </w:tc>
        <w:tc>
          <w:tcPr>
            <w:tcW w:w="5669" w:type="dxa"/>
          </w:tcPr>
          <w:p w:rsidR="00F32C99" w:rsidRPr="00F32C99" w:rsidRDefault="00F32C99" w:rsidP="00F32C99">
            <w:pPr>
              <w:spacing w:line="240" w:lineRule="auto"/>
              <w:jc w:val="left"/>
              <w:rPr>
                <w:rFonts w:cs="Frankruhel"/>
                <w:sz w:val="24"/>
                <w:rtl/>
              </w:rPr>
            </w:pPr>
            <w:r>
              <w:rPr>
                <w:sz w:val="24"/>
                <w:rtl/>
              </w:rPr>
              <w:t>צו מניעת הטרדה מאיימת</w:t>
            </w:r>
          </w:p>
        </w:tc>
        <w:tc>
          <w:tcPr>
            <w:tcW w:w="567" w:type="dxa"/>
          </w:tcPr>
          <w:p w:rsidR="00F32C99" w:rsidRPr="00F32C99" w:rsidRDefault="00F32C99" w:rsidP="00F32C99">
            <w:pPr>
              <w:spacing w:line="240" w:lineRule="auto"/>
              <w:jc w:val="left"/>
              <w:rPr>
                <w:rStyle w:val="Hyperlink"/>
                <w:rtl/>
              </w:rPr>
            </w:pPr>
            <w:hyperlink w:anchor="Seif4" w:tooltip="צו מניעת הטרדה מאיימת" w:history="1">
              <w:r w:rsidRPr="00F32C99">
                <w:rPr>
                  <w:rStyle w:val="Hyperlink"/>
                </w:rPr>
                <w:t>Go</w:t>
              </w:r>
            </w:hyperlink>
          </w:p>
        </w:tc>
        <w:tc>
          <w:tcPr>
            <w:tcW w:w="850" w:type="dxa"/>
          </w:tcPr>
          <w:p w:rsidR="00F32C99" w:rsidRPr="00F32C99" w:rsidRDefault="00F32C99" w:rsidP="00F3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32C99" w:rsidRPr="00F32C99">
        <w:tblPrEx>
          <w:tblCellMar>
            <w:top w:w="0" w:type="dxa"/>
            <w:bottom w:w="0" w:type="dxa"/>
          </w:tblCellMar>
        </w:tblPrEx>
        <w:tc>
          <w:tcPr>
            <w:tcW w:w="1247" w:type="dxa"/>
          </w:tcPr>
          <w:p w:rsidR="00F32C99" w:rsidRPr="00F32C99" w:rsidRDefault="00F32C99" w:rsidP="00F32C99">
            <w:pPr>
              <w:spacing w:line="240" w:lineRule="auto"/>
              <w:jc w:val="left"/>
              <w:rPr>
                <w:rFonts w:cs="Frankruhel"/>
                <w:sz w:val="24"/>
                <w:rtl/>
              </w:rPr>
            </w:pPr>
            <w:r>
              <w:rPr>
                <w:sz w:val="24"/>
                <w:rtl/>
              </w:rPr>
              <w:t xml:space="preserve">סעיף 5 </w:t>
            </w:r>
          </w:p>
        </w:tc>
        <w:tc>
          <w:tcPr>
            <w:tcW w:w="5669" w:type="dxa"/>
          </w:tcPr>
          <w:p w:rsidR="00F32C99" w:rsidRPr="00F32C99" w:rsidRDefault="00F32C99" w:rsidP="00F32C99">
            <w:pPr>
              <w:spacing w:line="240" w:lineRule="auto"/>
              <w:jc w:val="left"/>
              <w:rPr>
                <w:rFonts w:cs="Frankruhel"/>
                <w:sz w:val="24"/>
                <w:rtl/>
              </w:rPr>
            </w:pPr>
            <w:r>
              <w:rPr>
                <w:sz w:val="24"/>
                <w:rtl/>
              </w:rPr>
              <w:t>הוראות הצו</w:t>
            </w:r>
          </w:p>
        </w:tc>
        <w:tc>
          <w:tcPr>
            <w:tcW w:w="567" w:type="dxa"/>
          </w:tcPr>
          <w:p w:rsidR="00F32C99" w:rsidRPr="00F32C99" w:rsidRDefault="00F32C99" w:rsidP="00F32C99">
            <w:pPr>
              <w:spacing w:line="240" w:lineRule="auto"/>
              <w:jc w:val="left"/>
              <w:rPr>
                <w:rStyle w:val="Hyperlink"/>
                <w:rtl/>
              </w:rPr>
            </w:pPr>
            <w:hyperlink w:anchor="Seif5" w:tooltip="הוראות הצו" w:history="1">
              <w:r w:rsidRPr="00F32C99">
                <w:rPr>
                  <w:rStyle w:val="Hyperlink"/>
                </w:rPr>
                <w:t>Go</w:t>
              </w:r>
            </w:hyperlink>
          </w:p>
        </w:tc>
        <w:tc>
          <w:tcPr>
            <w:tcW w:w="850" w:type="dxa"/>
          </w:tcPr>
          <w:p w:rsidR="00F32C99" w:rsidRPr="00F32C99" w:rsidRDefault="00F32C99" w:rsidP="00F3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32C99" w:rsidRPr="00F32C99">
        <w:tblPrEx>
          <w:tblCellMar>
            <w:top w:w="0" w:type="dxa"/>
            <w:bottom w:w="0" w:type="dxa"/>
          </w:tblCellMar>
        </w:tblPrEx>
        <w:tc>
          <w:tcPr>
            <w:tcW w:w="1247" w:type="dxa"/>
          </w:tcPr>
          <w:p w:rsidR="00F32C99" w:rsidRPr="00F32C99" w:rsidRDefault="00F32C99" w:rsidP="00F32C99">
            <w:pPr>
              <w:spacing w:line="240" w:lineRule="auto"/>
              <w:jc w:val="left"/>
              <w:rPr>
                <w:rFonts w:cs="Frankruhel"/>
                <w:sz w:val="24"/>
                <w:rtl/>
              </w:rPr>
            </w:pPr>
            <w:r>
              <w:rPr>
                <w:sz w:val="24"/>
                <w:rtl/>
              </w:rPr>
              <w:t xml:space="preserve">סעיף 6 </w:t>
            </w:r>
          </w:p>
        </w:tc>
        <w:tc>
          <w:tcPr>
            <w:tcW w:w="5669" w:type="dxa"/>
          </w:tcPr>
          <w:p w:rsidR="00F32C99" w:rsidRPr="00F32C99" w:rsidRDefault="00F32C99" w:rsidP="00F32C99">
            <w:pPr>
              <w:spacing w:line="240" w:lineRule="auto"/>
              <w:jc w:val="left"/>
              <w:rPr>
                <w:rFonts w:cs="Frankruhel"/>
                <w:sz w:val="24"/>
                <w:rtl/>
              </w:rPr>
            </w:pPr>
            <w:r>
              <w:rPr>
                <w:sz w:val="24"/>
                <w:rtl/>
              </w:rPr>
              <w:t>תקופת תוקף</w:t>
            </w:r>
          </w:p>
        </w:tc>
        <w:tc>
          <w:tcPr>
            <w:tcW w:w="567" w:type="dxa"/>
          </w:tcPr>
          <w:p w:rsidR="00F32C99" w:rsidRPr="00F32C99" w:rsidRDefault="00F32C99" w:rsidP="00F32C99">
            <w:pPr>
              <w:spacing w:line="240" w:lineRule="auto"/>
              <w:jc w:val="left"/>
              <w:rPr>
                <w:rStyle w:val="Hyperlink"/>
                <w:rtl/>
              </w:rPr>
            </w:pPr>
            <w:hyperlink w:anchor="Seif6" w:tooltip="תקופת תוקף" w:history="1">
              <w:r w:rsidRPr="00F32C99">
                <w:rPr>
                  <w:rStyle w:val="Hyperlink"/>
                </w:rPr>
                <w:t>Go</w:t>
              </w:r>
            </w:hyperlink>
          </w:p>
        </w:tc>
        <w:tc>
          <w:tcPr>
            <w:tcW w:w="850" w:type="dxa"/>
          </w:tcPr>
          <w:p w:rsidR="00F32C99" w:rsidRPr="00F32C99" w:rsidRDefault="00F32C99" w:rsidP="00F3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32C99" w:rsidRPr="00F32C99">
        <w:tblPrEx>
          <w:tblCellMar>
            <w:top w:w="0" w:type="dxa"/>
            <w:bottom w:w="0" w:type="dxa"/>
          </w:tblCellMar>
        </w:tblPrEx>
        <w:tc>
          <w:tcPr>
            <w:tcW w:w="1247" w:type="dxa"/>
          </w:tcPr>
          <w:p w:rsidR="00F32C99" w:rsidRPr="00F32C99" w:rsidRDefault="00F32C99" w:rsidP="00F32C99">
            <w:pPr>
              <w:spacing w:line="240" w:lineRule="auto"/>
              <w:jc w:val="left"/>
              <w:rPr>
                <w:rFonts w:cs="Frankruhel"/>
                <w:sz w:val="24"/>
                <w:rtl/>
              </w:rPr>
            </w:pPr>
            <w:r>
              <w:rPr>
                <w:sz w:val="24"/>
                <w:rtl/>
              </w:rPr>
              <w:t xml:space="preserve">סעיף 7 </w:t>
            </w:r>
          </w:p>
        </w:tc>
        <w:tc>
          <w:tcPr>
            <w:tcW w:w="5669" w:type="dxa"/>
          </w:tcPr>
          <w:p w:rsidR="00F32C99" w:rsidRPr="00F32C99" w:rsidRDefault="00F32C99" w:rsidP="00F32C99">
            <w:pPr>
              <w:spacing w:line="240" w:lineRule="auto"/>
              <w:jc w:val="left"/>
              <w:rPr>
                <w:rFonts w:cs="Frankruhel"/>
                <w:sz w:val="24"/>
                <w:rtl/>
              </w:rPr>
            </w:pPr>
            <w:r>
              <w:rPr>
                <w:sz w:val="24"/>
                <w:rtl/>
              </w:rPr>
              <w:t>סדרי דין</w:t>
            </w:r>
          </w:p>
        </w:tc>
        <w:tc>
          <w:tcPr>
            <w:tcW w:w="567" w:type="dxa"/>
          </w:tcPr>
          <w:p w:rsidR="00F32C99" w:rsidRPr="00F32C99" w:rsidRDefault="00F32C99" w:rsidP="00F32C99">
            <w:pPr>
              <w:spacing w:line="240" w:lineRule="auto"/>
              <w:jc w:val="left"/>
              <w:rPr>
                <w:rStyle w:val="Hyperlink"/>
                <w:rtl/>
              </w:rPr>
            </w:pPr>
            <w:hyperlink w:anchor="Seif7" w:tooltip="סדרי דין" w:history="1">
              <w:r w:rsidRPr="00F32C99">
                <w:rPr>
                  <w:rStyle w:val="Hyperlink"/>
                </w:rPr>
                <w:t>Go</w:t>
              </w:r>
            </w:hyperlink>
          </w:p>
        </w:tc>
        <w:tc>
          <w:tcPr>
            <w:tcW w:w="850" w:type="dxa"/>
          </w:tcPr>
          <w:p w:rsidR="00F32C99" w:rsidRPr="00F32C99" w:rsidRDefault="00F32C99" w:rsidP="00F3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32C99" w:rsidRPr="00F32C99">
        <w:tblPrEx>
          <w:tblCellMar>
            <w:top w:w="0" w:type="dxa"/>
            <w:bottom w:w="0" w:type="dxa"/>
          </w:tblCellMar>
        </w:tblPrEx>
        <w:tc>
          <w:tcPr>
            <w:tcW w:w="1247" w:type="dxa"/>
          </w:tcPr>
          <w:p w:rsidR="00F32C99" w:rsidRPr="00F32C99" w:rsidRDefault="00F32C99" w:rsidP="00F32C99">
            <w:pPr>
              <w:spacing w:line="240" w:lineRule="auto"/>
              <w:jc w:val="left"/>
              <w:rPr>
                <w:rFonts w:cs="Frankruhel"/>
                <w:sz w:val="24"/>
                <w:rtl/>
              </w:rPr>
            </w:pPr>
            <w:r>
              <w:rPr>
                <w:sz w:val="24"/>
                <w:rtl/>
              </w:rPr>
              <w:t xml:space="preserve">סעיף 8 </w:t>
            </w:r>
          </w:p>
        </w:tc>
        <w:tc>
          <w:tcPr>
            <w:tcW w:w="5669" w:type="dxa"/>
          </w:tcPr>
          <w:p w:rsidR="00F32C99" w:rsidRPr="00F32C99" w:rsidRDefault="00F32C99" w:rsidP="00F32C99">
            <w:pPr>
              <w:spacing w:line="240" w:lineRule="auto"/>
              <w:jc w:val="left"/>
              <w:rPr>
                <w:rFonts w:cs="Frankruhel"/>
                <w:sz w:val="24"/>
                <w:rtl/>
              </w:rPr>
            </w:pPr>
            <w:r>
              <w:rPr>
                <w:sz w:val="24"/>
                <w:rtl/>
              </w:rPr>
              <w:t>הפרת צו</w:t>
            </w:r>
          </w:p>
        </w:tc>
        <w:tc>
          <w:tcPr>
            <w:tcW w:w="567" w:type="dxa"/>
          </w:tcPr>
          <w:p w:rsidR="00F32C99" w:rsidRPr="00F32C99" w:rsidRDefault="00F32C99" w:rsidP="00F32C99">
            <w:pPr>
              <w:spacing w:line="240" w:lineRule="auto"/>
              <w:jc w:val="left"/>
              <w:rPr>
                <w:rStyle w:val="Hyperlink"/>
                <w:rtl/>
              </w:rPr>
            </w:pPr>
            <w:hyperlink w:anchor="Seif8" w:tooltip="הפרת צו" w:history="1">
              <w:r w:rsidRPr="00F32C99">
                <w:rPr>
                  <w:rStyle w:val="Hyperlink"/>
                </w:rPr>
                <w:t>Go</w:t>
              </w:r>
            </w:hyperlink>
          </w:p>
        </w:tc>
        <w:tc>
          <w:tcPr>
            <w:tcW w:w="850" w:type="dxa"/>
          </w:tcPr>
          <w:p w:rsidR="00F32C99" w:rsidRPr="00F32C99" w:rsidRDefault="00F32C99" w:rsidP="00F3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32C99" w:rsidRPr="00F32C99">
        <w:tblPrEx>
          <w:tblCellMar>
            <w:top w:w="0" w:type="dxa"/>
            <w:bottom w:w="0" w:type="dxa"/>
          </w:tblCellMar>
        </w:tblPrEx>
        <w:tc>
          <w:tcPr>
            <w:tcW w:w="1247" w:type="dxa"/>
          </w:tcPr>
          <w:p w:rsidR="00F32C99" w:rsidRPr="00F32C99" w:rsidRDefault="00F32C99" w:rsidP="00F32C99">
            <w:pPr>
              <w:spacing w:line="240" w:lineRule="auto"/>
              <w:jc w:val="left"/>
              <w:rPr>
                <w:rFonts w:cs="Frankruhel"/>
                <w:sz w:val="24"/>
                <w:rtl/>
              </w:rPr>
            </w:pPr>
            <w:r>
              <w:rPr>
                <w:sz w:val="24"/>
                <w:rtl/>
              </w:rPr>
              <w:t xml:space="preserve">סעיף 9 </w:t>
            </w:r>
          </w:p>
        </w:tc>
        <w:tc>
          <w:tcPr>
            <w:tcW w:w="5669" w:type="dxa"/>
          </w:tcPr>
          <w:p w:rsidR="00F32C99" w:rsidRPr="00F32C99" w:rsidRDefault="00F32C99" w:rsidP="00F32C99">
            <w:pPr>
              <w:spacing w:line="240" w:lineRule="auto"/>
              <w:jc w:val="left"/>
              <w:rPr>
                <w:rFonts w:cs="Frankruhel"/>
                <w:sz w:val="24"/>
                <w:rtl/>
              </w:rPr>
            </w:pPr>
            <w:r>
              <w:rPr>
                <w:sz w:val="24"/>
                <w:rtl/>
              </w:rPr>
              <w:t>הוצאות ופיצויים בפניית סרק</w:t>
            </w:r>
          </w:p>
        </w:tc>
        <w:tc>
          <w:tcPr>
            <w:tcW w:w="567" w:type="dxa"/>
          </w:tcPr>
          <w:p w:rsidR="00F32C99" w:rsidRPr="00F32C99" w:rsidRDefault="00F32C99" w:rsidP="00F32C99">
            <w:pPr>
              <w:spacing w:line="240" w:lineRule="auto"/>
              <w:jc w:val="left"/>
              <w:rPr>
                <w:rStyle w:val="Hyperlink"/>
                <w:rtl/>
              </w:rPr>
            </w:pPr>
            <w:hyperlink w:anchor="Seif9" w:tooltip="הוצאות ופיצויים בפניית סרק" w:history="1">
              <w:r w:rsidRPr="00F32C99">
                <w:rPr>
                  <w:rStyle w:val="Hyperlink"/>
                </w:rPr>
                <w:t>Go</w:t>
              </w:r>
            </w:hyperlink>
          </w:p>
        </w:tc>
        <w:tc>
          <w:tcPr>
            <w:tcW w:w="850" w:type="dxa"/>
          </w:tcPr>
          <w:p w:rsidR="00F32C99" w:rsidRPr="00F32C99" w:rsidRDefault="00F32C99" w:rsidP="00F3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32C99" w:rsidRPr="00F32C99">
        <w:tblPrEx>
          <w:tblCellMar>
            <w:top w:w="0" w:type="dxa"/>
            <w:bottom w:w="0" w:type="dxa"/>
          </w:tblCellMar>
        </w:tblPrEx>
        <w:tc>
          <w:tcPr>
            <w:tcW w:w="1247" w:type="dxa"/>
          </w:tcPr>
          <w:p w:rsidR="00F32C99" w:rsidRPr="00F32C99" w:rsidRDefault="00F32C99" w:rsidP="00F32C99">
            <w:pPr>
              <w:spacing w:line="240" w:lineRule="auto"/>
              <w:jc w:val="left"/>
              <w:rPr>
                <w:rFonts w:cs="Frankruhel"/>
                <w:sz w:val="24"/>
                <w:rtl/>
              </w:rPr>
            </w:pPr>
            <w:r>
              <w:rPr>
                <w:sz w:val="24"/>
                <w:rtl/>
              </w:rPr>
              <w:t xml:space="preserve">סעיף 10 </w:t>
            </w:r>
          </w:p>
        </w:tc>
        <w:tc>
          <w:tcPr>
            <w:tcW w:w="5669" w:type="dxa"/>
          </w:tcPr>
          <w:p w:rsidR="00F32C99" w:rsidRPr="00F32C99" w:rsidRDefault="00F32C99" w:rsidP="00F32C99">
            <w:pPr>
              <w:spacing w:line="240" w:lineRule="auto"/>
              <w:jc w:val="left"/>
              <w:rPr>
                <w:rFonts w:cs="Frankruhel"/>
                <w:sz w:val="24"/>
                <w:rtl/>
              </w:rPr>
            </w:pPr>
            <w:r>
              <w:rPr>
                <w:sz w:val="24"/>
                <w:rtl/>
              </w:rPr>
              <w:t>סמכות</w:t>
            </w:r>
          </w:p>
        </w:tc>
        <w:tc>
          <w:tcPr>
            <w:tcW w:w="567" w:type="dxa"/>
          </w:tcPr>
          <w:p w:rsidR="00F32C99" w:rsidRPr="00F32C99" w:rsidRDefault="00F32C99" w:rsidP="00F32C99">
            <w:pPr>
              <w:spacing w:line="240" w:lineRule="auto"/>
              <w:jc w:val="left"/>
              <w:rPr>
                <w:rStyle w:val="Hyperlink"/>
                <w:rtl/>
              </w:rPr>
            </w:pPr>
            <w:hyperlink w:anchor="Seif10" w:tooltip="סמכות" w:history="1">
              <w:r w:rsidRPr="00F32C99">
                <w:rPr>
                  <w:rStyle w:val="Hyperlink"/>
                </w:rPr>
                <w:t>Go</w:t>
              </w:r>
            </w:hyperlink>
          </w:p>
        </w:tc>
        <w:tc>
          <w:tcPr>
            <w:tcW w:w="850" w:type="dxa"/>
          </w:tcPr>
          <w:p w:rsidR="00F32C99" w:rsidRPr="00F32C99" w:rsidRDefault="00F32C99" w:rsidP="00F3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32C99" w:rsidRPr="00F32C99">
        <w:tblPrEx>
          <w:tblCellMar>
            <w:top w:w="0" w:type="dxa"/>
            <w:bottom w:w="0" w:type="dxa"/>
          </w:tblCellMar>
        </w:tblPrEx>
        <w:tc>
          <w:tcPr>
            <w:tcW w:w="1247" w:type="dxa"/>
          </w:tcPr>
          <w:p w:rsidR="00F32C99" w:rsidRPr="00F32C99" w:rsidRDefault="00F32C99" w:rsidP="00F32C99">
            <w:pPr>
              <w:spacing w:line="240" w:lineRule="auto"/>
              <w:jc w:val="left"/>
              <w:rPr>
                <w:rFonts w:cs="Frankruhel"/>
                <w:sz w:val="24"/>
                <w:rtl/>
              </w:rPr>
            </w:pPr>
            <w:r>
              <w:rPr>
                <w:sz w:val="24"/>
                <w:rtl/>
              </w:rPr>
              <w:t xml:space="preserve">סעיף 11 </w:t>
            </w:r>
          </w:p>
        </w:tc>
        <w:tc>
          <w:tcPr>
            <w:tcW w:w="5669" w:type="dxa"/>
          </w:tcPr>
          <w:p w:rsidR="00F32C99" w:rsidRPr="00F32C99" w:rsidRDefault="00F32C99" w:rsidP="00F32C99">
            <w:pPr>
              <w:spacing w:line="240" w:lineRule="auto"/>
              <w:jc w:val="left"/>
              <w:rPr>
                <w:rFonts w:cs="Frankruhel"/>
                <w:sz w:val="24"/>
                <w:rtl/>
              </w:rPr>
            </w:pPr>
            <w:r>
              <w:rPr>
                <w:sz w:val="24"/>
                <w:rtl/>
              </w:rPr>
              <w:t>שמירת דינים</w:t>
            </w:r>
          </w:p>
        </w:tc>
        <w:tc>
          <w:tcPr>
            <w:tcW w:w="567" w:type="dxa"/>
          </w:tcPr>
          <w:p w:rsidR="00F32C99" w:rsidRPr="00F32C99" w:rsidRDefault="00F32C99" w:rsidP="00F32C99">
            <w:pPr>
              <w:spacing w:line="240" w:lineRule="auto"/>
              <w:jc w:val="left"/>
              <w:rPr>
                <w:rStyle w:val="Hyperlink"/>
                <w:rtl/>
              </w:rPr>
            </w:pPr>
            <w:hyperlink w:anchor="Seif11" w:tooltip="שמירת דינים" w:history="1">
              <w:r w:rsidRPr="00F32C99">
                <w:rPr>
                  <w:rStyle w:val="Hyperlink"/>
                </w:rPr>
                <w:t>Go</w:t>
              </w:r>
            </w:hyperlink>
          </w:p>
        </w:tc>
        <w:tc>
          <w:tcPr>
            <w:tcW w:w="850" w:type="dxa"/>
          </w:tcPr>
          <w:p w:rsidR="00F32C99" w:rsidRPr="00F32C99" w:rsidRDefault="00F32C99" w:rsidP="00F3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32C99" w:rsidRPr="00F32C99">
        <w:tblPrEx>
          <w:tblCellMar>
            <w:top w:w="0" w:type="dxa"/>
            <w:bottom w:w="0" w:type="dxa"/>
          </w:tblCellMar>
        </w:tblPrEx>
        <w:tc>
          <w:tcPr>
            <w:tcW w:w="1247" w:type="dxa"/>
          </w:tcPr>
          <w:p w:rsidR="00F32C99" w:rsidRPr="00F32C99" w:rsidRDefault="00F32C99" w:rsidP="00F32C99">
            <w:pPr>
              <w:spacing w:line="240" w:lineRule="auto"/>
              <w:jc w:val="left"/>
              <w:rPr>
                <w:rFonts w:cs="Frankruhel"/>
                <w:sz w:val="24"/>
                <w:rtl/>
              </w:rPr>
            </w:pPr>
            <w:r>
              <w:rPr>
                <w:sz w:val="24"/>
                <w:rtl/>
              </w:rPr>
              <w:t xml:space="preserve">סעיף 12 </w:t>
            </w:r>
          </w:p>
        </w:tc>
        <w:tc>
          <w:tcPr>
            <w:tcW w:w="5669" w:type="dxa"/>
          </w:tcPr>
          <w:p w:rsidR="00F32C99" w:rsidRPr="00F32C99" w:rsidRDefault="00F32C99" w:rsidP="00F32C99">
            <w:pPr>
              <w:spacing w:line="240" w:lineRule="auto"/>
              <w:jc w:val="left"/>
              <w:rPr>
                <w:rFonts w:cs="Frankruhel"/>
                <w:sz w:val="24"/>
                <w:rtl/>
              </w:rPr>
            </w:pPr>
            <w:r>
              <w:rPr>
                <w:sz w:val="24"/>
                <w:rtl/>
              </w:rPr>
              <w:t>ביצוע ותקנות</w:t>
            </w:r>
          </w:p>
        </w:tc>
        <w:tc>
          <w:tcPr>
            <w:tcW w:w="567" w:type="dxa"/>
          </w:tcPr>
          <w:p w:rsidR="00F32C99" w:rsidRPr="00F32C99" w:rsidRDefault="00F32C99" w:rsidP="00F32C99">
            <w:pPr>
              <w:spacing w:line="240" w:lineRule="auto"/>
              <w:jc w:val="left"/>
              <w:rPr>
                <w:rStyle w:val="Hyperlink"/>
                <w:rtl/>
              </w:rPr>
            </w:pPr>
            <w:hyperlink w:anchor="Seif12" w:tooltip="ביצוע ותקנות" w:history="1">
              <w:r w:rsidRPr="00F32C99">
                <w:rPr>
                  <w:rStyle w:val="Hyperlink"/>
                </w:rPr>
                <w:t>Go</w:t>
              </w:r>
            </w:hyperlink>
          </w:p>
        </w:tc>
        <w:tc>
          <w:tcPr>
            <w:tcW w:w="850" w:type="dxa"/>
          </w:tcPr>
          <w:p w:rsidR="00F32C99" w:rsidRPr="00F32C99" w:rsidRDefault="00F32C99" w:rsidP="00F3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32C99" w:rsidRPr="00F32C99">
        <w:tblPrEx>
          <w:tblCellMar>
            <w:top w:w="0" w:type="dxa"/>
            <w:bottom w:w="0" w:type="dxa"/>
          </w:tblCellMar>
        </w:tblPrEx>
        <w:tc>
          <w:tcPr>
            <w:tcW w:w="1247" w:type="dxa"/>
          </w:tcPr>
          <w:p w:rsidR="00F32C99" w:rsidRPr="00F32C99" w:rsidRDefault="00F32C99" w:rsidP="00F32C99">
            <w:pPr>
              <w:spacing w:line="240" w:lineRule="auto"/>
              <w:jc w:val="left"/>
              <w:rPr>
                <w:rFonts w:cs="Frankruhel"/>
                <w:sz w:val="24"/>
                <w:rtl/>
              </w:rPr>
            </w:pPr>
            <w:r>
              <w:rPr>
                <w:sz w:val="24"/>
                <w:rtl/>
              </w:rPr>
              <w:t xml:space="preserve">סעיף 13 </w:t>
            </w:r>
          </w:p>
        </w:tc>
        <w:tc>
          <w:tcPr>
            <w:tcW w:w="5669" w:type="dxa"/>
          </w:tcPr>
          <w:p w:rsidR="00F32C99" w:rsidRPr="00F32C99" w:rsidRDefault="00F32C99" w:rsidP="00F32C99">
            <w:pPr>
              <w:spacing w:line="240" w:lineRule="auto"/>
              <w:jc w:val="left"/>
              <w:rPr>
                <w:rFonts w:cs="Frankruhel"/>
                <w:sz w:val="24"/>
                <w:rtl/>
              </w:rPr>
            </w:pPr>
            <w:r>
              <w:rPr>
                <w:sz w:val="24"/>
                <w:rtl/>
              </w:rPr>
              <w:t>תיקון חוק הנוער</w:t>
            </w:r>
          </w:p>
        </w:tc>
        <w:tc>
          <w:tcPr>
            <w:tcW w:w="567" w:type="dxa"/>
          </w:tcPr>
          <w:p w:rsidR="00F32C99" w:rsidRPr="00F32C99" w:rsidRDefault="00F32C99" w:rsidP="00F32C99">
            <w:pPr>
              <w:spacing w:line="240" w:lineRule="auto"/>
              <w:jc w:val="left"/>
              <w:rPr>
                <w:rStyle w:val="Hyperlink"/>
                <w:rtl/>
              </w:rPr>
            </w:pPr>
            <w:hyperlink w:anchor="Seif13" w:tooltip="תיקון חוק הנוער" w:history="1">
              <w:r w:rsidRPr="00F32C99">
                <w:rPr>
                  <w:rStyle w:val="Hyperlink"/>
                </w:rPr>
                <w:t>Go</w:t>
              </w:r>
            </w:hyperlink>
          </w:p>
        </w:tc>
        <w:tc>
          <w:tcPr>
            <w:tcW w:w="850" w:type="dxa"/>
          </w:tcPr>
          <w:p w:rsidR="00F32C99" w:rsidRPr="00F32C99" w:rsidRDefault="00F32C99" w:rsidP="00F3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32C99" w:rsidRPr="00F32C99">
        <w:tblPrEx>
          <w:tblCellMar>
            <w:top w:w="0" w:type="dxa"/>
            <w:bottom w:w="0" w:type="dxa"/>
          </w:tblCellMar>
        </w:tblPrEx>
        <w:tc>
          <w:tcPr>
            <w:tcW w:w="1247" w:type="dxa"/>
          </w:tcPr>
          <w:p w:rsidR="00F32C99" w:rsidRPr="00F32C99" w:rsidRDefault="00F32C99" w:rsidP="00F32C99">
            <w:pPr>
              <w:spacing w:line="240" w:lineRule="auto"/>
              <w:jc w:val="left"/>
              <w:rPr>
                <w:rFonts w:cs="Frankruhel"/>
                <w:sz w:val="24"/>
                <w:rtl/>
              </w:rPr>
            </w:pPr>
            <w:r>
              <w:rPr>
                <w:sz w:val="24"/>
                <w:rtl/>
              </w:rPr>
              <w:t xml:space="preserve">סעיף 14 </w:t>
            </w:r>
          </w:p>
        </w:tc>
        <w:tc>
          <w:tcPr>
            <w:tcW w:w="5669" w:type="dxa"/>
          </w:tcPr>
          <w:p w:rsidR="00F32C99" w:rsidRPr="00F32C99" w:rsidRDefault="00F32C99" w:rsidP="00F32C99">
            <w:pPr>
              <w:spacing w:line="240" w:lineRule="auto"/>
              <w:jc w:val="left"/>
              <w:rPr>
                <w:rFonts w:cs="Frankruhel"/>
                <w:sz w:val="24"/>
                <w:rtl/>
              </w:rPr>
            </w:pPr>
            <w:r>
              <w:rPr>
                <w:sz w:val="24"/>
                <w:rtl/>
              </w:rPr>
              <w:t>תיקון חוק למניעת אלימות במשפחה   מס' 6</w:t>
            </w:r>
          </w:p>
        </w:tc>
        <w:tc>
          <w:tcPr>
            <w:tcW w:w="567" w:type="dxa"/>
          </w:tcPr>
          <w:p w:rsidR="00F32C99" w:rsidRPr="00F32C99" w:rsidRDefault="00F32C99" w:rsidP="00F32C99">
            <w:pPr>
              <w:spacing w:line="240" w:lineRule="auto"/>
              <w:jc w:val="left"/>
              <w:rPr>
                <w:rStyle w:val="Hyperlink"/>
                <w:rtl/>
              </w:rPr>
            </w:pPr>
            <w:hyperlink w:anchor="Seif14" w:tooltip="תיקון חוק למניעת אלימות במשפחה   מס 6" w:history="1">
              <w:r w:rsidRPr="00F32C99">
                <w:rPr>
                  <w:rStyle w:val="Hyperlink"/>
                </w:rPr>
                <w:t>Go</w:t>
              </w:r>
            </w:hyperlink>
          </w:p>
        </w:tc>
        <w:tc>
          <w:tcPr>
            <w:tcW w:w="850" w:type="dxa"/>
          </w:tcPr>
          <w:p w:rsidR="00F32C99" w:rsidRPr="00F32C99" w:rsidRDefault="00F32C99" w:rsidP="00F32C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rsidR="00794824" w:rsidRDefault="00794824">
      <w:pPr>
        <w:pStyle w:val="big-header"/>
        <w:ind w:left="0" w:right="1134"/>
        <w:rPr>
          <w:rFonts w:cs="FrankRuehl"/>
          <w:sz w:val="32"/>
          <w:rtl/>
        </w:rPr>
      </w:pPr>
    </w:p>
    <w:p w:rsidR="00794824" w:rsidRDefault="00794824" w:rsidP="004C245E">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מניעת ה</w:t>
      </w:r>
      <w:r>
        <w:rPr>
          <w:rFonts w:cs="FrankRuehl"/>
          <w:sz w:val="32"/>
          <w:rtl/>
        </w:rPr>
        <w:t>ט</w:t>
      </w:r>
      <w:r>
        <w:rPr>
          <w:rFonts w:cs="FrankRuehl" w:hint="cs"/>
          <w:sz w:val="32"/>
          <w:rtl/>
        </w:rPr>
        <w:t>רדה מאיימת, תשס"ב-</w:t>
      </w:r>
      <w:r>
        <w:rPr>
          <w:rFonts w:cs="FrankRuehl"/>
          <w:sz w:val="32"/>
          <w:rtl/>
        </w:rPr>
        <w:t>2001</w:t>
      </w:r>
      <w:r>
        <w:rPr>
          <w:rStyle w:val="default"/>
          <w:rtl/>
        </w:rPr>
        <w:footnoteReference w:customMarkFollows="1" w:id="1"/>
        <w:t>*</w:t>
      </w:r>
    </w:p>
    <w:p w:rsidR="00794824" w:rsidRDefault="00794824">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1.15pt;z-index:251649024" o:allowincell="f" filled="f" stroked="f" strokecolor="lime" strokeweight=".25pt">
            <v:textbox inset="0,0,0,0">
              <w:txbxContent>
                <w:p w:rsidR="00794824" w:rsidRDefault="00794824">
                  <w:pPr>
                    <w:spacing w:line="160" w:lineRule="exact"/>
                    <w:jc w:val="left"/>
                    <w:rPr>
                      <w:rFonts w:cs="Miriam"/>
                      <w:noProof/>
                      <w:sz w:val="18"/>
                      <w:szCs w:val="18"/>
                      <w:rtl/>
                    </w:rPr>
                  </w:pPr>
                  <w:r>
                    <w:rPr>
                      <w:rFonts w:cs="Miriam"/>
                      <w:sz w:val="18"/>
                      <w:szCs w:val="18"/>
                      <w:rtl/>
                    </w:rPr>
                    <w:t>מט</w:t>
                  </w:r>
                  <w:r>
                    <w:rPr>
                      <w:rFonts w:cs="Miriam" w:hint="cs"/>
                      <w:sz w:val="18"/>
                      <w:szCs w:val="18"/>
                      <w:rtl/>
                    </w:rPr>
                    <w:t>רה</w:t>
                  </w:r>
                </w:p>
              </w:txbxContent>
            </v:textbox>
            <w10:anchorlock/>
          </v:rect>
        </w:pict>
      </w:r>
      <w:r>
        <w:rPr>
          <w:rStyle w:val="big-number"/>
          <w:rFonts w:cs="Miriam"/>
          <w:rtl/>
        </w:rPr>
        <w:t>1.</w:t>
      </w:r>
      <w:r>
        <w:rPr>
          <w:rStyle w:val="big-number"/>
          <w:rFonts w:cs="Miriam"/>
          <w:rtl/>
        </w:rPr>
        <w:tab/>
      </w:r>
      <w:r>
        <w:rPr>
          <w:rStyle w:val="default"/>
          <w:rFonts w:cs="FrankRuehl"/>
          <w:rtl/>
        </w:rPr>
        <w:t>מט</w:t>
      </w:r>
      <w:r>
        <w:rPr>
          <w:rStyle w:val="default"/>
          <w:rFonts w:cs="FrankRuehl" w:hint="cs"/>
          <w:rtl/>
        </w:rPr>
        <w:t>רת חוק זה היא להגן על אדם מפני פגיעה בשלוות חייו, בפרטיותו, בחירותו או בגופו, בידי אדם אחר שנקט נגדו הטרדה מאיימת או שפגע בגופו.</w:t>
      </w:r>
    </w:p>
    <w:p w:rsidR="00794824" w:rsidRDefault="00794824">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23.05pt;z-index:251650048" o:allowincell="f" filled="f" stroked="f" strokecolor="lime" strokeweight=".25pt">
            <v:textbox inset="0,0,0,0">
              <w:txbxContent>
                <w:p w:rsidR="00794824" w:rsidRDefault="00794824">
                  <w:pPr>
                    <w:spacing w:line="160" w:lineRule="exact"/>
                    <w:jc w:val="left"/>
                    <w:rPr>
                      <w:rFonts w:cs="Miriam"/>
                      <w:noProof/>
                      <w:sz w:val="18"/>
                      <w:szCs w:val="18"/>
                      <w:rtl/>
                    </w:rPr>
                  </w:pPr>
                  <w:r>
                    <w:rPr>
                      <w:rFonts w:cs="Miriam"/>
                      <w:sz w:val="18"/>
                      <w:szCs w:val="18"/>
                      <w:rtl/>
                    </w:rPr>
                    <w:t>הט</w:t>
                  </w:r>
                  <w:r>
                    <w:rPr>
                      <w:rFonts w:cs="Miriam" w:hint="cs"/>
                      <w:sz w:val="18"/>
                      <w:szCs w:val="18"/>
                      <w:rtl/>
                    </w:rPr>
                    <w:t xml:space="preserve">רדה מאיימת </w:t>
                  </w:r>
                  <w:r>
                    <w:rPr>
                      <w:rFonts w:cs="Miriam"/>
                      <w:sz w:val="18"/>
                      <w:szCs w:val="18"/>
                      <w:rtl/>
                    </w:rPr>
                    <w:t xml:space="preserve">– </w:t>
                  </w:r>
                  <w:r>
                    <w:rPr>
                      <w:rFonts w:cs="Miriam" w:hint="cs"/>
                      <w:sz w:val="18"/>
                      <w:szCs w:val="18"/>
                      <w:rtl/>
                    </w:rPr>
                    <w:t>מהי?</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טרדה מאיימת היא הטרדתו של אדם בידי אחר בכל ד</w:t>
      </w:r>
      <w:r>
        <w:rPr>
          <w:rStyle w:val="default"/>
          <w:rFonts w:cs="FrankRuehl"/>
          <w:rtl/>
        </w:rPr>
        <w:t>רך</w:t>
      </w:r>
      <w:r>
        <w:rPr>
          <w:rStyle w:val="default"/>
          <w:rFonts w:cs="FrankRuehl" w:hint="cs"/>
          <w:rtl/>
        </w:rPr>
        <w:t xml:space="preserve"> שהיא או נקיטת איומים כלפיו, בנסיבות הנותנות בסיס סביר להניח כי המטריד או המאיים עלול לשוב ולפגוע בשלוות חייו, בפרטיותו או בחירותו של האדם או כי הוא עלול לפגוע בגופו.</w:t>
      </w:r>
    </w:p>
    <w:p w:rsidR="00794824" w:rsidRDefault="0079482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לי לגרוע מהוראות סעיף קטן (א), הטרדה מאיימת כלפי אדם יכול שתהא, בין השאר, באחד מא</w:t>
      </w:r>
      <w:r>
        <w:rPr>
          <w:rStyle w:val="default"/>
          <w:rFonts w:cs="FrankRuehl"/>
          <w:rtl/>
        </w:rPr>
        <w:t>לה</w:t>
      </w:r>
      <w:r>
        <w:rPr>
          <w:rStyle w:val="default"/>
          <w:rFonts w:cs="FrankRuehl" w:hint="cs"/>
          <w:rtl/>
        </w:rPr>
        <w:t>:</w:t>
      </w:r>
    </w:p>
    <w:p w:rsidR="00794824" w:rsidRDefault="00794824">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ביל</w:t>
      </w:r>
      <w:r>
        <w:rPr>
          <w:rStyle w:val="default"/>
          <w:rFonts w:cs="FrankRuehl"/>
          <w:rtl/>
        </w:rPr>
        <w:t>ו</w:t>
      </w:r>
      <w:r>
        <w:rPr>
          <w:rStyle w:val="default"/>
          <w:rFonts w:cs="FrankRuehl" w:hint="cs"/>
          <w:rtl/>
        </w:rPr>
        <w:t>ש, במארב או בהתחקות אחר תנועותיו או מעשיו, או בפגיעה בפרטיותו בכל דרך אחרת;</w:t>
      </w:r>
    </w:p>
    <w:p w:rsidR="00794824" w:rsidRDefault="00794824">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נקיטת איומים בפגיעה בו או במאיים עצמו;</w:t>
      </w:r>
    </w:p>
    <w:p w:rsidR="00794824" w:rsidRDefault="00794824">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יצירת קשר עמו בעל פה, בכתב או בכל אמצעי אחר;</w:t>
      </w:r>
    </w:p>
    <w:p w:rsidR="00794824" w:rsidRDefault="00794824">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ב</w:t>
      </w:r>
      <w:r>
        <w:rPr>
          <w:rStyle w:val="default"/>
          <w:rFonts w:cs="FrankRuehl" w:hint="cs"/>
          <w:rtl/>
        </w:rPr>
        <w:t>פגיעה ברכושו,</w:t>
      </w:r>
      <w:r w:rsidR="005A7A93">
        <w:rPr>
          <w:rStyle w:val="default"/>
          <w:rFonts w:cs="FrankRuehl" w:hint="cs"/>
          <w:rtl/>
        </w:rPr>
        <w:t xml:space="preserve"> בשמו הטוב, או בחופש התנועה שלו;</w:t>
      </w:r>
    </w:p>
    <w:p w:rsidR="005A7A93" w:rsidRDefault="005A7A93">
      <w:pPr>
        <w:pStyle w:val="P22"/>
        <w:spacing w:before="72"/>
        <w:ind w:left="1021" w:right="1134"/>
        <w:rPr>
          <w:rStyle w:val="default"/>
          <w:rFonts w:cs="FrankRuehl"/>
          <w:rtl/>
        </w:rPr>
      </w:pPr>
      <w:r>
        <w:rPr>
          <w:rFonts w:cs="FrankRuehl"/>
          <w:sz w:val="26"/>
          <w:rtl/>
          <w:lang w:eastAsia="zh-CN" w:bidi="ar-SA"/>
        </w:rPr>
        <w:pict>
          <v:shapetype id="_x0000_t202" coordsize="21600,21600" o:spt="202" path="m,l,21600r21600,l21600,xe">
            <v:stroke joinstyle="miter"/>
            <v:path gradientshapeok="t" o:connecttype="rect"/>
          </v:shapetype>
          <v:shape id="_x0000_s1041" type="#_x0000_t202" style="position:absolute;left:0;text-align:left;margin-left:470.25pt;margin-top:7.1pt;width:1in;height:16.8pt;z-index:251664384" filled="f" stroked="f">
            <v:textbox inset="1mm,0,1mm,0">
              <w:txbxContent>
                <w:p w:rsidR="005A7A93" w:rsidRDefault="005A7A93" w:rsidP="005A7A93">
                  <w:pPr>
                    <w:spacing w:line="160" w:lineRule="exact"/>
                    <w:jc w:val="left"/>
                    <w:rPr>
                      <w:rFonts w:cs="Miriam" w:hint="cs"/>
                      <w:noProof/>
                      <w:sz w:val="18"/>
                      <w:szCs w:val="18"/>
                      <w:rtl/>
                    </w:rPr>
                  </w:pPr>
                  <w:r>
                    <w:rPr>
                      <w:rFonts w:cs="Miriam" w:hint="cs"/>
                      <w:sz w:val="18"/>
                      <w:szCs w:val="18"/>
                      <w:rtl/>
                    </w:rPr>
                    <w:t>(תיקון מס' 2) תשס"ט-2008</w:t>
                  </w:r>
                </w:p>
              </w:txbxContent>
            </v:textbox>
          </v:shape>
        </w:pict>
      </w:r>
      <w:r>
        <w:rPr>
          <w:rStyle w:val="default"/>
          <w:rFonts w:cs="FrankRuehl" w:hint="cs"/>
          <w:rtl/>
        </w:rPr>
        <w:t>(5)</w:t>
      </w:r>
      <w:r>
        <w:rPr>
          <w:rStyle w:val="default"/>
          <w:rFonts w:cs="FrankRuehl" w:hint="cs"/>
          <w:rtl/>
        </w:rPr>
        <w:tab/>
        <w:t>בעיסוק בשמירה בבית משותף בניגוד להוראות לפי חוק הגבלת שירותי שמירה בבתים משותפים, התשס"ט-2008.</w:t>
      </w:r>
    </w:p>
    <w:p w:rsidR="00794824" w:rsidRDefault="00794824">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ענין חוק זה אחת </w:t>
      </w:r>
      <w:r>
        <w:rPr>
          <w:rStyle w:val="default"/>
          <w:rFonts w:cs="FrankRuehl"/>
          <w:rtl/>
        </w:rPr>
        <w:t>הי</w:t>
      </w:r>
      <w:r>
        <w:rPr>
          <w:rStyle w:val="default"/>
          <w:rFonts w:cs="FrankRuehl" w:hint="cs"/>
          <w:rtl/>
        </w:rPr>
        <w:t>א אם המעשי</w:t>
      </w:r>
      <w:r>
        <w:rPr>
          <w:rStyle w:val="default"/>
          <w:rFonts w:cs="FrankRuehl"/>
          <w:rtl/>
        </w:rPr>
        <w:t>ם</w:t>
      </w:r>
      <w:r>
        <w:rPr>
          <w:rStyle w:val="default"/>
          <w:rFonts w:cs="FrankRuehl" w:hint="cs"/>
          <w:rtl/>
        </w:rPr>
        <w:t xml:space="preserve"> המפורטים בסעיפים קטנים (א) או (ב) נעשו כלפי האדם או כלפי אדם אחר הקרוב לו, בין במפורש ובין במשתמע, בין במישרין ובין בעקיפין.</w:t>
      </w:r>
    </w:p>
    <w:p w:rsidR="005A7A93" w:rsidRPr="00151A2F" w:rsidRDefault="005A7A93" w:rsidP="005A7A93">
      <w:pPr>
        <w:pStyle w:val="P00"/>
        <w:spacing w:before="0"/>
        <w:ind w:left="1021" w:right="1134"/>
        <w:rPr>
          <w:rStyle w:val="default"/>
          <w:rFonts w:cs="FrankRuehl" w:hint="cs"/>
          <w:vanish/>
          <w:color w:val="FF0000"/>
          <w:sz w:val="20"/>
          <w:szCs w:val="20"/>
          <w:shd w:val="clear" w:color="auto" w:fill="FFFF99"/>
          <w:rtl/>
        </w:rPr>
      </w:pPr>
      <w:bookmarkStart w:id="2" w:name="Rov16"/>
      <w:r w:rsidRPr="00151A2F">
        <w:rPr>
          <w:rStyle w:val="default"/>
          <w:rFonts w:cs="FrankRuehl" w:hint="cs"/>
          <w:vanish/>
          <w:color w:val="FF0000"/>
          <w:sz w:val="20"/>
          <w:szCs w:val="20"/>
          <w:shd w:val="clear" w:color="auto" w:fill="FFFF99"/>
          <w:rtl/>
        </w:rPr>
        <w:t>מיום 12.2.2009</w:t>
      </w:r>
    </w:p>
    <w:p w:rsidR="005A7A93" w:rsidRPr="00151A2F" w:rsidRDefault="005A7A93" w:rsidP="005A7A93">
      <w:pPr>
        <w:pStyle w:val="P00"/>
        <w:spacing w:before="0"/>
        <w:ind w:left="1021" w:right="1134"/>
        <w:rPr>
          <w:rStyle w:val="default"/>
          <w:rFonts w:cs="FrankRuehl" w:hint="cs"/>
          <w:vanish/>
          <w:sz w:val="20"/>
          <w:szCs w:val="20"/>
          <w:shd w:val="clear" w:color="auto" w:fill="FFFF99"/>
          <w:rtl/>
        </w:rPr>
      </w:pPr>
      <w:r w:rsidRPr="00151A2F">
        <w:rPr>
          <w:rStyle w:val="default"/>
          <w:rFonts w:cs="FrankRuehl" w:hint="cs"/>
          <w:b/>
          <w:bCs/>
          <w:vanish/>
          <w:sz w:val="20"/>
          <w:szCs w:val="20"/>
          <w:shd w:val="clear" w:color="auto" w:fill="FFFF99"/>
          <w:rtl/>
        </w:rPr>
        <w:t>תיקון מס' 2</w:t>
      </w:r>
    </w:p>
    <w:p w:rsidR="005A7A93" w:rsidRPr="00151A2F" w:rsidRDefault="005A7A93" w:rsidP="005A7A93">
      <w:pPr>
        <w:pStyle w:val="P00"/>
        <w:spacing w:before="0"/>
        <w:ind w:left="1021" w:right="1134"/>
        <w:rPr>
          <w:rStyle w:val="default"/>
          <w:rFonts w:cs="FrankRuehl" w:hint="cs"/>
          <w:vanish/>
          <w:sz w:val="20"/>
          <w:szCs w:val="20"/>
          <w:shd w:val="clear" w:color="auto" w:fill="FFFF99"/>
          <w:rtl/>
        </w:rPr>
      </w:pPr>
      <w:hyperlink r:id="rId6" w:history="1">
        <w:r w:rsidRPr="00151A2F">
          <w:rPr>
            <w:rStyle w:val="Hyperlink"/>
            <w:rFonts w:cs="FrankRuehl" w:hint="cs"/>
            <w:vanish/>
            <w:szCs w:val="20"/>
            <w:shd w:val="clear" w:color="auto" w:fill="FFFF99"/>
            <w:rtl/>
          </w:rPr>
          <w:t>ס"ח תשס"ט מס' 2187</w:t>
        </w:r>
      </w:hyperlink>
      <w:r w:rsidRPr="00151A2F">
        <w:rPr>
          <w:rStyle w:val="default"/>
          <w:rFonts w:cs="FrankRuehl" w:hint="cs"/>
          <w:vanish/>
          <w:sz w:val="20"/>
          <w:szCs w:val="20"/>
          <w:shd w:val="clear" w:color="auto" w:fill="FFFF99"/>
          <w:rtl/>
        </w:rPr>
        <w:t xml:space="preserve"> מיום 12.11.2008 עמ' 27 (</w:t>
      </w:r>
      <w:hyperlink r:id="rId7" w:history="1">
        <w:r w:rsidRPr="00151A2F">
          <w:rPr>
            <w:rStyle w:val="Hyperlink"/>
            <w:rFonts w:cs="FrankRuehl" w:hint="cs"/>
            <w:vanish/>
            <w:szCs w:val="20"/>
            <w:shd w:val="clear" w:color="auto" w:fill="FFFF99"/>
            <w:rtl/>
          </w:rPr>
          <w:t>ה"ח 254</w:t>
        </w:r>
      </w:hyperlink>
      <w:r w:rsidRPr="00151A2F">
        <w:rPr>
          <w:rStyle w:val="default"/>
          <w:rFonts w:cs="FrankRuehl" w:hint="cs"/>
          <w:vanish/>
          <w:sz w:val="20"/>
          <w:szCs w:val="20"/>
          <w:shd w:val="clear" w:color="auto" w:fill="FFFF99"/>
          <w:rtl/>
        </w:rPr>
        <w:t>)</w:t>
      </w:r>
    </w:p>
    <w:p w:rsidR="005A7A93" w:rsidRPr="005A7A93" w:rsidRDefault="005A7A93" w:rsidP="005A7A93">
      <w:pPr>
        <w:pStyle w:val="P00"/>
        <w:spacing w:before="0"/>
        <w:ind w:left="1021" w:right="1134"/>
        <w:rPr>
          <w:rStyle w:val="default"/>
          <w:rFonts w:cs="FrankRuehl"/>
          <w:sz w:val="2"/>
          <w:szCs w:val="2"/>
          <w:rtl/>
        </w:rPr>
      </w:pPr>
      <w:r w:rsidRPr="00151A2F">
        <w:rPr>
          <w:rStyle w:val="default"/>
          <w:rFonts w:cs="FrankRuehl" w:hint="cs"/>
          <w:b/>
          <w:bCs/>
          <w:vanish/>
          <w:sz w:val="20"/>
          <w:szCs w:val="20"/>
          <w:shd w:val="clear" w:color="auto" w:fill="FFFF99"/>
          <w:rtl/>
        </w:rPr>
        <w:t>הוספת פסקה 2(ב)(5)</w:t>
      </w:r>
      <w:bookmarkEnd w:id="2"/>
    </w:p>
    <w:p w:rsidR="00794824" w:rsidRDefault="00794824">
      <w:pPr>
        <w:pStyle w:val="P00"/>
        <w:spacing w:before="72"/>
        <w:ind w:left="0" w:right="1134"/>
        <w:rPr>
          <w:rStyle w:val="default"/>
          <w:rFonts w:cs="FrankRuehl" w:hint="cs"/>
          <w:rtl/>
        </w:rPr>
      </w:pPr>
      <w:bookmarkStart w:id="3" w:name="Seif3"/>
      <w:bookmarkEnd w:id="3"/>
      <w:r>
        <w:rPr>
          <w:lang w:val="he-IL"/>
        </w:rPr>
        <w:pict>
          <v:rect id="_x0000_s1028" style="position:absolute;left:0;text-align:left;margin-left:464.5pt;margin-top:8.05pt;width:75.05pt;height:17.7pt;z-index:251651072" o:allowincell="f" filled="f" stroked="f" strokecolor="lime" strokeweight=".25pt">
            <v:textbox inset="0,0,0,0">
              <w:txbxContent>
                <w:p w:rsidR="00794824" w:rsidRDefault="0079482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3.</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794824" w:rsidRDefault="0079482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משפט" </w:t>
      </w:r>
      <w:r w:rsidR="00151A2F">
        <w:rPr>
          <w:rStyle w:val="default"/>
          <w:rFonts w:cs="FrankRuehl"/>
          <w:rtl/>
        </w:rPr>
        <w:t>–</w:t>
      </w:r>
      <w:r>
        <w:rPr>
          <w:rStyle w:val="default"/>
          <w:rFonts w:cs="FrankRuehl"/>
          <w:rtl/>
        </w:rPr>
        <w:t xml:space="preserve"> </w:t>
      </w:r>
      <w:r>
        <w:rPr>
          <w:rStyle w:val="default"/>
          <w:rFonts w:cs="FrankRuehl" w:hint="cs"/>
          <w:rtl/>
        </w:rPr>
        <w:t>בית משפט שלום, וכן כל אחד מאלה:</w:t>
      </w:r>
    </w:p>
    <w:p w:rsidR="00794824" w:rsidRDefault="00794824">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ענין נפגע שהוא בן משפחה של הפוגע -</w:t>
      </w:r>
      <w:r>
        <w:rPr>
          <w:rStyle w:val="default"/>
          <w:rFonts w:cs="FrankRuehl"/>
          <w:rtl/>
        </w:rPr>
        <w:t xml:space="preserve"> </w:t>
      </w:r>
      <w:r>
        <w:rPr>
          <w:rStyle w:val="default"/>
          <w:rFonts w:cs="FrankRuehl" w:hint="cs"/>
          <w:rtl/>
        </w:rPr>
        <w:t>גם בית משפט ובית דין המוסמכים לדון לפי חוק למניעת אלימות במשפחה;</w:t>
      </w:r>
    </w:p>
    <w:p w:rsidR="00794824" w:rsidRDefault="00794824">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ענין פוגע או נפגע שהוא קטין ושבית משפט לנוער דן בענינו לפ</w:t>
      </w:r>
      <w:r>
        <w:rPr>
          <w:rStyle w:val="default"/>
          <w:rFonts w:cs="FrankRuehl"/>
          <w:rtl/>
        </w:rPr>
        <w:t xml:space="preserve">י </w:t>
      </w:r>
      <w:r>
        <w:rPr>
          <w:rStyle w:val="default"/>
          <w:rFonts w:cs="FrankRuehl" w:hint="cs"/>
          <w:rtl/>
        </w:rPr>
        <w:t xml:space="preserve">חוק הנוער (טיפול והשגחה) </w:t>
      </w:r>
      <w:r w:rsidR="00151A2F">
        <w:rPr>
          <w:rStyle w:val="default"/>
          <w:rFonts w:cs="FrankRuehl"/>
          <w:rtl/>
        </w:rPr>
        <w:t>–</w:t>
      </w:r>
      <w:r>
        <w:rPr>
          <w:rStyle w:val="default"/>
          <w:rFonts w:cs="FrankRuehl"/>
          <w:rtl/>
        </w:rPr>
        <w:t xml:space="preserve"> </w:t>
      </w:r>
      <w:r>
        <w:rPr>
          <w:rStyle w:val="default"/>
          <w:rFonts w:cs="FrankRuehl" w:hint="cs"/>
          <w:rtl/>
        </w:rPr>
        <w:t>גם בית משפט לנוער;</w:t>
      </w:r>
    </w:p>
    <w:p w:rsidR="00794824" w:rsidRDefault="00794824">
      <w:pPr>
        <w:pStyle w:val="P00"/>
        <w:spacing w:before="72"/>
        <w:ind w:left="0" w:right="1134"/>
        <w:rPr>
          <w:rFonts w:cs="FrankRuehl"/>
          <w:sz w:val="26"/>
          <w:rtl/>
        </w:rPr>
      </w:pPr>
      <w:r>
        <w:rPr>
          <w:rFonts w:cs="FrankRuehl"/>
          <w:sz w:val="26"/>
          <w:rtl/>
        </w:rPr>
        <w:t>"ב</w:t>
      </w:r>
      <w:r>
        <w:rPr>
          <w:rFonts w:cs="FrankRuehl" w:hint="cs"/>
          <w:sz w:val="26"/>
          <w:rtl/>
        </w:rPr>
        <w:t xml:space="preserve">ית משפט לנוער" </w:t>
      </w:r>
      <w:r w:rsidR="00151A2F">
        <w:rPr>
          <w:rFonts w:cs="FrankRuehl"/>
          <w:sz w:val="26"/>
          <w:rtl/>
        </w:rPr>
        <w:t>–</w:t>
      </w:r>
      <w:r>
        <w:rPr>
          <w:rFonts w:cs="FrankRuehl"/>
          <w:sz w:val="26"/>
          <w:rtl/>
        </w:rPr>
        <w:t xml:space="preserve"> </w:t>
      </w:r>
      <w:r>
        <w:rPr>
          <w:rFonts w:cs="FrankRuehl" w:hint="cs"/>
          <w:sz w:val="26"/>
          <w:rtl/>
        </w:rPr>
        <w:t>כהגדרתו בחוק הנוער (שפיטה, ענישה ודרכי טיפול), תשל"א-</w:t>
      </w:r>
      <w:r>
        <w:rPr>
          <w:rFonts w:cs="FrankRuehl"/>
          <w:sz w:val="26"/>
          <w:rtl/>
        </w:rPr>
        <w:t xml:space="preserve">1971; </w:t>
      </w:r>
    </w:p>
    <w:p w:rsidR="00794824" w:rsidRDefault="00794824">
      <w:pPr>
        <w:pStyle w:val="P00"/>
        <w:spacing w:before="72"/>
        <w:ind w:left="0" w:right="1134"/>
        <w:rPr>
          <w:rFonts w:cs="FrankRuehl"/>
          <w:sz w:val="26"/>
          <w:rtl/>
        </w:rPr>
      </w:pPr>
      <w:r>
        <w:rPr>
          <w:rFonts w:cs="FrankRuehl"/>
          <w:sz w:val="26"/>
          <w:rtl/>
        </w:rPr>
        <w:tab/>
        <w:t>"</w:t>
      </w:r>
      <w:r>
        <w:rPr>
          <w:rFonts w:cs="FrankRuehl" w:hint="cs"/>
          <w:sz w:val="26"/>
          <w:rtl/>
        </w:rPr>
        <w:t xml:space="preserve">בן משפחה" </w:t>
      </w:r>
      <w:r w:rsidR="00151A2F">
        <w:rPr>
          <w:rFonts w:cs="FrankRuehl"/>
          <w:sz w:val="26"/>
          <w:rtl/>
        </w:rPr>
        <w:t>–</w:t>
      </w:r>
      <w:r>
        <w:rPr>
          <w:rFonts w:cs="FrankRuehl"/>
          <w:sz w:val="26"/>
          <w:rtl/>
        </w:rPr>
        <w:t xml:space="preserve"> </w:t>
      </w:r>
      <w:r>
        <w:rPr>
          <w:rFonts w:cs="FrankRuehl" w:hint="cs"/>
          <w:sz w:val="26"/>
          <w:rtl/>
        </w:rPr>
        <w:t>כהגדרתו בחוק למניעת אלימות במשפחה, וכל מונח בהגדרה האמורה יפורש לפי החוק האמור;</w:t>
      </w:r>
    </w:p>
    <w:p w:rsidR="00794824" w:rsidRDefault="00794824">
      <w:pPr>
        <w:pStyle w:val="P00"/>
        <w:spacing w:before="72"/>
        <w:ind w:left="0" w:right="1134"/>
        <w:rPr>
          <w:rFonts w:cs="FrankRuehl"/>
          <w:sz w:val="26"/>
          <w:rtl/>
        </w:rPr>
      </w:pPr>
      <w:r>
        <w:rPr>
          <w:rFonts w:cs="FrankRuehl"/>
          <w:sz w:val="26"/>
          <w:rtl/>
        </w:rPr>
        <w:tab/>
        <w:t>"</w:t>
      </w:r>
      <w:r>
        <w:rPr>
          <w:rFonts w:cs="FrankRuehl" w:hint="cs"/>
          <w:sz w:val="26"/>
          <w:rtl/>
        </w:rPr>
        <w:t xml:space="preserve">חוק הנוער (טיפול והשגחה)" </w:t>
      </w:r>
      <w:r w:rsidR="00151A2F">
        <w:rPr>
          <w:rFonts w:cs="FrankRuehl"/>
          <w:sz w:val="26"/>
          <w:rtl/>
        </w:rPr>
        <w:t>–</w:t>
      </w:r>
      <w:r>
        <w:rPr>
          <w:rFonts w:cs="FrankRuehl"/>
          <w:sz w:val="26"/>
          <w:rtl/>
        </w:rPr>
        <w:t xml:space="preserve"> </w:t>
      </w:r>
      <w:r>
        <w:rPr>
          <w:rFonts w:cs="FrankRuehl" w:hint="cs"/>
          <w:sz w:val="26"/>
          <w:rtl/>
        </w:rPr>
        <w:t>חוק ה</w:t>
      </w:r>
      <w:r>
        <w:rPr>
          <w:rFonts w:cs="FrankRuehl"/>
          <w:sz w:val="26"/>
          <w:rtl/>
        </w:rPr>
        <w:t>נו</w:t>
      </w:r>
      <w:r>
        <w:rPr>
          <w:rFonts w:cs="FrankRuehl" w:hint="cs"/>
          <w:sz w:val="26"/>
          <w:rtl/>
        </w:rPr>
        <w:t>ע</w:t>
      </w:r>
      <w:r>
        <w:rPr>
          <w:rFonts w:cs="FrankRuehl"/>
          <w:sz w:val="26"/>
          <w:rtl/>
        </w:rPr>
        <w:t>ר</w:t>
      </w:r>
      <w:r>
        <w:rPr>
          <w:rFonts w:cs="FrankRuehl" w:hint="cs"/>
          <w:sz w:val="26"/>
          <w:rtl/>
        </w:rPr>
        <w:t xml:space="preserve"> (טיפול והשגחה), </w:t>
      </w:r>
      <w:r>
        <w:rPr>
          <w:rFonts w:cs="FrankRuehl"/>
          <w:sz w:val="26"/>
          <w:rtl/>
        </w:rPr>
        <w:t>ת</w:t>
      </w:r>
      <w:r>
        <w:rPr>
          <w:rFonts w:cs="FrankRuehl" w:hint="cs"/>
          <w:sz w:val="26"/>
          <w:rtl/>
        </w:rPr>
        <w:t>ש"ך-</w:t>
      </w:r>
      <w:r>
        <w:rPr>
          <w:rFonts w:cs="FrankRuehl"/>
          <w:sz w:val="26"/>
          <w:rtl/>
        </w:rPr>
        <w:t xml:space="preserve">1960; </w:t>
      </w:r>
    </w:p>
    <w:p w:rsidR="00794824" w:rsidRDefault="00794824">
      <w:pPr>
        <w:pStyle w:val="P00"/>
        <w:spacing w:before="72"/>
        <w:ind w:left="0" w:right="1134"/>
        <w:rPr>
          <w:rFonts w:cs="FrankRuehl"/>
          <w:sz w:val="26"/>
          <w:rtl/>
        </w:rPr>
      </w:pPr>
      <w:r>
        <w:rPr>
          <w:rFonts w:cs="FrankRuehl"/>
          <w:sz w:val="26"/>
          <w:rtl/>
        </w:rPr>
        <w:tab/>
        <w:t>"</w:t>
      </w:r>
      <w:r>
        <w:rPr>
          <w:rFonts w:cs="FrankRuehl" w:hint="cs"/>
          <w:sz w:val="26"/>
          <w:rtl/>
        </w:rPr>
        <w:t xml:space="preserve">חוק כלי היריה" </w:t>
      </w:r>
      <w:r w:rsidR="00151A2F">
        <w:rPr>
          <w:rFonts w:cs="FrankRuehl"/>
          <w:sz w:val="26"/>
          <w:rtl/>
        </w:rPr>
        <w:t>–</w:t>
      </w:r>
      <w:r>
        <w:rPr>
          <w:rFonts w:cs="FrankRuehl"/>
          <w:sz w:val="26"/>
          <w:rtl/>
        </w:rPr>
        <w:t xml:space="preserve"> </w:t>
      </w:r>
      <w:r>
        <w:rPr>
          <w:rFonts w:cs="FrankRuehl" w:hint="cs"/>
          <w:sz w:val="26"/>
          <w:rtl/>
        </w:rPr>
        <w:t>חוק כלי היריה, תש"ט-</w:t>
      </w:r>
      <w:r>
        <w:rPr>
          <w:rFonts w:cs="FrankRuehl"/>
          <w:sz w:val="26"/>
          <w:rtl/>
        </w:rPr>
        <w:t xml:space="preserve">1949; </w:t>
      </w:r>
    </w:p>
    <w:p w:rsidR="00794824" w:rsidRDefault="00794824">
      <w:pPr>
        <w:pStyle w:val="P00"/>
        <w:spacing w:before="72"/>
        <w:ind w:left="0" w:right="1134"/>
        <w:rPr>
          <w:rFonts w:cs="FrankRuehl" w:hint="cs"/>
          <w:sz w:val="26"/>
          <w:rtl/>
        </w:rPr>
      </w:pPr>
      <w:r>
        <w:rPr>
          <w:rFonts w:cs="FrankRuehl"/>
          <w:sz w:val="26"/>
          <w:rtl/>
        </w:rPr>
        <w:tab/>
        <w:t>"</w:t>
      </w:r>
      <w:r>
        <w:rPr>
          <w:rFonts w:cs="FrankRuehl" w:hint="cs"/>
          <w:sz w:val="26"/>
          <w:rtl/>
        </w:rPr>
        <w:t xml:space="preserve">חוק למניעת אלימות במשפחה" </w:t>
      </w:r>
      <w:r w:rsidR="00151A2F">
        <w:rPr>
          <w:rFonts w:cs="FrankRuehl"/>
          <w:sz w:val="26"/>
          <w:rtl/>
        </w:rPr>
        <w:t>–</w:t>
      </w:r>
      <w:r>
        <w:rPr>
          <w:rFonts w:cs="FrankRuehl"/>
          <w:sz w:val="26"/>
          <w:rtl/>
        </w:rPr>
        <w:t xml:space="preserve"> </w:t>
      </w:r>
      <w:r>
        <w:rPr>
          <w:rFonts w:cs="FrankRuehl" w:hint="cs"/>
          <w:sz w:val="26"/>
          <w:rtl/>
        </w:rPr>
        <w:t>חוק למניעת אלימות במשפחה, תשנ"א-</w:t>
      </w:r>
      <w:r>
        <w:rPr>
          <w:rFonts w:cs="FrankRuehl"/>
          <w:sz w:val="26"/>
          <w:rtl/>
        </w:rPr>
        <w:t>1991;</w:t>
      </w:r>
    </w:p>
    <w:p w:rsidR="00794824" w:rsidRDefault="00794824">
      <w:pPr>
        <w:pStyle w:val="P00"/>
        <w:spacing w:before="72"/>
        <w:ind w:left="0" w:right="1134"/>
        <w:rPr>
          <w:rFonts w:cs="FrankRuehl"/>
          <w:sz w:val="26"/>
          <w:rtl/>
        </w:rPr>
      </w:pPr>
      <w:r>
        <w:rPr>
          <w:rFonts w:cs="FrankRuehl"/>
          <w:sz w:val="26"/>
          <w:rtl/>
        </w:rPr>
        <w:tab/>
        <w:t>"</w:t>
      </w:r>
      <w:r>
        <w:rPr>
          <w:rFonts w:cs="FrankRuehl" w:hint="cs"/>
          <w:sz w:val="26"/>
          <w:rtl/>
        </w:rPr>
        <w:t xml:space="preserve">נפגע" </w:t>
      </w:r>
      <w:r w:rsidR="00151A2F">
        <w:rPr>
          <w:rFonts w:cs="FrankRuehl"/>
          <w:sz w:val="26"/>
          <w:rtl/>
        </w:rPr>
        <w:t>–</w:t>
      </w:r>
      <w:r>
        <w:rPr>
          <w:rFonts w:cs="FrankRuehl"/>
          <w:sz w:val="26"/>
          <w:rtl/>
        </w:rPr>
        <w:t xml:space="preserve"> </w:t>
      </w:r>
      <w:r>
        <w:rPr>
          <w:rFonts w:cs="FrankRuehl" w:hint="cs"/>
          <w:sz w:val="26"/>
          <w:rtl/>
        </w:rPr>
        <w:t>מי שהתקיים בו אחד מאלה:</w:t>
      </w:r>
    </w:p>
    <w:p w:rsidR="00794824" w:rsidRDefault="00794824">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נקטה נגדו הטרדה מאיימת;</w:t>
      </w:r>
    </w:p>
    <w:p w:rsidR="00794824" w:rsidRDefault="00794824">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וא מצוי בסכנה כמפורט בסעיף 4(ב)(1); </w:t>
      </w:r>
    </w:p>
    <w:p w:rsidR="00794824" w:rsidRDefault="00794824">
      <w:pPr>
        <w:pStyle w:val="P22"/>
        <w:spacing w:before="72"/>
        <w:ind w:left="1021" w:right="1134"/>
        <w:rPr>
          <w:rStyle w:val="default"/>
          <w:rFonts w:cs="FrankRuehl"/>
          <w:rtl/>
        </w:rPr>
      </w:pPr>
      <w:r>
        <w:rPr>
          <w:rStyle w:val="default"/>
          <w:rFonts w:cs="FrankRuehl" w:hint="cs"/>
          <w:rtl/>
        </w:rPr>
        <w:t>(3)</w:t>
      </w:r>
      <w:r>
        <w:rPr>
          <w:rStyle w:val="default"/>
          <w:rFonts w:cs="FrankRuehl"/>
          <w:rtl/>
        </w:rPr>
        <w:tab/>
        <w:t>אד</w:t>
      </w:r>
      <w:r>
        <w:rPr>
          <w:rStyle w:val="default"/>
          <w:rFonts w:cs="FrankRuehl" w:hint="cs"/>
          <w:rtl/>
        </w:rPr>
        <w:t>ם עלול לבצע בו עבירת מין כאמור בסעיף 4(ב)(1);</w:t>
      </w:r>
    </w:p>
    <w:p w:rsidR="00794824" w:rsidRDefault="00794824">
      <w:pPr>
        <w:pStyle w:val="P22"/>
        <w:spacing w:before="72"/>
        <w:ind w:left="1021" w:right="1134"/>
        <w:rPr>
          <w:rStyle w:val="default"/>
          <w:rFonts w:cs="FrankRuehl"/>
          <w:rtl/>
        </w:rPr>
      </w:pPr>
      <w:r>
        <w:rPr>
          <w:rStyle w:val="default"/>
          <w:rFonts w:cs="FrankRuehl" w:hint="cs"/>
          <w:rtl/>
        </w:rPr>
        <w:lastRenderedPageBreak/>
        <w:t>(4)</w:t>
      </w:r>
      <w:r>
        <w:rPr>
          <w:rStyle w:val="default"/>
          <w:rFonts w:cs="FrankRuehl"/>
          <w:rtl/>
        </w:rPr>
        <w:tab/>
        <w:t>ב</w:t>
      </w:r>
      <w:r>
        <w:rPr>
          <w:rStyle w:val="default"/>
          <w:rFonts w:cs="FrankRuehl" w:hint="cs"/>
          <w:rtl/>
        </w:rPr>
        <w:t xml:space="preserve">וצע בו מעשה כאמור בסעיף 4(ב)(2); </w:t>
      </w:r>
    </w:p>
    <w:p w:rsidR="00794824" w:rsidRDefault="00794824">
      <w:pPr>
        <w:pStyle w:val="P22"/>
        <w:spacing w:before="72"/>
        <w:ind w:left="1021" w:right="1134"/>
        <w:rPr>
          <w:rStyle w:val="default"/>
          <w:rFonts w:cs="FrankRuehl"/>
          <w:rtl/>
        </w:rPr>
      </w:pPr>
      <w:r>
        <w:rPr>
          <w:rStyle w:val="default"/>
          <w:rFonts w:cs="FrankRuehl" w:hint="cs"/>
          <w:rtl/>
        </w:rPr>
        <w:t>ו</w:t>
      </w:r>
      <w:r>
        <w:rPr>
          <w:rStyle w:val="default"/>
          <w:rFonts w:cs="FrankRuehl"/>
          <w:rtl/>
        </w:rPr>
        <w:t>ל</w:t>
      </w:r>
      <w:r>
        <w:rPr>
          <w:rStyle w:val="default"/>
          <w:rFonts w:cs="FrankRuehl" w:hint="cs"/>
          <w:rtl/>
        </w:rPr>
        <w:t xml:space="preserve">ענין נפגע שהוא קטין </w:t>
      </w:r>
      <w:r w:rsidR="00151A2F">
        <w:rPr>
          <w:rStyle w:val="default"/>
          <w:rFonts w:cs="FrankRuehl"/>
          <w:rtl/>
        </w:rPr>
        <w:t>–</w:t>
      </w:r>
      <w:r>
        <w:rPr>
          <w:rStyle w:val="default"/>
          <w:rFonts w:cs="FrankRuehl"/>
          <w:rtl/>
        </w:rPr>
        <w:t xml:space="preserve"> </w:t>
      </w:r>
      <w:r>
        <w:rPr>
          <w:rStyle w:val="default"/>
          <w:rFonts w:cs="FrankRuehl" w:hint="cs"/>
          <w:rtl/>
        </w:rPr>
        <w:t>גם מי שאחראי עליו על פי דין;</w:t>
      </w:r>
    </w:p>
    <w:p w:rsidR="00794824" w:rsidRDefault="00151A2F">
      <w:pPr>
        <w:pStyle w:val="P00"/>
        <w:spacing w:before="72"/>
        <w:ind w:left="0" w:right="1134"/>
        <w:rPr>
          <w:rFonts w:cs="FrankRuehl"/>
          <w:sz w:val="26"/>
          <w:rtl/>
        </w:rPr>
      </w:pPr>
      <w:r>
        <w:rPr>
          <w:rFonts w:cs="FrankRuehl" w:hint="cs"/>
          <w:sz w:val="26"/>
          <w:rtl/>
        </w:rPr>
        <w:tab/>
      </w:r>
      <w:r w:rsidR="00794824">
        <w:rPr>
          <w:rFonts w:cs="FrankRuehl"/>
          <w:sz w:val="26"/>
          <w:rtl/>
        </w:rPr>
        <w:t>"פ</w:t>
      </w:r>
      <w:r w:rsidR="00794824">
        <w:rPr>
          <w:rFonts w:cs="FrankRuehl" w:hint="cs"/>
          <w:sz w:val="26"/>
          <w:rtl/>
        </w:rPr>
        <w:t xml:space="preserve">וגע" </w:t>
      </w:r>
      <w:r>
        <w:rPr>
          <w:rFonts w:cs="FrankRuehl"/>
          <w:sz w:val="26"/>
          <w:rtl/>
        </w:rPr>
        <w:t>–</w:t>
      </w:r>
      <w:r w:rsidR="00794824">
        <w:rPr>
          <w:rFonts w:cs="FrankRuehl"/>
          <w:sz w:val="26"/>
          <w:rtl/>
        </w:rPr>
        <w:t xml:space="preserve"> </w:t>
      </w:r>
      <w:r w:rsidR="00794824">
        <w:rPr>
          <w:rFonts w:cs="FrankRuehl" w:hint="cs"/>
          <w:sz w:val="26"/>
          <w:rtl/>
        </w:rPr>
        <w:t xml:space="preserve">מי שנקט הטרדה מאיימת או שמתקיים בו אחד התנאים המפורטים בסעיף 4(ב)(1) או (2); </w:t>
      </w:r>
    </w:p>
    <w:p w:rsidR="00794824" w:rsidRDefault="00794824">
      <w:pPr>
        <w:pStyle w:val="P00"/>
        <w:spacing w:before="72"/>
        <w:ind w:left="0" w:right="1134"/>
        <w:rPr>
          <w:rFonts w:cs="FrankRuehl"/>
          <w:sz w:val="26"/>
          <w:rtl/>
        </w:rPr>
      </w:pPr>
      <w:r>
        <w:rPr>
          <w:rFonts w:cs="FrankRuehl"/>
          <w:sz w:val="26"/>
          <w:rtl/>
        </w:rPr>
        <w:tab/>
        <w:t>"</w:t>
      </w:r>
      <w:r>
        <w:rPr>
          <w:rFonts w:cs="FrankRuehl" w:hint="cs"/>
          <w:sz w:val="26"/>
          <w:rtl/>
        </w:rPr>
        <w:t xml:space="preserve">צו מניעת הטרדה מאיימת" </w:t>
      </w:r>
      <w:r w:rsidR="00151A2F">
        <w:rPr>
          <w:rFonts w:cs="FrankRuehl"/>
          <w:sz w:val="26"/>
          <w:rtl/>
        </w:rPr>
        <w:t>–</w:t>
      </w:r>
      <w:r>
        <w:rPr>
          <w:rFonts w:cs="FrankRuehl"/>
          <w:sz w:val="26"/>
          <w:rtl/>
        </w:rPr>
        <w:t xml:space="preserve"> צו</w:t>
      </w:r>
      <w:r>
        <w:rPr>
          <w:rFonts w:cs="FrankRuehl" w:hint="cs"/>
          <w:sz w:val="26"/>
          <w:rtl/>
        </w:rPr>
        <w:t xml:space="preserve"> </w:t>
      </w:r>
      <w:r>
        <w:rPr>
          <w:rFonts w:cs="FrankRuehl"/>
          <w:sz w:val="26"/>
          <w:rtl/>
        </w:rPr>
        <w:t>כ</w:t>
      </w:r>
      <w:r>
        <w:rPr>
          <w:rFonts w:cs="FrankRuehl" w:hint="cs"/>
          <w:sz w:val="26"/>
          <w:rtl/>
        </w:rPr>
        <w:t>אמור בסעיף 4(א) או (ב);</w:t>
      </w:r>
    </w:p>
    <w:p w:rsidR="00794824" w:rsidRDefault="00794824">
      <w:pPr>
        <w:pStyle w:val="P00"/>
        <w:spacing w:before="72"/>
        <w:ind w:left="0" w:right="1134"/>
        <w:rPr>
          <w:rFonts w:cs="FrankRuehl"/>
          <w:sz w:val="26"/>
          <w:rtl/>
        </w:rPr>
      </w:pPr>
      <w:r>
        <w:rPr>
          <w:rFonts w:cs="FrankRuehl"/>
          <w:sz w:val="26"/>
          <w:rtl/>
        </w:rPr>
        <w:tab/>
        <w:t>"</w:t>
      </w:r>
      <w:r>
        <w:rPr>
          <w:rFonts w:cs="FrankRuehl" w:hint="cs"/>
          <w:sz w:val="26"/>
          <w:rtl/>
        </w:rPr>
        <w:t xml:space="preserve">קטין" </w:t>
      </w:r>
      <w:r w:rsidR="00151A2F">
        <w:rPr>
          <w:rFonts w:cs="FrankRuehl"/>
          <w:sz w:val="26"/>
          <w:rtl/>
        </w:rPr>
        <w:t>–</w:t>
      </w:r>
      <w:r>
        <w:rPr>
          <w:rFonts w:cs="FrankRuehl"/>
          <w:sz w:val="26"/>
          <w:rtl/>
        </w:rPr>
        <w:t xml:space="preserve"> </w:t>
      </w:r>
      <w:r>
        <w:rPr>
          <w:rFonts w:cs="FrankRuehl" w:hint="cs"/>
          <w:sz w:val="26"/>
          <w:rtl/>
        </w:rPr>
        <w:t>אדם שטרם מלאו לו שמונה עשרה שנים;</w:t>
      </w:r>
    </w:p>
    <w:p w:rsidR="00794824" w:rsidRDefault="00C713CC">
      <w:pPr>
        <w:pStyle w:val="P00"/>
        <w:spacing w:before="72"/>
        <w:ind w:left="0" w:right="1134"/>
        <w:rPr>
          <w:rFonts w:cs="FrankRuehl" w:hint="cs"/>
          <w:sz w:val="26"/>
          <w:rtl/>
        </w:rPr>
      </w:pPr>
      <w:r>
        <w:rPr>
          <w:rFonts w:cs="FrankRuehl"/>
          <w:sz w:val="26"/>
          <w:rtl/>
          <w:lang w:eastAsia="en-US"/>
        </w:rPr>
        <w:pict>
          <v:shape id="_x0000_s1042" type="#_x0000_t202" style="position:absolute;left:0;text-align:left;margin-left:470.25pt;margin-top:7.1pt;width:1in;height:16.8pt;z-index:251665408" filled="f" stroked="f">
            <v:textbox inset="1mm,0,1mm,0">
              <w:txbxContent>
                <w:p w:rsidR="00C713CC" w:rsidRDefault="00C713CC" w:rsidP="00C713CC">
                  <w:pPr>
                    <w:spacing w:line="160" w:lineRule="exact"/>
                    <w:jc w:val="left"/>
                    <w:rPr>
                      <w:rFonts w:cs="Miriam" w:hint="cs"/>
                      <w:noProof/>
                      <w:sz w:val="18"/>
                      <w:szCs w:val="18"/>
                      <w:rtl/>
                    </w:rPr>
                  </w:pPr>
                  <w:r>
                    <w:rPr>
                      <w:rFonts w:cs="Miriam" w:hint="cs"/>
                      <w:sz w:val="18"/>
                      <w:szCs w:val="18"/>
                      <w:rtl/>
                    </w:rPr>
                    <w:t>(תיקון מס' 3) תשס"ט-2008</w:t>
                  </w:r>
                </w:p>
              </w:txbxContent>
            </v:textbox>
            <w10:wrap anchorx="page"/>
          </v:shape>
        </w:pict>
      </w:r>
      <w:r w:rsidR="00794824">
        <w:rPr>
          <w:rFonts w:cs="FrankRuehl"/>
          <w:sz w:val="26"/>
          <w:rtl/>
        </w:rPr>
        <w:tab/>
        <w:t>"</w:t>
      </w:r>
      <w:r w:rsidR="00794824">
        <w:rPr>
          <w:rFonts w:cs="FrankRuehl" w:hint="cs"/>
          <w:sz w:val="26"/>
          <w:rtl/>
        </w:rPr>
        <w:t xml:space="preserve">רשות ביטחון" </w:t>
      </w:r>
      <w:r w:rsidR="00151A2F">
        <w:rPr>
          <w:rFonts w:cs="FrankRuehl"/>
          <w:sz w:val="26"/>
          <w:rtl/>
        </w:rPr>
        <w:t>–</w:t>
      </w:r>
      <w:r w:rsidR="00794824">
        <w:rPr>
          <w:rFonts w:cs="FrankRuehl"/>
          <w:sz w:val="26"/>
          <w:rtl/>
        </w:rPr>
        <w:t xml:space="preserve"> </w:t>
      </w:r>
      <w:r w:rsidR="00794824">
        <w:rPr>
          <w:rFonts w:cs="FrankRuehl" w:hint="cs"/>
          <w:sz w:val="26"/>
          <w:rtl/>
        </w:rPr>
        <w:t>משטרת ישראל,</w:t>
      </w:r>
      <w:r>
        <w:rPr>
          <w:rFonts w:cs="FrankRuehl" w:hint="cs"/>
          <w:sz w:val="26"/>
          <w:rtl/>
        </w:rPr>
        <w:t xml:space="preserve"> הרשות להגנה על עדים,</w:t>
      </w:r>
      <w:r w:rsidR="00794824">
        <w:rPr>
          <w:rFonts w:cs="FrankRuehl" w:hint="cs"/>
          <w:sz w:val="26"/>
          <w:rtl/>
        </w:rPr>
        <w:t xml:space="preserve"> משמר הכנסת כמשמעותו בחוק משכן הכנסת ורחבתו, תשכ"ח-</w:t>
      </w:r>
      <w:r w:rsidR="00794824">
        <w:rPr>
          <w:rFonts w:cs="FrankRuehl"/>
          <w:sz w:val="26"/>
          <w:rtl/>
        </w:rPr>
        <w:t xml:space="preserve">1968, </w:t>
      </w:r>
      <w:r w:rsidR="00794824">
        <w:rPr>
          <w:rFonts w:cs="FrankRuehl" w:hint="cs"/>
          <w:sz w:val="26"/>
          <w:rtl/>
        </w:rPr>
        <w:t>צבא הגנה לישראל, שירות הביטחון הכללי ושירות בתי הסוהר.</w:t>
      </w:r>
    </w:p>
    <w:p w:rsidR="00C713CC" w:rsidRPr="00151A2F" w:rsidRDefault="00C713CC" w:rsidP="00C713CC">
      <w:pPr>
        <w:pStyle w:val="P00"/>
        <w:spacing w:before="0"/>
        <w:ind w:left="0" w:right="1134"/>
        <w:rPr>
          <w:rStyle w:val="default"/>
          <w:rFonts w:cs="FrankRuehl" w:hint="cs"/>
          <w:vanish/>
          <w:color w:val="FF0000"/>
          <w:szCs w:val="20"/>
          <w:shd w:val="clear" w:color="auto" w:fill="FFFF99"/>
          <w:rtl/>
        </w:rPr>
      </w:pPr>
      <w:bookmarkStart w:id="4" w:name="Rov17"/>
      <w:r w:rsidRPr="00151A2F">
        <w:rPr>
          <w:rStyle w:val="default"/>
          <w:rFonts w:cs="FrankRuehl" w:hint="cs"/>
          <w:vanish/>
          <w:color w:val="FF0000"/>
          <w:szCs w:val="20"/>
          <w:shd w:val="clear" w:color="auto" w:fill="FFFF99"/>
          <w:rtl/>
        </w:rPr>
        <w:t>מיום 16.11.2008</w:t>
      </w:r>
    </w:p>
    <w:p w:rsidR="00C713CC" w:rsidRPr="00151A2F" w:rsidRDefault="00C713CC" w:rsidP="00C713CC">
      <w:pPr>
        <w:pStyle w:val="P00"/>
        <w:spacing w:before="0"/>
        <w:ind w:left="0" w:right="1134"/>
        <w:rPr>
          <w:rStyle w:val="default"/>
          <w:rFonts w:cs="FrankRuehl" w:hint="cs"/>
          <w:vanish/>
          <w:szCs w:val="20"/>
          <w:shd w:val="clear" w:color="auto" w:fill="FFFF99"/>
          <w:rtl/>
        </w:rPr>
      </w:pPr>
      <w:r w:rsidRPr="00151A2F">
        <w:rPr>
          <w:rStyle w:val="default"/>
          <w:rFonts w:cs="FrankRuehl" w:hint="cs"/>
          <w:b/>
          <w:bCs/>
          <w:vanish/>
          <w:szCs w:val="20"/>
          <w:shd w:val="clear" w:color="auto" w:fill="FFFF99"/>
          <w:rtl/>
        </w:rPr>
        <w:t>תיקון מס' 3</w:t>
      </w:r>
    </w:p>
    <w:p w:rsidR="00C713CC" w:rsidRPr="00151A2F" w:rsidRDefault="00C713CC" w:rsidP="00C713CC">
      <w:pPr>
        <w:pStyle w:val="P00"/>
        <w:spacing w:before="0"/>
        <w:ind w:left="0" w:right="1134"/>
        <w:rPr>
          <w:rStyle w:val="default"/>
          <w:rFonts w:cs="FrankRuehl" w:hint="cs"/>
          <w:vanish/>
          <w:szCs w:val="20"/>
          <w:shd w:val="clear" w:color="auto" w:fill="FFFF99"/>
          <w:rtl/>
        </w:rPr>
      </w:pPr>
      <w:hyperlink r:id="rId8" w:history="1">
        <w:r w:rsidRPr="00151A2F">
          <w:rPr>
            <w:rStyle w:val="Hyperlink"/>
            <w:rFonts w:cs="FrankRuehl" w:hint="cs"/>
            <w:vanish/>
            <w:szCs w:val="20"/>
            <w:shd w:val="clear" w:color="auto" w:fill="FFFF99"/>
            <w:rtl/>
          </w:rPr>
          <w:t>ס"ח תשס"ט מס' 2192</w:t>
        </w:r>
      </w:hyperlink>
      <w:r w:rsidRPr="00151A2F">
        <w:rPr>
          <w:rStyle w:val="default"/>
          <w:rFonts w:cs="FrankRuehl" w:hint="cs"/>
          <w:vanish/>
          <w:szCs w:val="20"/>
          <w:shd w:val="clear" w:color="auto" w:fill="FFFF99"/>
          <w:rtl/>
        </w:rPr>
        <w:t xml:space="preserve"> מיום 16.11.2008 עמ' 115 (</w:t>
      </w:r>
      <w:hyperlink r:id="rId9" w:history="1">
        <w:r w:rsidRPr="00151A2F">
          <w:rPr>
            <w:rStyle w:val="Hyperlink"/>
            <w:rFonts w:cs="FrankRuehl" w:hint="cs"/>
            <w:vanish/>
            <w:szCs w:val="20"/>
            <w:shd w:val="clear" w:color="auto" w:fill="FFFF99"/>
            <w:rtl/>
          </w:rPr>
          <w:t>ה"ח 380</w:t>
        </w:r>
      </w:hyperlink>
      <w:r w:rsidRPr="00151A2F">
        <w:rPr>
          <w:rStyle w:val="default"/>
          <w:rFonts w:cs="FrankRuehl" w:hint="cs"/>
          <w:vanish/>
          <w:szCs w:val="20"/>
          <w:shd w:val="clear" w:color="auto" w:fill="FFFF99"/>
          <w:rtl/>
        </w:rPr>
        <w:t>)</w:t>
      </w:r>
    </w:p>
    <w:p w:rsidR="00C713CC" w:rsidRPr="00C713CC" w:rsidRDefault="00C713CC" w:rsidP="00C713CC">
      <w:pPr>
        <w:pStyle w:val="P00"/>
        <w:ind w:left="0" w:right="1134"/>
        <w:rPr>
          <w:rFonts w:cs="FrankRuehl" w:hint="cs"/>
          <w:sz w:val="2"/>
          <w:szCs w:val="2"/>
          <w:rtl/>
        </w:rPr>
      </w:pPr>
      <w:r w:rsidRPr="00151A2F">
        <w:rPr>
          <w:rFonts w:cs="FrankRuehl"/>
          <w:vanish/>
          <w:sz w:val="22"/>
          <w:szCs w:val="22"/>
          <w:shd w:val="clear" w:color="auto" w:fill="FFFF99"/>
          <w:rtl/>
        </w:rPr>
        <w:tab/>
        <w:t>"</w:t>
      </w:r>
      <w:r w:rsidRPr="00151A2F">
        <w:rPr>
          <w:rFonts w:cs="FrankRuehl" w:hint="cs"/>
          <w:vanish/>
          <w:sz w:val="22"/>
          <w:szCs w:val="22"/>
          <w:shd w:val="clear" w:color="auto" w:fill="FFFF99"/>
          <w:rtl/>
        </w:rPr>
        <w:t xml:space="preserve">רשות ביטחון" </w:t>
      </w:r>
      <w:r w:rsidR="00151A2F" w:rsidRPr="00151A2F">
        <w:rPr>
          <w:rFonts w:cs="FrankRuehl"/>
          <w:vanish/>
          <w:sz w:val="22"/>
          <w:szCs w:val="22"/>
          <w:shd w:val="clear" w:color="auto" w:fill="FFFF99"/>
          <w:rtl/>
        </w:rPr>
        <w:t>–</w:t>
      </w:r>
      <w:r w:rsidRPr="00151A2F">
        <w:rPr>
          <w:rFonts w:cs="FrankRuehl"/>
          <w:vanish/>
          <w:sz w:val="22"/>
          <w:szCs w:val="22"/>
          <w:shd w:val="clear" w:color="auto" w:fill="FFFF99"/>
          <w:rtl/>
        </w:rPr>
        <w:t xml:space="preserve"> </w:t>
      </w:r>
      <w:r w:rsidRPr="00151A2F">
        <w:rPr>
          <w:rFonts w:cs="FrankRuehl" w:hint="cs"/>
          <w:vanish/>
          <w:sz w:val="22"/>
          <w:szCs w:val="22"/>
          <w:shd w:val="clear" w:color="auto" w:fill="FFFF99"/>
          <w:rtl/>
        </w:rPr>
        <w:t xml:space="preserve">משטרת ישראל, </w:t>
      </w:r>
      <w:r w:rsidRPr="00151A2F">
        <w:rPr>
          <w:rFonts w:cs="FrankRuehl" w:hint="cs"/>
          <w:vanish/>
          <w:sz w:val="22"/>
          <w:szCs w:val="22"/>
          <w:u w:val="single"/>
          <w:shd w:val="clear" w:color="auto" w:fill="FFFF99"/>
          <w:rtl/>
        </w:rPr>
        <w:t>הרשות להגנה על עדים,</w:t>
      </w:r>
      <w:r w:rsidRPr="00151A2F">
        <w:rPr>
          <w:rFonts w:cs="FrankRuehl" w:hint="cs"/>
          <w:vanish/>
          <w:sz w:val="22"/>
          <w:szCs w:val="22"/>
          <w:shd w:val="clear" w:color="auto" w:fill="FFFF99"/>
          <w:rtl/>
        </w:rPr>
        <w:t xml:space="preserve"> משמר הכנסת כמשמעותו בחוק משכן הכנסת ורחבתו, תשכ"ח-</w:t>
      </w:r>
      <w:r w:rsidRPr="00151A2F">
        <w:rPr>
          <w:rFonts w:cs="FrankRuehl"/>
          <w:vanish/>
          <w:sz w:val="22"/>
          <w:szCs w:val="22"/>
          <w:shd w:val="clear" w:color="auto" w:fill="FFFF99"/>
          <w:rtl/>
        </w:rPr>
        <w:t xml:space="preserve">1968, </w:t>
      </w:r>
      <w:r w:rsidRPr="00151A2F">
        <w:rPr>
          <w:rFonts w:cs="FrankRuehl" w:hint="cs"/>
          <w:vanish/>
          <w:sz w:val="22"/>
          <w:szCs w:val="22"/>
          <w:shd w:val="clear" w:color="auto" w:fill="FFFF99"/>
          <w:rtl/>
        </w:rPr>
        <w:t>צבא הגנה לישראל, שירות הביטחון הכללי ושירות בתי הסוהר.</w:t>
      </w:r>
      <w:bookmarkEnd w:id="4"/>
    </w:p>
    <w:p w:rsidR="00794824" w:rsidRDefault="00794824">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23.55pt;z-index:251652096" o:allowincell="f" filled="f" stroked="f" strokecolor="lime" strokeweight=".25pt">
            <v:textbox inset="0,0,0,0">
              <w:txbxContent>
                <w:p w:rsidR="00794824" w:rsidRDefault="00794824">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מניעת </w:t>
                  </w:r>
                  <w:r>
                    <w:rPr>
                      <w:rFonts w:cs="Miriam"/>
                      <w:sz w:val="18"/>
                      <w:szCs w:val="18"/>
                      <w:rtl/>
                    </w:rPr>
                    <w:t>הט</w:t>
                  </w:r>
                  <w:r>
                    <w:rPr>
                      <w:rFonts w:cs="Miriam" w:hint="cs"/>
                      <w:sz w:val="18"/>
                      <w:szCs w:val="18"/>
                      <w:rtl/>
                    </w:rPr>
                    <w:t>רדה מאיימת</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וכח </w:t>
      </w:r>
      <w:r>
        <w:rPr>
          <w:rStyle w:val="default"/>
          <w:rFonts w:cs="FrankRuehl"/>
          <w:rtl/>
        </w:rPr>
        <w:t>בי</w:t>
      </w:r>
      <w:r>
        <w:rPr>
          <w:rStyle w:val="default"/>
          <w:rFonts w:cs="FrankRuehl" w:hint="cs"/>
          <w:rtl/>
        </w:rPr>
        <w:t xml:space="preserve">ת המשפט כי אדם נקט הטרדה מאיימת, רשאי הוא להורות לאותו אדם בצו להימנע מעשות מעשה מן המעשים המפורטים בסעיף 5(א)(1) עד (4), ואם נוכח כי ההטרדה המאיימת נעשתה בנסיבות שבהן יש חשש לפגיעה ממשית בשלוות חייו של אדם אחר או להמשך פגיעה כאמור, </w:t>
      </w:r>
      <w:r>
        <w:rPr>
          <w:rStyle w:val="default"/>
          <w:rFonts w:cs="FrankRuehl"/>
          <w:rtl/>
        </w:rPr>
        <w:t>ר</w:t>
      </w:r>
      <w:r>
        <w:rPr>
          <w:rStyle w:val="default"/>
          <w:rFonts w:cs="FrankRuehl" w:hint="cs"/>
          <w:rtl/>
        </w:rPr>
        <w:t>שאי הוא להורות לאות</w:t>
      </w:r>
      <w:r>
        <w:rPr>
          <w:rStyle w:val="default"/>
          <w:rFonts w:cs="FrankRuehl"/>
          <w:rtl/>
        </w:rPr>
        <w:t>ו</w:t>
      </w:r>
      <w:r>
        <w:rPr>
          <w:rStyle w:val="default"/>
          <w:rFonts w:cs="FrankRuehl" w:hint="cs"/>
          <w:rtl/>
        </w:rPr>
        <w:t xml:space="preserve"> </w:t>
      </w:r>
      <w:r>
        <w:rPr>
          <w:rStyle w:val="default"/>
          <w:rFonts w:cs="FrankRuehl"/>
          <w:rtl/>
        </w:rPr>
        <w:t>א</w:t>
      </w:r>
      <w:r>
        <w:rPr>
          <w:rStyle w:val="default"/>
          <w:rFonts w:cs="FrankRuehl" w:hint="cs"/>
          <w:rtl/>
        </w:rPr>
        <w:t xml:space="preserve">דם בצו גם להימנע מעשות מעשה מן המעשים המפורטים בסעיף 5(א)(5) ו-(6). </w:t>
      </w:r>
    </w:p>
    <w:p w:rsidR="00794824" w:rsidRDefault="0079482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וכח בית המשפט כי אדם התנהג או פגע באחר כאמור בפסקאות (1) או (2), רשאי הוא להורות לאותו אדם בצו להימנע מעשות מעשה מן המעשים המפורטים בסעיף 5(א)(1) עד (6): </w:t>
      </w:r>
    </w:p>
    <w:p w:rsidR="00794824" w:rsidRDefault="00794824">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תנהגותו של האדם, לר</w:t>
      </w:r>
      <w:r>
        <w:rPr>
          <w:rStyle w:val="default"/>
          <w:rFonts w:cs="FrankRuehl"/>
          <w:rtl/>
        </w:rPr>
        <w:t>בו</w:t>
      </w:r>
      <w:r>
        <w:rPr>
          <w:rStyle w:val="default"/>
          <w:rFonts w:cs="FrankRuehl" w:hint="cs"/>
          <w:rtl/>
        </w:rPr>
        <w:t>ת התנהגות כאמור בסעיף קטן (א), נותנת בסיס סביר להניח, כי הוא מהווה סכנה גופנית ממשית לאדם אחר או כי הוא עלול לבצע בו עבירת מין;</w:t>
      </w:r>
    </w:p>
    <w:p w:rsidR="00794824" w:rsidRDefault="00794824">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מוך לפני הגשת הבקשה פגע בגופו של אדם אחר, ביצע עבירת מין באדם אחר או כלא אדם אחר שלא כדין.</w:t>
      </w:r>
    </w:p>
    <w:p w:rsidR="00794824" w:rsidRDefault="00794824" w:rsidP="009D4D9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w:t>
      </w:r>
      <w:r>
        <w:rPr>
          <w:rStyle w:val="default"/>
          <w:rFonts w:cs="FrankRuehl"/>
          <w:rtl/>
        </w:rPr>
        <w:t>ו</w:t>
      </w:r>
      <w:r>
        <w:rPr>
          <w:rStyle w:val="default"/>
          <w:rFonts w:cs="FrankRuehl" w:hint="cs"/>
          <w:rtl/>
        </w:rPr>
        <w:t>ת סעיפים קטנים (א) א</w:t>
      </w:r>
      <w:r>
        <w:rPr>
          <w:rStyle w:val="default"/>
          <w:rFonts w:cs="FrankRuehl"/>
          <w:rtl/>
        </w:rPr>
        <w:t>ו (</w:t>
      </w:r>
      <w:r>
        <w:rPr>
          <w:rStyle w:val="default"/>
          <w:rFonts w:cs="FrankRuehl" w:hint="cs"/>
          <w:rtl/>
        </w:rPr>
        <w:t>ב) לא יחולו אם נוכח בית המשפט כי המעשה שבשלו מתבקש צו מניעת הטרדה מאיימת נעשה בנסיבות שמהוות הגנה טובה במשפט פלילי או אזרחי בשל פגיעה בפרטיות, בהתאם להוראות סעיף 18(2)(ב) עד (ד) או (3) לחוק הגנת הפרטיות, תשמ"א</w:t>
      </w:r>
      <w:r w:rsidR="009D4D94">
        <w:rPr>
          <w:rStyle w:val="default"/>
          <w:rFonts w:cs="FrankRuehl" w:hint="cs"/>
          <w:rtl/>
        </w:rPr>
        <w:t>-</w:t>
      </w:r>
      <w:r>
        <w:rPr>
          <w:rStyle w:val="default"/>
          <w:rFonts w:cs="FrankRuehl"/>
          <w:rtl/>
        </w:rPr>
        <w:t xml:space="preserve">1981, </w:t>
      </w:r>
      <w:r>
        <w:rPr>
          <w:rStyle w:val="default"/>
          <w:rFonts w:cs="FrankRuehl" w:hint="cs"/>
          <w:rtl/>
        </w:rPr>
        <w:t>או בנסיבות שמהוו</w:t>
      </w:r>
      <w:r>
        <w:rPr>
          <w:rStyle w:val="default"/>
          <w:rFonts w:cs="FrankRuehl"/>
          <w:rtl/>
        </w:rPr>
        <w:t>ת</w:t>
      </w:r>
      <w:r>
        <w:rPr>
          <w:rStyle w:val="default"/>
          <w:rFonts w:cs="FrankRuehl" w:hint="cs"/>
          <w:rtl/>
        </w:rPr>
        <w:t xml:space="preserve"> פטור מאחריות בהתאם</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וראות סעיף 19 לחוק האמור.</w:t>
      </w:r>
    </w:p>
    <w:p w:rsidR="00794824" w:rsidRDefault="0079482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לה רשאים לבקש צו מניעת הטרדה מאיימת:</w:t>
      </w:r>
    </w:p>
    <w:p w:rsidR="00794824" w:rsidRDefault="00794824">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נפגע או אדם מטעמו של הנפגע;</w:t>
      </w:r>
    </w:p>
    <w:p w:rsidR="00794824" w:rsidRDefault="00794824">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יועץ המשפטי לממשלה או נציגו;</w:t>
      </w:r>
    </w:p>
    <w:p w:rsidR="00794824" w:rsidRDefault="00794824">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ובע משטרתי;</w:t>
      </w:r>
    </w:p>
    <w:p w:rsidR="00794824" w:rsidRDefault="00386ABB" w:rsidP="00386ABB">
      <w:pPr>
        <w:pStyle w:val="P22"/>
        <w:spacing w:before="72"/>
        <w:ind w:left="1021" w:right="1134"/>
        <w:rPr>
          <w:rStyle w:val="default"/>
          <w:rFonts w:cs="FrankRuehl" w:hint="cs"/>
          <w:rtl/>
        </w:rPr>
      </w:pPr>
      <w:r>
        <w:rPr>
          <w:rFonts w:cs="FrankRuehl" w:hint="cs"/>
          <w:sz w:val="26"/>
          <w:rtl/>
          <w:lang w:eastAsia="en-US"/>
        </w:rPr>
        <w:pict>
          <v:shape id="_x0000_s1043" type="#_x0000_t202" style="position:absolute;left:0;text-align:left;margin-left:470.25pt;margin-top:7.1pt;width:1in;height:16.8pt;z-index:251666432" filled="f" stroked="f">
            <v:textbox inset="1mm,0,1mm,0">
              <w:txbxContent>
                <w:p w:rsidR="00386ABB" w:rsidRDefault="00386ABB" w:rsidP="00386ABB">
                  <w:pPr>
                    <w:spacing w:line="160" w:lineRule="exact"/>
                    <w:jc w:val="left"/>
                    <w:rPr>
                      <w:rFonts w:cs="Miriam" w:hint="cs"/>
                      <w:noProof/>
                      <w:sz w:val="18"/>
                      <w:szCs w:val="18"/>
                      <w:rtl/>
                    </w:rPr>
                  </w:pPr>
                  <w:r>
                    <w:rPr>
                      <w:rFonts w:cs="Miriam" w:hint="cs"/>
                      <w:sz w:val="18"/>
                      <w:szCs w:val="18"/>
                      <w:rtl/>
                    </w:rPr>
                    <w:t>(תיקון מס' 2) תשע"א-2010</w:t>
                  </w:r>
                </w:p>
              </w:txbxContent>
            </v:textbox>
            <w10:anchorlock/>
          </v:shape>
        </w:pict>
      </w:r>
      <w:r w:rsidR="00794824">
        <w:rPr>
          <w:rStyle w:val="default"/>
          <w:rFonts w:cs="FrankRuehl" w:hint="cs"/>
          <w:rtl/>
        </w:rPr>
        <w:t>(4)</w:t>
      </w:r>
      <w:r w:rsidR="00794824">
        <w:rPr>
          <w:rStyle w:val="default"/>
          <w:rFonts w:cs="FrankRuehl"/>
          <w:rtl/>
        </w:rPr>
        <w:tab/>
      </w:r>
      <w:r>
        <w:rPr>
          <w:rStyle w:val="default"/>
          <w:rFonts w:cs="FrankRuehl" w:hint="cs"/>
          <w:rtl/>
        </w:rPr>
        <w:t>עובד סוציאלי</w:t>
      </w:r>
      <w:r w:rsidR="00794824">
        <w:rPr>
          <w:rStyle w:val="default"/>
          <w:rFonts w:cs="FrankRuehl" w:hint="cs"/>
          <w:rtl/>
        </w:rPr>
        <w:t xml:space="preserve"> שהתמנה על פי חוק הנוער (טיפול והשגחה).</w:t>
      </w:r>
    </w:p>
    <w:p w:rsidR="009D4D94" w:rsidRPr="00151A2F" w:rsidRDefault="009D4D94" w:rsidP="00984ED8">
      <w:pPr>
        <w:pStyle w:val="P00"/>
        <w:spacing w:before="0"/>
        <w:ind w:left="1021" w:right="1134"/>
        <w:rPr>
          <w:rFonts w:cs="FrankRuehl" w:hint="cs"/>
          <w:vanish/>
          <w:color w:val="FF0000"/>
          <w:szCs w:val="20"/>
          <w:shd w:val="clear" w:color="auto" w:fill="FFFF99"/>
          <w:rtl/>
        </w:rPr>
      </w:pPr>
      <w:bookmarkStart w:id="6" w:name="Rov18"/>
      <w:r w:rsidRPr="00151A2F">
        <w:rPr>
          <w:rFonts w:cs="FrankRuehl" w:hint="cs"/>
          <w:vanish/>
          <w:color w:val="FF0000"/>
          <w:szCs w:val="20"/>
          <w:shd w:val="clear" w:color="auto" w:fill="FFFF99"/>
          <w:rtl/>
        </w:rPr>
        <w:t>מיום 9.12.2010</w:t>
      </w:r>
    </w:p>
    <w:p w:rsidR="009D4D94" w:rsidRPr="00151A2F" w:rsidRDefault="009D4D94" w:rsidP="00984ED8">
      <w:pPr>
        <w:pStyle w:val="P00"/>
        <w:spacing w:before="0"/>
        <w:ind w:left="1021" w:right="1134"/>
        <w:rPr>
          <w:rFonts w:cs="FrankRuehl" w:hint="cs"/>
          <w:vanish/>
          <w:szCs w:val="20"/>
          <w:shd w:val="clear" w:color="auto" w:fill="FFFF99"/>
          <w:rtl/>
        </w:rPr>
      </w:pPr>
      <w:r w:rsidRPr="00151A2F">
        <w:rPr>
          <w:rFonts w:cs="FrankRuehl" w:hint="cs"/>
          <w:b/>
          <w:bCs/>
          <w:vanish/>
          <w:szCs w:val="20"/>
          <w:shd w:val="clear" w:color="auto" w:fill="FFFF99"/>
          <w:rtl/>
        </w:rPr>
        <w:t>תיקון מס' 2</w:t>
      </w:r>
    </w:p>
    <w:p w:rsidR="009D4D94" w:rsidRPr="00151A2F" w:rsidRDefault="009D4D94" w:rsidP="00984ED8">
      <w:pPr>
        <w:pStyle w:val="P00"/>
        <w:spacing w:before="0"/>
        <w:ind w:left="1021" w:right="1134"/>
        <w:rPr>
          <w:rFonts w:cs="FrankRuehl" w:hint="cs"/>
          <w:vanish/>
          <w:szCs w:val="20"/>
          <w:shd w:val="clear" w:color="auto" w:fill="FFFF99"/>
          <w:rtl/>
        </w:rPr>
      </w:pPr>
      <w:hyperlink r:id="rId10" w:history="1">
        <w:r w:rsidRPr="00151A2F">
          <w:rPr>
            <w:rStyle w:val="Hyperlink"/>
            <w:rFonts w:cs="FrankRuehl" w:hint="cs"/>
            <w:vanish/>
            <w:szCs w:val="20"/>
            <w:shd w:val="clear" w:color="auto" w:fill="FFFF99"/>
            <w:rtl/>
          </w:rPr>
          <w:t>ס"ח תשע"א מס' 2264</w:t>
        </w:r>
      </w:hyperlink>
      <w:r w:rsidRPr="00151A2F">
        <w:rPr>
          <w:rFonts w:cs="FrankRuehl" w:hint="cs"/>
          <w:vanish/>
          <w:szCs w:val="20"/>
          <w:shd w:val="clear" w:color="auto" w:fill="FFFF99"/>
          <w:rtl/>
        </w:rPr>
        <w:t xml:space="preserve"> מיום 9.12.2010 עמ' 85 (</w:t>
      </w:r>
      <w:hyperlink r:id="rId11" w:history="1">
        <w:r w:rsidRPr="00151A2F">
          <w:rPr>
            <w:rStyle w:val="Hyperlink"/>
            <w:rFonts w:cs="FrankRuehl" w:hint="cs"/>
            <w:vanish/>
            <w:szCs w:val="20"/>
            <w:shd w:val="clear" w:color="auto" w:fill="FFFF99"/>
            <w:rtl/>
          </w:rPr>
          <w:t>ה"ח 507</w:t>
        </w:r>
      </w:hyperlink>
      <w:r w:rsidRPr="00151A2F">
        <w:rPr>
          <w:rFonts w:cs="FrankRuehl" w:hint="cs"/>
          <w:vanish/>
          <w:szCs w:val="20"/>
          <w:shd w:val="clear" w:color="auto" w:fill="FFFF99"/>
          <w:rtl/>
        </w:rPr>
        <w:t>)</w:t>
      </w:r>
    </w:p>
    <w:p w:rsidR="00386ABB" w:rsidRPr="00984ED8" w:rsidRDefault="00386ABB" w:rsidP="00984ED8">
      <w:pPr>
        <w:pStyle w:val="P22"/>
        <w:ind w:left="1021" w:right="1134"/>
        <w:rPr>
          <w:rStyle w:val="default"/>
          <w:rFonts w:cs="FrankRuehl" w:hint="cs"/>
          <w:sz w:val="2"/>
          <w:szCs w:val="2"/>
          <w:rtl/>
        </w:rPr>
      </w:pPr>
      <w:r w:rsidRPr="00151A2F">
        <w:rPr>
          <w:rStyle w:val="default"/>
          <w:rFonts w:cs="FrankRuehl" w:hint="cs"/>
          <w:vanish/>
          <w:sz w:val="22"/>
          <w:szCs w:val="22"/>
          <w:shd w:val="clear" w:color="auto" w:fill="FFFF99"/>
          <w:rtl/>
        </w:rPr>
        <w:t>(4)</w:t>
      </w:r>
      <w:r w:rsidRPr="00151A2F">
        <w:rPr>
          <w:rStyle w:val="default"/>
          <w:rFonts w:cs="FrankRuehl"/>
          <w:vanish/>
          <w:sz w:val="22"/>
          <w:szCs w:val="22"/>
          <w:shd w:val="clear" w:color="auto" w:fill="FFFF99"/>
          <w:rtl/>
        </w:rPr>
        <w:tab/>
      </w:r>
      <w:r w:rsidRPr="00151A2F">
        <w:rPr>
          <w:rStyle w:val="default"/>
          <w:rFonts w:cs="FrankRuehl"/>
          <w:strike/>
          <w:vanish/>
          <w:sz w:val="22"/>
          <w:szCs w:val="22"/>
          <w:shd w:val="clear" w:color="auto" w:fill="FFFF99"/>
          <w:rtl/>
        </w:rPr>
        <w:t>פ</w:t>
      </w:r>
      <w:r w:rsidRPr="00151A2F">
        <w:rPr>
          <w:rStyle w:val="default"/>
          <w:rFonts w:cs="FrankRuehl" w:hint="cs"/>
          <w:strike/>
          <w:vanish/>
          <w:sz w:val="22"/>
          <w:szCs w:val="22"/>
          <w:shd w:val="clear" w:color="auto" w:fill="FFFF99"/>
          <w:rtl/>
        </w:rPr>
        <w:t>קיד סעד</w:t>
      </w:r>
      <w:r w:rsidRPr="00151A2F">
        <w:rPr>
          <w:rStyle w:val="default"/>
          <w:rFonts w:cs="FrankRuehl" w:hint="cs"/>
          <w:vanish/>
          <w:sz w:val="22"/>
          <w:szCs w:val="22"/>
          <w:shd w:val="clear" w:color="auto" w:fill="FFFF99"/>
          <w:rtl/>
        </w:rPr>
        <w:t xml:space="preserve"> </w:t>
      </w:r>
      <w:r w:rsidRPr="00151A2F">
        <w:rPr>
          <w:rStyle w:val="default"/>
          <w:rFonts w:cs="FrankRuehl" w:hint="cs"/>
          <w:vanish/>
          <w:sz w:val="22"/>
          <w:szCs w:val="22"/>
          <w:u w:val="single"/>
          <w:shd w:val="clear" w:color="auto" w:fill="FFFF99"/>
          <w:rtl/>
        </w:rPr>
        <w:t>עובד סוציאלי</w:t>
      </w:r>
      <w:r w:rsidRPr="00151A2F">
        <w:rPr>
          <w:rStyle w:val="default"/>
          <w:rFonts w:cs="FrankRuehl" w:hint="cs"/>
          <w:vanish/>
          <w:sz w:val="22"/>
          <w:szCs w:val="22"/>
          <w:shd w:val="clear" w:color="auto" w:fill="FFFF99"/>
          <w:rtl/>
        </w:rPr>
        <w:t xml:space="preserve"> שהתמנה על פי חוק הנוער (טיפול והשגחה).</w:t>
      </w:r>
      <w:bookmarkEnd w:id="6"/>
    </w:p>
    <w:p w:rsidR="00794824" w:rsidRDefault="00794824">
      <w:pPr>
        <w:pStyle w:val="P00"/>
        <w:spacing w:before="72"/>
        <w:ind w:left="0" w:right="1134"/>
        <w:rPr>
          <w:rStyle w:val="default"/>
          <w:rFonts w:cs="FrankRuehl"/>
          <w:rtl/>
        </w:rPr>
      </w:pPr>
      <w:bookmarkStart w:id="7" w:name="Seif5"/>
      <w:bookmarkEnd w:id="7"/>
      <w:r>
        <w:rPr>
          <w:lang w:val="he-IL"/>
        </w:rPr>
        <w:pict>
          <v:rect id="_x0000_s1030" style="position:absolute;left:0;text-align:left;margin-left:464.5pt;margin-top:8.05pt;width:75.05pt;height:11.85pt;z-index:251653120" o:allowincell="f" filled="f" stroked="f" strokecolor="lime" strokeweight=".25pt">
            <v:textbox inset="0,0,0,0">
              <w:txbxContent>
                <w:p w:rsidR="00794824" w:rsidRDefault="00794824">
                  <w:pPr>
                    <w:spacing w:line="160" w:lineRule="exact"/>
                    <w:jc w:val="left"/>
                    <w:rPr>
                      <w:rFonts w:cs="Miriam"/>
                      <w:noProof/>
                      <w:sz w:val="18"/>
                      <w:szCs w:val="18"/>
                      <w:rtl/>
                    </w:rPr>
                  </w:pPr>
                  <w:r>
                    <w:rPr>
                      <w:rFonts w:cs="Miriam"/>
                      <w:sz w:val="18"/>
                      <w:szCs w:val="18"/>
                      <w:rtl/>
                    </w:rPr>
                    <w:t>הו</w:t>
                  </w:r>
                  <w:r>
                    <w:rPr>
                      <w:rFonts w:cs="Miriam" w:hint="cs"/>
                      <w:sz w:val="18"/>
                      <w:szCs w:val="18"/>
                      <w:rtl/>
                    </w:rPr>
                    <w:t>ראות הצו</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ו מניעת הטרדה מאיימת יאסור, בכפוף להוראו</w:t>
      </w:r>
      <w:r>
        <w:rPr>
          <w:rStyle w:val="default"/>
          <w:rFonts w:cs="FrankRuehl"/>
          <w:rtl/>
        </w:rPr>
        <w:t xml:space="preserve">ת </w:t>
      </w:r>
      <w:r>
        <w:rPr>
          <w:rStyle w:val="default"/>
          <w:rFonts w:cs="FrankRuehl" w:hint="cs"/>
          <w:rtl/>
        </w:rPr>
        <w:t>סעיף 4, על הפוגע לעשות את אלה, כולם או מקצתם, ויכול שיסויג בתנאים:</w:t>
      </w:r>
    </w:p>
    <w:p w:rsidR="00794824" w:rsidRDefault="00794824">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הטריד את הנפגע, בכל דרך ובכל מקום;</w:t>
      </w:r>
    </w:p>
    <w:p w:rsidR="00794824" w:rsidRDefault="00794824">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איים על הנפגע;</w:t>
      </w:r>
    </w:p>
    <w:p w:rsidR="00794824" w:rsidRDefault="00794824">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בלוש אחר הנפגע, לארוב לו, להתחקות אחר תנועותיו או מעשיו, או לפגוע בפרטיותו בכל דרך אחרת;</w:t>
      </w:r>
    </w:p>
    <w:p w:rsidR="00794824" w:rsidRDefault="00794824">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יצור עם הנפגע כל קשר בעל פה,</w:t>
      </w:r>
      <w:r>
        <w:rPr>
          <w:rStyle w:val="default"/>
          <w:rFonts w:cs="FrankRuehl"/>
          <w:rtl/>
        </w:rPr>
        <w:t xml:space="preserve"> ב</w:t>
      </w:r>
      <w:r>
        <w:rPr>
          <w:rStyle w:val="default"/>
          <w:rFonts w:cs="FrankRuehl" w:hint="cs"/>
          <w:rtl/>
        </w:rPr>
        <w:t>כתב, או בכל אמצעי אחר;</w:t>
      </w:r>
    </w:p>
    <w:p w:rsidR="00794824" w:rsidRDefault="00794824">
      <w:pPr>
        <w:pStyle w:val="P22"/>
        <w:spacing w:before="72"/>
        <w:ind w:left="1021" w:right="1134"/>
        <w:rPr>
          <w:rStyle w:val="default"/>
          <w:rFonts w:cs="FrankRuehl"/>
          <w:rtl/>
        </w:rPr>
      </w:pPr>
      <w:r>
        <w:rPr>
          <w:rStyle w:val="default"/>
          <w:rFonts w:cs="FrankRuehl"/>
          <w:rtl/>
        </w:rPr>
        <w:t>(5)</w:t>
      </w:r>
      <w:r>
        <w:rPr>
          <w:rStyle w:val="default"/>
          <w:rFonts w:cs="FrankRuehl"/>
          <w:rtl/>
        </w:rPr>
        <w:tab/>
        <w:t>ל</w:t>
      </w:r>
      <w:r>
        <w:rPr>
          <w:rStyle w:val="default"/>
          <w:rFonts w:cs="FrankRuehl" w:hint="cs"/>
          <w:rtl/>
        </w:rPr>
        <w:t>הימצא במרחק מסוים מדירת מגוריו, מרכבו, ממקום עבודתו או ממקום לימודיו של הנפגע או ממקום אחר שהנפגע נוהג להימצא בו בקביעות;</w:t>
      </w:r>
    </w:p>
    <w:p w:rsidR="00794824" w:rsidRDefault="00794824">
      <w:pPr>
        <w:pStyle w:val="P22"/>
        <w:spacing w:before="7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שאת או להחזיק נשק, לרבות נשק שניתן לו מטעם רשות ביטחון או רשות אחרת מר</w:t>
      </w:r>
      <w:r>
        <w:rPr>
          <w:rStyle w:val="default"/>
          <w:rFonts w:cs="FrankRuehl"/>
          <w:rtl/>
        </w:rPr>
        <w:t>שו</w:t>
      </w:r>
      <w:r>
        <w:rPr>
          <w:rStyle w:val="default"/>
          <w:rFonts w:cs="FrankRuehl" w:hint="cs"/>
          <w:rtl/>
        </w:rPr>
        <w:t>יות המדינה;</w:t>
      </w:r>
    </w:p>
    <w:p w:rsidR="00794824" w:rsidRDefault="00794824">
      <w:pPr>
        <w:pStyle w:val="P22"/>
        <w:spacing w:before="72"/>
        <w:ind w:left="1021" w:right="1134"/>
        <w:rPr>
          <w:rStyle w:val="default"/>
          <w:rFonts w:cs="FrankRuehl"/>
          <w:rtl/>
        </w:rPr>
      </w:pPr>
      <w:r>
        <w:rPr>
          <w:rStyle w:val="default"/>
          <w:rFonts w:cs="FrankRuehl" w:hint="cs"/>
          <w:rtl/>
        </w:rPr>
        <w:t>ו</w:t>
      </w:r>
      <w:r>
        <w:rPr>
          <w:rStyle w:val="default"/>
          <w:rFonts w:cs="FrankRuehl"/>
          <w:rtl/>
        </w:rPr>
        <w:t>ה</w:t>
      </w:r>
      <w:r>
        <w:rPr>
          <w:rStyle w:val="default"/>
          <w:rFonts w:cs="FrankRuehl" w:hint="cs"/>
          <w:rtl/>
        </w:rPr>
        <w:t>כל בין כלפי הנפגע ובין כלפי אדם אחר הקרוב לו, בין במפורש ובין במשתמע, בין במישרין ובין בעקיפין.</w:t>
      </w:r>
    </w:p>
    <w:p w:rsidR="00794824" w:rsidRDefault="0079482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יתן צו מניעת הטרדה מאיימת הכולל איסור כאמור בסעיף קטן (א)(6) </w:t>
      </w:r>
      <w:r>
        <w:rPr>
          <w:rStyle w:val="default"/>
          <w:rFonts w:cs="FrankRuehl"/>
          <w:rtl/>
        </w:rPr>
        <w:t>–</w:t>
      </w:r>
    </w:p>
    <w:p w:rsidR="00794824" w:rsidRDefault="00794824">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 xml:space="preserve">שאי בית המשפט במעמד מתן הצו להורות </w:t>
      </w:r>
      <w:r>
        <w:rPr>
          <w:rStyle w:val="default"/>
          <w:rFonts w:cs="FrankRuehl"/>
          <w:rtl/>
        </w:rPr>
        <w:t>ע</w:t>
      </w:r>
      <w:r>
        <w:rPr>
          <w:rStyle w:val="default"/>
          <w:rFonts w:cs="FrankRuehl" w:hint="cs"/>
          <w:rtl/>
        </w:rPr>
        <w:t>ל תפיסת נשקו של המחויב בצו, לאלתר</w:t>
      </w:r>
      <w:r>
        <w:rPr>
          <w:rStyle w:val="default"/>
          <w:rFonts w:cs="FrankRuehl"/>
          <w:rtl/>
        </w:rPr>
        <w:t>;</w:t>
      </w:r>
    </w:p>
    <w:p w:rsidR="00794824" w:rsidRDefault="00794824">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מסור בית המשפט לגורמים אלה הודעה על מתן הצו:</w:t>
      </w:r>
    </w:p>
    <w:p w:rsidR="00794824" w:rsidRDefault="00794824">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קיד הרישוי, כהגדרתו בחוק כלי היריה;</w:t>
      </w:r>
    </w:p>
    <w:p w:rsidR="00794824" w:rsidRDefault="00794824">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שטרת ישראל;</w:t>
      </w:r>
    </w:p>
    <w:p w:rsidR="00794824" w:rsidRDefault="00794824">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 xml:space="preserve">בא הגנה לישראל </w:t>
      </w:r>
      <w:r w:rsidR="00151A2F">
        <w:rPr>
          <w:rStyle w:val="default"/>
          <w:rFonts w:cs="FrankRuehl"/>
          <w:rtl/>
        </w:rPr>
        <w:t>–</w:t>
      </w:r>
      <w:r>
        <w:rPr>
          <w:rStyle w:val="default"/>
          <w:rFonts w:cs="FrankRuehl"/>
          <w:rtl/>
        </w:rPr>
        <w:t xml:space="preserve"> </w:t>
      </w:r>
      <w:r>
        <w:rPr>
          <w:rStyle w:val="default"/>
          <w:rFonts w:cs="FrankRuehl" w:hint="cs"/>
          <w:rtl/>
        </w:rPr>
        <w:t>אם המחויב בצו נמנה עם כוחות המילואים של צבא הגנה לישראל, או אם נמסר לו נשק מטעם צבא הגנה לישראל או בהסכמתו כדי להחזיקו, לרבו</w:t>
      </w:r>
      <w:r>
        <w:rPr>
          <w:rStyle w:val="default"/>
          <w:rFonts w:cs="FrankRuehl"/>
          <w:rtl/>
        </w:rPr>
        <w:t xml:space="preserve">ת </w:t>
      </w:r>
      <w:r>
        <w:rPr>
          <w:rStyle w:val="default"/>
          <w:rFonts w:cs="FrankRuehl" w:hint="cs"/>
          <w:rtl/>
        </w:rPr>
        <w:t>נשק שנמסר לו לפי תעודת הרשאה כאמור בסעיף 5ב(ג) לחוק כלי היריה;</w:t>
      </w:r>
    </w:p>
    <w:p w:rsidR="00794824" w:rsidRDefault="00794824">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 xml:space="preserve">שות ביטחון </w:t>
      </w:r>
      <w:r w:rsidR="00151A2F">
        <w:rPr>
          <w:rStyle w:val="default"/>
          <w:rFonts w:cs="FrankRuehl"/>
          <w:rtl/>
        </w:rPr>
        <w:t>–</w:t>
      </w:r>
      <w:r>
        <w:rPr>
          <w:rStyle w:val="default"/>
          <w:rFonts w:cs="FrankRuehl"/>
          <w:rtl/>
        </w:rPr>
        <w:t xml:space="preserve"> </w:t>
      </w:r>
      <w:r>
        <w:rPr>
          <w:rStyle w:val="default"/>
          <w:rFonts w:cs="FrankRuehl" w:hint="cs"/>
          <w:rtl/>
        </w:rPr>
        <w:t>רשות הביטחון שעמה נמנה המחויב בצו.</w:t>
      </w:r>
    </w:p>
    <w:p w:rsidR="00794824" w:rsidRDefault="00794824">
      <w:pPr>
        <w:pStyle w:val="P22"/>
        <w:spacing w:before="72"/>
        <w:ind w:left="1021"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ענין מחויב בצו כמשמעותו בפסקה (2)(ג) או (ד), או אדם שהנשק משמש אותו במסגרת עבודתו אצל בעל רישיון מי</w:t>
      </w:r>
      <w:r>
        <w:rPr>
          <w:rStyle w:val="default"/>
          <w:rFonts w:cs="FrankRuehl"/>
          <w:rtl/>
        </w:rPr>
        <w:t>ו</w:t>
      </w:r>
      <w:r>
        <w:rPr>
          <w:rStyle w:val="default"/>
          <w:rFonts w:cs="FrankRuehl" w:hint="cs"/>
          <w:rtl/>
        </w:rPr>
        <w:t xml:space="preserve">חד או במפעל ראוי, רשאי הממונה על </w:t>
      </w:r>
      <w:r>
        <w:rPr>
          <w:rStyle w:val="default"/>
          <w:rFonts w:cs="FrankRuehl"/>
          <w:rtl/>
        </w:rPr>
        <w:t>המ</w:t>
      </w:r>
      <w:r>
        <w:rPr>
          <w:rStyle w:val="default"/>
          <w:rFonts w:cs="FrankRuehl" w:hint="cs"/>
          <w:rtl/>
        </w:rPr>
        <w:t xml:space="preserve">חויב בצו, בין ביוזמתו ובין לבקשת המחויב בצו, להגיש בקשה מנומקת בכתב לבית המשפט לגבי המשך ההחזקה והנשיאה של הנשק על ידי המחויב בצו; לענין זה, "בעל רישיון מיוחד", "מפעל ראוי" ו"הממונה" </w:t>
      </w:r>
      <w:r w:rsidR="00151A2F">
        <w:rPr>
          <w:rStyle w:val="default"/>
          <w:rFonts w:cs="FrankRuehl"/>
          <w:rtl/>
        </w:rPr>
        <w:t>–</w:t>
      </w:r>
      <w:r>
        <w:rPr>
          <w:rStyle w:val="default"/>
          <w:rFonts w:cs="FrankRuehl"/>
          <w:rtl/>
        </w:rPr>
        <w:t xml:space="preserve"> </w:t>
      </w:r>
      <w:r>
        <w:rPr>
          <w:rStyle w:val="default"/>
          <w:rFonts w:cs="FrankRuehl" w:hint="cs"/>
          <w:rtl/>
        </w:rPr>
        <w:t>כהגדרתם בסעיף 2ג(א)(2) ו-(3) לחוק ל</w:t>
      </w:r>
      <w:r>
        <w:rPr>
          <w:rStyle w:val="default"/>
          <w:rFonts w:cs="FrankRuehl"/>
          <w:rtl/>
        </w:rPr>
        <w:t>מ</w:t>
      </w:r>
      <w:r>
        <w:rPr>
          <w:rStyle w:val="default"/>
          <w:rFonts w:cs="FrankRuehl" w:hint="cs"/>
          <w:rtl/>
        </w:rPr>
        <w:t>ניעת אלימות במשפחה.</w:t>
      </w:r>
    </w:p>
    <w:p w:rsidR="00794824" w:rsidRDefault="0079482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 xml:space="preserve">יתן צו </w:t>
      </w:r>
      <w:r>
        <w:rPr>
          <w:rStyle w:val="default"/>
          <w:rFonts w:cs="FrankRuehl"/>
          <w:rtl/>
        </w:rPr>
        <w:t>מנ</w:t>
      </w:r>
      <w:r>
        <w:rPr>
          <w:rStyle w:val="default"/>
          <w:rFonts w:cs="FrankRuehl" w:hint="cs"/>
          <w:rtl/>
        </w:rPr>
        <w:t>יעת הטרדה מאיימת לפי סעיף 4(א) סיפה או 4(ב), שאינו כולל איסור כאמור בסעיף קטן (א)(6), יפרש בית המשפט בהחלטתו את הנימוקים לאי הכללת האיסור בצו.</w:t>
      </w:r>
    </w:p>
    <w:p w:rsidR="00794824" w:rsidRDefault="0079482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צ</w:t>
      </w:r>
      <w:r>
        <w:rPr>
          <w:rStyle w:val="default"/>
          <w:rFonts w:cs="FrankRuehl" w:hint="cs"/>
          <w:rtl/>
        </w:rPr>
        <w:t>ו מניעת הטרדה מאיימת יכול שיכיל גם דרישה ל</w:t>
      </w:r>
      <w:r>
        <w:rPr>
          <w:rStyle w:val="default"/>
          <w:rFonts w:cs="FrankRuehl"/>
          <w:rtl/>
        </w:rPr>
        <w:t>ע</w:t>
      </w:r>
      <w:r>
        <w:rPr>
          <w:rStyle w:val="default"/>
          <w:rFonts w:cs="FrankRuehl" w:hint="cs"/>
          <w:rtl/>
        </w:rPr>
        <w:t>רובה הן לקיומו והן להתנהגות טובה,</w:t>
      </w:r>
      <w:r>
        <w:rPr>
          <w:rStyle w:val="default"/>
          <w:rFonts w:cs="FrankRuehl"/>
          <w:rtl/>
        </w:rPr>
        <w:t xml:space="preserve"> א</w:t>
      </w:r>
      <w:r>
        <w:rPr>
          <w:rStyle w:val="default"/>
          <w:rFonts w:cs="FrankRuehl" w:hint="cs"/>
          <w:rtl/>
        </w:rPr>
        <w:t>ו כל הוראה אחרת הדרושה, לדעת בית המשפט, להבטחת שלומו וביטחונו של הנפגע או של אדם אחר הקרוב לו, ויכול שיכיל גם הוראות בדבר הסידורים הנדרשים כתוצאה ממתן הצו.</w:t>
      </w:r>
    </w:p>
    <w:p w:rsidR="00794824" w:rsidRDefault="0079482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ת</w:t>
      </w:r>
      <w:r>
        <w:rPr>
          <w:rStyle w:val="default"/>
          <w:rFonts w:cs="FrankRuehl" w:hint="cs"/>
          <w:rtl/>
        </w:rPr>
        <w:t>נאי הערובה כאמור בסעיף קטן (ד), לרבות חילוטה, יפורטו בצו מ</w:t>
      </w:r>
      <w:r>
        <w:rPr>
          <w:rStyle w:val="default"/>
          <w:rFonts w:cs="FrankRuehl"/>
          <w:rtl/>
        </w:rPr>
        <w:t>נ</w:t>
      </w:r>
      <w:r>
        <w:rPr>
          <w:rStyle w:val="default"/>
          <w:rFonts w:cs="FrankRuehl" w:hint="cs"/>
          <w:rtl/>
        </w:rPr>
        <w:t>יעת הטרדה מאיימת.</w:t>
      </w:r>
    </w:p>
    <w:p w:rsidR="00794824" w:rsidRDefault="00794824">
      <w:pPr>
        <w:pStyle w:val="P00"/>
        <w:spacing w:before="72"/>
        <w:ind w:left="0" w:right="1134"/>
        <w:rPr>
          <w:rStyle w:val="default"/>
          <w:rFonts w:cs="FrankRuehl"/>
          <w:rtl/>
        </w:rPr>
      </w:pPr>
      <w:bookmarkStart w:id="8" w:name="Seif6"/>
      <w:bookmarkEnd w:id="8"/>
      <w:r>
        <w:rPr>
          <w:lang w:val="he-IL"/>
        </w:rPr>
        <w:pict>
          <v:rect id="_x0000_s1031" style="position:absolute;left:0;text-align:left;margin-left:464.5pt;margin-top:8.05pt;width:75.05pt;height:13.95pt;z-index:251654144" o:allowincell="f" filled="f" stroked="f" strokecolor="lime" strokeweight=".25pt">
            <v:textbox inset="0,0,0,0">
              <w:txbxContent>
                <w:p w:rsidR="00794824" w:rsidRDefault="00794824">
                  <w:pPr>
                    <w:spacing w:line="160" w:lineRule="exact"/>
                    <w:jc w:val="left"/>
                    <w:rPr>
                      <w:rFonts w:cs="Miriam"/>
                      <w:noProof/>
                      <w:sz w:val="18"/>
                      <w:szCs w:val="18"/>
                      <w:rtl/>
                    </w:rPr>
                  </w:pPr>
                  <w:r>
                    <w:rPr>
                      <w:rFonts w:cs="Miriam"/>
                      <w:sz w:val="18"/>
                      <w:szCs w:val="18"/>
                      <w:rtl/>
                    </w:rPr>
                    <w:t>תק</w:t>
                  </w:r>
                  <w:r>
                    <w:rPr>
                      <w:rFonts w:cs="Miriam" w:hint="cs"/>
                      <w:sz w:val="18"/>
                      <w:szCs w:val="18"/>
                      <w:rtl/>
                    </w:rPr>
                    <w:t>ופת תוקף</w:t>
                  </w:r>
                </w:p>
              </w:txbxContent>
            </v:textbox>
            <w10:anchorlock/>
          </v:rect>
        </w:pict>
      </w:r>
      <w:r>
        <w:rPr>
          <w:rStyle w:val="big-number"/>
          <w:rFonts w:cs="Miriam"/>
          <w:rtl/>
        </w:rPr>
        <w:t>6.</w:t>
      </w:r>
      <w:r>
        <w:rPr>
          <w:rStyle w:val="big-number"/>
          <w:rFonts w:cs="Miriam"/>
          <w:rtl/>
        </w:rPr>
        <w:tab/>
      </w:r>
      <w:r>
        <w:rPr>
          <w:rStyle w:val="default"/>
          <w:rFonts w:cs="FrankRuehl"/>
          <w:rtl/>
        </w:rPr>
        <w:t>תו</w:t>
      </w:r>
      <w:r>
        <w:rPr>
          <w:rStyle w:val="default"/>
          <w:rFonts w:cs="FrankRuehl" w:hint="cs"/>
          <w:rtl/>
        </w:rPr>
        <w:t>קפו של צו</w:t>
      </w:r>
      <w:r>
        <w:rPr>
          <w:rStyle w:val="default"/>
          <w:rFonts w:cs="FrankRuehl"/>
          <w:rtl/>
        </w:rPr>
        <w:t xml:space="preserve"> מ</w:t>
      </w:r>
      <w:r>
        <w:rPr>
          <w:rStyle w:val="default"/>
          <w:rFonts w:cs="FrankRuehl" w:hint="cs"/>
          <w:rtl/>
        </w:rPr>
        <w:t>ניעת הטרדה מאיימת לא יעלה על שישה חודשים; בית המשפט רשאי להאריך ולחזור ולהאריך את תוקפו של הצו, ובלבד שהתקופה הכוללת לא תעלה על שנה, ואולם מנימוקים מיוחדים שיפורטו בהחלטתו, רשאי הוא להאריך ולחזור ולהאריך את תוקפו של הצו לתקופה כוללת שלא תעלה על שנתיים.</w:t>
      </w:r>
    </w:p>
    <w:p w:rsidR="00794824" w:rsidRDefault="00794824">
      <w:pPr>
        <w:pStyle w:val="P00"/>
        <w:spacing w:before="72"/>
        <w:ind w:left="0" w:right="1134"/>
        <w:rPr>
          <w:rStyle w:val="default"/>
          <w:rFonts w:cs="FrankRuehl"/>
          <w:rtl/>
        </w:rPr>
      </w:pPr>
      <w:bookmarkStart w:id="9" w:name="Seif7"/>
      <w:bookmarkEnd w:id="9"/>
      <w:r>
        <w:rPr>
          <w:lang w:val="he-IL"/>
        </w:rPr>
        <w:pict>
          <v:rect id="_x0000_s1032" style="position:absolute;left:0;text-align:left;margin-left:464.5pt;margin-top:8.05pt;width:75.05pt;height:16.6pt;z-index:251655168" o:allowincell="f" filled="f" stroked="f" strokecolor="lime" strokeweight=".25pt">
            <v:textbox inset="0,0,0,0">
              <w:txbxContent>
                <w:p w:rsidR="00794824" w:rsidRDefault="00794824">
                  <w:pPr>
                    <w:spacing w:line="160" w:lineRule="exact"/>
                    <w:jc w:val="left"/>
                    <w:rPr>
                      <w:rFonts w:cs="Miriam"/>
                      <w:noProof/>
                      <w:sz w:val="18"/>
                      <w:szCs w:val="18"/>
                      <w:rtl/>
                    </w:rPr>
                  </w:pPr>
                  <w:r>
                    <w:rPr>
                      <w:rFonts w:cs="Miriam"/>
                      <w:sz w:val="18"/>
                      <w:szCs w:val="18"/>
                      <w:rtl/>
                    </w:rPr>
                    <w:t>סד</w:t>
                  </w:r>
                  <w:r>
                    <w:rPr>
                      <w:rFonts w:cs="Miriam" w:hint="cs"/>
                      <w:sz w:val="18"/>
                      <w:szCs w:val="18"/>
                      <w:rtl/>
                    </w:rPr>
                    <w:t>רי דין</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משפט רשאי לתת צו מניעת הטרדה מאיימת במעמד צד אחד, אם הוא סבור כי הדבר דרוש לשם הגנה מיידית על שלומו של הנפגע, או כשהמשיב הוזמן כדין ולא התייצב לדיון.</w:t>
      </w:r>
    </w:p>
    <w:p w:rsidR="00794824" w:rsidRDefault="0079482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יתן צו מניעת הטרדה מאיימת במעמד צד אחד, יתקיים הדיון בנוכחות שני הצדדים בהקדם האפשרי ולא </w:t>
      </w:r>
      <w:r>
        <w:rPr>
          <w:rStyle w:val="default"/>
          <w:rFonts w:cs="FrankRuehl"/>
          <w:rtl/>
        </w:rPr>
        <w:t>יא</w:t>
      </w:r>
      <w:r>
        <w:rPr>
          <w:rStyle w:val="default"/>
          <w:rFonts w:cs="FrankRuehl" w:hint="cs"/>
          <w:rtl/>
        </w:rPr>
        <w:t>וחר משבעה ימים מיום מתן הצו.</w:t>
      </w:r>
    </w:p>
    <w:p w:rsidR="00794824" w:rsidRDefault="0079482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קבע דיון כאמור בסעיף קטן (ב), רשאי בית המשפט להאריך את תוקפו של הצו, לבטלו או להכניס בו שינויים, אף אם מי שמחויב בצו לא התייצב לדיון.</w:t>
      </w:r>
    </w:p>
    <w:p w:rsidR="00794824" w:rsidRDefault="00794824">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ד</w:t>
      </w:r>
      <w:r>
        <w:rPr>
          <w:rStyle w:val="default"/>
          <w:rFonts w:cs="FrankRuehl" w:hint="cs"/>
          <w:rtl/>
        </w:rPr>
        <w:t>יון בבקשה לפי סעיף 5(</w:t>
      </w:r>
      <w:r>
        <w:rPr>
          <w:rStyle w:val="default"/>
          <w:rFonts w:cs="FrankRuehl"/>
          <w:rtl/>
        </w:rPr>
        <w:t>ב</w:t>
      </w:r>
      <w:r>
        <w:rPr>
          <w:rStyle w:val="default"/>
          <w:rFonts w:cs="FrankRuehl" w:hint="cs"/>
          <w:rtl/>
        </w:rPr>
        <w:t>)(3) יתקיים במעמד שני הצדדים ובמעמד נציג בעל הרישיון המיו</w:t>
      </w:r>
      <w:r>
        <w:rPr>
          <w:rStyle w:val="default"/>
          <w:rFonts w:cs="FrankRuehl"/>
          <w:rtl/>
        </w:rPr>
        <w:t>חד</w:t>
      </w:r>
      <w:r>
        <w:rPr>
          <w:rStyle w:val="default"/>
          <w:rFonts w:cs="FrankRuehl" w:hint="cs"/>
          <w:rtl/>
        </w:rPr>
        <w:t>, המפעל הראוי או רשות הביטחון, לפי הענין.</w:t>
      </w:r>
    </w:p>
    <w:p w:rsidR="00794824" w:rsidRDefault="00794824">
      <w:pPr>
        <w:pStyle w:val="P00"/>
        <w:spacing w:before="72"/>
        <w:ind w:left="0" w:right="1134"/>
        <w:rPr>
          <w:rStyle w:val="default"/>
          <w:rFonts w:cs="FrankRuehl" w:hint="cs"/>
          <w:rtl/>
        </w:rPr>
      </w:pPr>
      <w:r>
        <w:rPr>
          <w:rFonts w:cs="FrankRuehl"/>
          <w:rtl/>
          <w:lang w:val="he-IL"/>
        </w:rPr>
        <w:pict>
          <v:shape id="_x0000_s1040" type="#_x0000_t202" style="position:absolute;left:0;text-align:left;margin-left:470.25pt;margin-top:7.1pt;width:1in;height:21.9pt;z-index:251663360" filled="f" stroked="f">
            <v:textbox inset="1mm,0,1mm,0">
              <w:txbxContent>
                <w:p w:rsidR="00794824" w:rsidRDefault="00794824">
                  <w:pPr>
                    <w:spacing w:line="160" w:lineRule="exact"/>
                    <w:jc w:val="left"/>
                    <w:rPr>
                      <w:rFonts w:cs="Miriam" w:hint="cs"/>
                      <w:noProof/>
                      <w:sz w:val="18"/>
                      <w:szCs w:val="18"/>
                      <w:rtl/>
                    </w:rPr>
                  </w:pPr>
                  <w:r>
                    <w:rPr>
                      <w:rFonts w:cs="Miriam" w:hint="cs"/>
                      <w:sz w:val="18"/>
                      <w:szCs w:val="18"/>
                      <w:rtl/>
                    </w:rPr>
                    <w:t>(תיקון מס' 1) תשס"ח-2008</w:t>
                  </w:r>
                </w:p>
              </w:txbxContent>
            </v:textbox>
          </v:shape>
        </w:pict>
      </w:r>
      <w:r>
        <w:rPr>
          <w:rStyle w:val="default"/>
          <w:rFonts w:cs="FrankRuehl" w:hint="cs"/>
          <w:rtl/>
        </w:rPr>
        <w:tab/>
        <w:t>(ה)</w:t>
      </w:r>
      <w:r>
        <w:rPr>
          <w:rStyle w:val="default"/>
          <w:rFonts w:cs="FrankRuehl" w:hint="cs"/>
          <w:rtl/>
        </w:rPr>
        <w:tab/>
        <w:t>בית המשפט לא ידחה בקשה למתן צו מניעת הטרדה מאיימת אלא לאחר שנתן למבקש או לבא כוחו הזדמנות להשמיע את טענותיו בעל פה, אלא אם כן ראה שמתקיימות נסיבות חריגות ומטעמים שיירשמו.</w:t>
      </w:r>
    </w:p>
    <w:p w:rsidR="00794824" w:rsidRPr="00151A2F" w:rsidRDefault="00794824">
      <w:pPr>
        <w:pStyle w:val="P22"/>
        <w:spacing w:before="0"/>
        <w:ind w:left="0" w:right="1134"/>
        <w:rPr>
          <w:rStyle w:val="default"/>
          <w:rFonts w:cs="FrankRuehl" w:hint="cs"/>
          <w:vanish/>
          <w:color w:val="FF0000"/>
          <w:szCs w:val="20"/>
          <w:shd w:val="clear" w:color="auto" w:fill="FFFF99"/>
          <w:rtl/>
        </w:rPr>
      </w:pPr>
      <w:bookmarkStart w:id="10" w:name="Rov15"/>
      <w:r w:rsidRPr="00151A2F">
        <w:rPr>
          <w:rStyle w:val="default"/>
          <w:rFonts w:cs="FrankRuehl" w:hint="cs"/>
          <w:vanish/>
          <w:color w:val="FF0000"/>
          <w:szCs w:val="20"/>
          <w:shd w:val="clear" w:color="auto" w:fill="FFFF99"/>
          <w:rtl/>
        </w:rPr>
        <w:t>מיום 9.3.2008</w:t>
      </w:r>
    </w:p>
    <w:p w:rsidR="00794824" w:rsidRPr="00151A2F" w:rsidRDefault="00794824">
      <w:pPr>
        <w:pStyle w:val="P22"/>
        <w:spacing w:before="0"/>
        <w:ind w:left="0" w:right="1134"/>
        <w:rPr>
          <w:rStyle w:val="default"/>
          <w:rFonts w:cs="FrankRuehl" w:hint="cs"/>
          <w:vanish/>
          <w:szCs w:val="20"/>
          <w:shd w:val="clear" w:color="auto" w:fill="FFFF99"/>
          <w:rtl/>
        </w:rPr>
      </w:pPr>
      <w:r w:rsidRPr="00151A2F">
        <w:rPr>
          <w:rStyle w:val="default"/>
          <w:rFonts w:cs="FrankRuehl" w:hint="cs"/>
          <w:b/>
          <w:bCs/>
          <w:vanish/>
          <w:szCs w:val="20"/>
          <w:shd w:val="clear" w:color="auto" w:fill="FFFF99"/>
          <w:rtl/>
        </w:rPr>
        <w:t>תיקון מס' 1</w:t>
      </w:r>
    </w:p>
    <w:p w:rsidR="00794824" w:rsidRPr="00151A2F" w:rsidRDefault="00794824">
      <w:pPr>
        <w:pStyle w:val="P22"/>
        <w:spacing w:before="0"/>
        <w:ind w:left="0" w:right="1134"/>
        <w:rPr>
          <w:rStyle w:val="default"/>
          <w:rFonts w:cs="FrankRuehl" w:hint="cs"/>
          <w:vanish/>
          <w:szCs w:val="20"/>
          <w:shd w:val="clear" w:color="auto" w:fill="FFFF99"/>
          <w:rtl/>
        </w:rPr>
      </w:pPr>
      <w:hyperlink r:id="rId12" w:history="1">
        <w:r w:rsidRPr="00151A2F">
          <w:rPr>
            <w:rStyle w:val="Hyperlink"/>
            <w:rFonts w:cs="FrankRuehl" w:hint="cs"/>
            <w:vanish/>
            <w:szCs w:val="20"/>
            <w:shd w:val="clear" w:color="auto" w:fill="FFFF99"/>
            <w:rtl/>
          </w:rPr>
          <w:t>ס"ח תשס"ח מס' 2137</w:t>
        </w:r>
      </w:hyperlink>
      <w:r w:rsidRPr="00151A2F">
        <w:rPr>
          <w:rStyle w:val="default"/>
          <w:rFonts w:cs="FrankRuehl" w:hint="cs"/>
          <w:vanish/>
          <w:szCs w:val="20"/>
          <w:shd w:val="clear" w:color="auto" w:fill="FFFF99"/>
          <w:rtl/>
        </w:rPr>
        <w:t xml:space="preserve"> מיום 9.3.2008 עמ' 244 (</w:t>
      </w:r>
      <w:hyperlink r:id="rId13" w:history="1">
        <w:r w:rsidRPr="00151A2F">
          <w:rPr>
            <w:rStyle w:val="Hyperlink"/>
            <w:rFonts w:cs="FrankRuehl" w:hint="cs"/>
            <w:vanish/>
            <w:szCs w:val="20"/>
            <w:shd w:val="clear" w:color="auto" w:fill="FFFF99"/>
            <w:rtl/>
          </w:rPr>
          <w:t>ה"ח 198</w:t>
        </w:r>
      </w:hyperlink>
      <w:r w:rsidRPr="00151A2F">
        <w:rPr>
          <w:rStyle w:val="default"/>
          <w:rFonts w:cs="FrankRuehl" w:hint="cs"/>
          <w:vanish/>
          <w:szCs w:val="20"/>
          <w:shd w:val="clear" w:color="auto" w:fill="FFFF99"/>
          <w:rtl/>
        </w:rPr>
        <w:t>)</w:t>
      </w:r>
    </w:p>
    <w:p w:rsidR="00794824" w:rsidRDefault="00794824">
      <w:pPr>
        <w:pStyle w:val="P22"/>
        <w:spacing w:before="0"/>
        <w:ind w:left="0" w:right="1134"/>
        <w:rPr>
          <w:rStyle w:val="default"/>
          <w:rFonts w:cs="FrankRuehl" w:hint="cs"/>
          <w:sz w:val="2"/>
          <w:szCs w:val="2"/>
          <w:shd w:val="clear" w:color="auto" w:fill="FFFF99"/>
          <w:rtl/>
        </w:rPr>
      </w:pPr>
      <w:r w:rsidRPr="00151A2F">
        <w:rPr>
          <w:rStyle w:val="default"/>
          <w:rFonts w:cs="FrankRuehl" w:hint="cs"/>
          <w:b/>
          <w:bCs/>
          <w:vanish/>
          <w:szCs w:val="20"/>
          <w:shd w:val="clear" w:color="auto" w:fill="FFFF99"/>
          <w:rtl/>
        </w:rPr>
        <w:t>הוספת סעיף קטן 7(ה)</w:t>
      </w:r>
      <w:bookmarkEnd w:id="10"/>
    </w:p>
    <w:p w:rsidR="00794824" w:rsidRDefault="00794824">
      <w:pPr>
        <w:pStyle w:val="P00"/>
        <w:spacing w:before="72"/>
        <w:ind w:left="0" w:right="1134"/>
        <w:rPr>
          <w:rStyle w:val="default"/>
          <w:rFonts w:cs="FrankRuehl"/>
          <w:rtl/>
        </w:rPr>
      </w:pPr>
      <w:bookmarkStart w:id="11" w:name="Seif8"/>
      <w:bookmarkEnd w:id="11"/>
      <w:r>
        <w:rPr>
          <w:lang w:val="he-IL"/>
        </w:rPr>
        <w:pict>
          <v:rect id="_x0000_s1033" style="position:absolute;left:0;text-align:left;margin-left:464.5pt;margin-top:8.05pt;width:75.05pt;height:18.1pt;z-index:251656192" o:allowincell="f" filled="f" stroked="f" strokecolor="lime" strokeweight=".25pt">
            <v:textbox inset="0,0,0,0">
              <w:txbxContent>
                <w:p w:rsidR="00794824" w:rsidRDefault="00794824">
                  <w:pPr>
                    <w:spacing w:line="160" w:lineRule="exact"/>
                    <w:jc w:val="left"/>
                    <w:rPr>
                      <w:rFonts w:cs="Miriam"/>
                      <w:noProof/>
                      <w:sz w:val="18"/>
                      <w:szCs w:val="18"/>
                      <w:rtl/>
                    </w:rPr>
                  </w:pPr>
                  <w:r>
                    <w:rPr>
                      <w:rFonts w:cs="Miriam"/>
                      <w:sz w:val="18"/>
                      <w:szCs w:val="18"/>
                      <w:rtl/>
                    </w:rPr>
                    <w:t>הפ</w:t>
                  </w:r>
                  <w:r>
                    <w:rPr>
                      <w:rFonts w:cs="Miriam" w:hint="cs"/>
                      <w:sz w:val="18"/>
                      <w:szCs w:val="18"/>
                      <w:rtl/>
                    </w:rPr>
                    <w:t>רת צו</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וגשה תלונה במשטרה על הפרת צו מניעת הטרדה מאיימת רשאי שוטר לעצור את המפר.</w:t>
      </w:r>
    </w:p>
    <w:p w:rsidR="00794824" w:rsidRDefault="0079482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תהא זו הגנה טובה למי שהפר את צו מניעת הטרדה מאיימת, שה</w:t>
      </w:r>
      <w:r>
        <w:rPr>
          <w:rStyle w:val="default"/>
          <w:rFonts w:cs="FrankRuehl"/>
          <w:rtl/>
        </w:rPr>
        <w:t>נ</w:t>
      </w:r>
      <w:r>
        <w:rPr>
          <w:rStyle w:val="default"/>
          <w:rFonts w:cs="FrankRuehl" w:hint="cs"/>
          <w:rtl/>
        </w:rPr>
        <w:t>פגע או אדם אחר הקרוב לו, לא עמדו על קיומו או על הפעלת הוראות החוק ב</w:t>
      </w:r>
      <w:r>
        <w:rPr>
          <w:rStyle w:val="default"/>
          <w:rFonts w:cs="FrankRuehl"/>
          <w:rtl/>
        </w:rPr>
        <w:t>של</w:t>
      </w:r>
      <w:r>
        <w:rPr>
          <w:rStyle w:val="default"/>
          <w:rFonts w:cs="FrankRuehl" w:hint="cs"/>
          <w:rtl/>
        </w:rPr>
        <w:t xml:space="preserve"> הפרתו.</w:t>
      </w:r>
    </w:p>
    <w:p w:rsidR="00794824" w:rsidRDefault="00794824">
      <w:pPr>
        <w:pStyle w:val="P00"/>
        <w:spacing w:before="72"/>
        <w:ind w:left="0" w:right="1134"/>
        <w:rPr>
          <w:rStyle w:val="default"/>
          <w:rFonts w:cs="FrankRuehl"/>
          <w:rtl/>
        </w:rPr>
      </w:pPr>
      <w:bookmarkStart w:id="12" w:name="Seif9"/>
      <w:bookmarkEnd w:id="12"/>
      <w:r>
        <w:rPr>
          <w:lang w:val="he-IL"/>
        </w:rPr>
        <w:pict>
          <v:rect id="_x0000_s1034" style="position:absolute;left:0;text-align:left;margin-left:464.5pt;margin-top:8.05pt;width:75.05pt;height:21.15pt;z-index:251657216" o:allowincell="f" filled="f" stroked="f" strokecolor="lime" strokeweight=".25pt">
            <v:textbox inset="0,0,0,0">
              <w:txbxContent>
                <w:p w:rsidR="00794824" w:rsidRDefault="00794824">
                  <w:pPr>
                    <w:spacing w:line="160" w:lineRule="exact"/>
                    <w:jc w:val="left"/>
                    <w:rPr>
                      <w:rFonts w:cs="Miriam"/>
                      <w:noProof/>
                      <w:sz w:val="18"/>
                      <w:szCs w:val="18"/>
                      <w:rtl/>
                    </w:rPr>
                  </w:pPr>
                  <w:r>
                    <w:rPr>
                      <w:rFonts w:cs="Miriam"/>
                      <w:sz w:val="18"/>
                      <w:szCs w:val="18"/>
                      <w:rtl/>
                    </w:rPr>
                    <w:t>הו</w:t>
                  </w:r>
                  <w:r>
                    <w:rPr>
                      <w:rFonts w:cs="Miriam" w:hint="cs"/>
                      <w:sz w:val="18"/>
                      <w:szCs w:val="18"/>
                      <w:rtl/>
                    </w:rPr>
                    <w:t>צאות ופיצויים בפניית סרק</w:t>
                  </w:r>
                </w:p>
              </w:txbxContent>
            </v:textbox>
            <w10:anchorlock/>
          </v:rect>
        </w:pict>
      </w:r>
      <w:r>
        <w:rPr>
          <w:rStyle w:val="big-number"/>
          <w:rFonts w:cs="Miriam"/>
          <w:rtl/>
        </w:rPr>
        <w:t>9.</w:t>
      </w:r>
      <w:r>
        <w:rPr>
          <w:rStyle w:val="big-number"/>
          <w:rFonts w:cs="Miriam"/>
          <w:rtl/>
        </w:rPr>
        <w:tab/>
      </w:r>
      <w:r>
        <w:rPr>
          <w:rStyle w:val="default"/>
          <w:rFonts w:cs="FrankRuehl"/>
          <w:rtl/>
        </w:rPr>
        <w:t>דח</w:t>
      </w:r>
      <w:r>
        <w:rPr>
          <w:rStyle w:val="default"/>
          <w:rFonts w:cs="FrankRuehl" w:hint="cs"/>
          <w:rtl/>
        </w:rPr>
        <w:t>ה בית משפט בקשה למתן צו מניעת הטרדה מאיימת וקבע כי היא קנטרנית, רשאי הוא להטיל על מי שביקש את הצו את אלה או חלק מהם:</w:t>
      </w:r>
    </w:p>
    <w:p w:rsidR="00794824" w:rsidRDefault="00794824">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וצאות לטובת המדינה ולטובת צד שנפגע, בשיעור שימצא לנכון;</w:t>
      </w:r>
    </w:p>
    <w:p w:rsidR="00794824" w:rsidRDefault="00794824">
      <w:pPr>
        <w:pStyle w:val="P11"/>
        <w:spacing w:before="72"/>
        <w:ind w:left="624"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יצוי נאות למי שנפגע מהגש</w:t>
      </w:r>
      <w:r>
        <w:rPr>
          <w:rStyle w:val="default"/>
          <w:rFonts w:cs="FrankRuehl"/>
          <w:rtl/>
        </w:rPr>
        <w:t xml:space="preserve">ת </w:t>
      </w:r>
      <w:r>
        <w:rPr>
          <w:rStyle w:val="default"/>
          <w:rFonts w:cs="FrankRuehl" w:hint="cs"/>
          <w:rtl/>
        </w:rPr>
        <w:t>הבקשה.</w:t>
      </w:r>
    </w:p>
    <w:p w:rsidR="00794824" w:rsidRDefault="00794824">
      <w:pPr>
        <w:pStyle w:val="P00"/>
        <w:spacing w:before="72"/>
        <w:ind w:left="0" w:right="1134"/>
        <w:rPr>
          <w:rStyle w:val="default"/>
          <w:rFonts w:cs="FrankRuehl"/>
          <w:rtl/>
        </w:rPr>
      </w:pPr>
      <w:bookmarkStart w:id="13" w:name="Seif10"/>
      <w:bookmarkEnd w:id="13"/>
      <w:r>
        <w:rPr>
          <w:lang w:val="he-IL"/>
        </w:rPr>
        <w:pict>
          <v:rect id="_x0000_s1035" style="position:absolute;left:0;text-align:left;margin-left:464.5pt;margin-top:8.05pt;width:75.05pt;height:14.4pt;z-index:251658240" o:allowincell="f" filled="f" stroked="f" strokecolor="lime" strokeweight=".25pt">
            <v:textbox inset="0,0,0,0">
              <w:txbxContent>
                <w:p w:rsidR="00794824" w:rsidRDefault="00794824">
                  <w:pPr>
                    <w:spacing w:line="160" w:lineRule="exact"/>
                    <w:jc w:val="left"/>
                    <w:rPr>
                      <w:rFonts w:cs="Miriam"/>
                      <w:noProof/>
                      <w:sz w:val="18"/>
                      <w:szCs w:val="18"/>
                      <w:rtl/>
                    </w:rPr>
                  </w:pPr>
                  <w:r>
                    <w:rPr>
                      <w:rFonts w:cs="Miriam"/>
                      <w:sz w:val="18"/>
                      <w:szCs w:val="18"/>
                      <w:rtl/>
                    </w:rPr>
                    <w:t>סמ</w:t>
                  </w:r>
                  <w:r>
                    <w:rPr>
                      <w:rFonts w:cs="Miriam" w:hint="cs"/>
                      <w:sz w:val="18"/>
                      <w:szCs w:val="18"/>
                      <w:rtl/>
                    </w:rPr>
                    <w:t>כות</w:t>
                  </w:r>
                </w:p>
              </w:txbxContent>
            </v:textbox>
            <w10:anchorlock/>
          </v:rect>
        </w:pict>
      </w:r>
      <w:r>
        <w:rPr>
          <w:rStyle w:val="big-number"/>
          <w:rFonts w:cs="Miriam"/>
          <w:rtl/>
        </w:rPr>
        <w:t>10.</w:t>
      </w:r>
      <w:r>
        <w:rPr>
          <w:rStyle w:val="big-number"/>
          <w:rFonts w:cs="Miriam"/>
          <w:rtl/>
        </w:rPr>
        <w:tab/>
      </w:r>
      <w:r>
        <w:rPr>
          <w:rStyle w:val="default"/>
          <w:rFonts w:cs="FrankRuehl"/>
          <w:rtl/>
        </w:rPr>
        <w:t>בה</w:t>
      </w:r>
      <w:r>
        <w:rPr>
          <w:rStyle w:val="default"/>
          <w:rFonts w:cs="FrankRuehl" w:hint="cs"/>
          <w:rtl/>
        </w:rPr>
        <w:t>ליך על פי חוק זה בית משפט לא יימנע מלדון או מלהחליט בבקשה לתת צו לפי סעיף 4, מחמת זה בלבד שהענין מתברר בהליך אחר, שנטענה טענה של העדר סמכות מקומית או שאדם התנה על זכותו על פי חוק.</w:t>
      </w:r>
    </w:p>
    <w:p w:rsidR="00794824" w:rsidRDefault="00794824">
      <w:pPr>
        <w:pStyle w:val="P00"/>
        <w:spacing w:before="72"/>
        <w:ind w:left="0" w:right="1134"/>
        <w:rPr>
          <w:rStyle w:val="default"/>
          <w:rFonts w:cs="FrankRuehl"/>
          <w:rtl/>
        </w:rPr>
      </w:pPr>
      <w:bookmarkStart w:id="14" w:name="Seif11"/>
      <w:bookmarkEnd w:id="14"/>
      <w:r>
        <w:rPr>
          <w:lang w:val="he-IL"/>
        </w:rPr>
        <w:pict>
          <v:rect id="_x0000_s1036" style="position:absolute;left:0;text-align:left;margin-left:464.5pt;margin-top:8.05pt;width:75.05pt;height:13.9pt;z-index:251659264" o:allowincell="f" filled="f" stroked="f" strokecolor="lime" strokeweight=".25pt">
            <v:textbox inset="0,0,0,0">
              <w:txbxContent>
                <w:p w:rsidR="00794824" w:rsidRDefault="00794824">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11.</w:t>
      </w:r>
      <w:r>
        <w:rPr>
          <w:rStyle w:val="big-number"/>
          <w:rFonts w:cs="Miriam"/>
          <w:rtl/>
        </w:rPr>
        <w:tab/>
      </w:r>
      <w:r>
        <w:rPr>
          <w:rStyle w:val="default"/>
          <w:rFonts w:cs="FrankRuehl"/>
          <w:rtl/>
        </w:rPr>
        <w:t>הו</w:t>
      </w:r>
      <w:r>
        <w:rPr>
          <w:rStyle w:val="default"/>
          <w:rFonts w:cs="FrankRuehl" w:hint="cs"/>
          <w:rtl/>
        </w:rPr>
        <w:t>ראות חוק זה באות להוסיף על הוראות כל דין ולא לגרוע מה</w:t>
      </w:r>
      <w:r>
        <w:rPr>
          <w:rStyle w:val="default"/>
          <w:rFonts w:cs="FrankRuehl"/>
          <w:rtl/>
        </w:rPr>
        <w:t>ן.</w:t>
      </w:r>
    </w:p>
    <w:p w:rsidR="00794824" w:rsidRDefault="00794824">
      <w:pPr>
        <w:pStyle w:val="P00"/>
        <w:spacing w:before="72"/>
        <w:ind w:left="0" w:right="1134"/>
        <w:rPr>
          <w:rStyle w:val="default"/>
          <w:rFonts w:cs="FrankRuehl"/>
          <w:rtl/>
        </w:rPr>
      </w:pPr>
      <w:bookmarkStart w:id="15" w:name="Seif12"/>
      <w:bookmarkEnd w:id="15"/>
      <w:r>
        <w:rPr>
          <w:lang w:val="he-IL"/>
        </w:rPr>
        <w:pict>
          <v:rect id="_x0000_s1037" style="position:absolute;left:0;text-align:left;margin-left:464.5pt;margin-top:8.05pt;width:75.05pt;height:10.75pt;z-index:251660288" o:allowincell="f" filled="f" stroked="f" strokecolor="lime" strokeweight=".25pt">
            <v:textbox inset="0,0,0,0">
              <w:txbxContent>
                <w:p w:rsidR="00794824" w:rsidRDefault="00794824">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12.</w:t>
      </w:r>
      <w:r>
        <w:rPr>
          <w:rStyle w:val="big-number"/>
          <w:rFonts w:cs="Miriam"/>
          <w:rtl/>
        </w:rPr>
        <w:tab/>
      </w:r>
      <w:r>
        <w:rPr>
          <w:rStyle w:val="default"/>
          <w:rFonts w:cs="FrankRuehl"/>
          <w:rtl/>
        </w:rPr>
        <w:t>שר</w:t>
      </w:r>
      <w:r>
        <w:rPr>
          <w:rStyle w:val="default"/>
          <w:rFonts w:cs="FrankRuehl" w:hint="cs"/>
          <w:rtl/>
        </w:rPr>
        <w:t xml:space="preserve"> המשפטים ממונה על ביצוע חוק זה והוא רשאי להתקין, באישור הועדה לקידום מעמד האישה של הכנסת, תקנות בכל הנוגע לביצוע</w:t>
      </w:r>
      <w:r>
        <w:rPr>
          <w:rStyle w:val="default"/>
          <w:rFonts w:cs="FrankRuehl"/>
          <w:rtl/>
        </w:rPr>
        <w:t>ו</w:t>
      </w:r>
      <w:r>
        <w:rPr>
          <w:rStyle w:val="default"/>
          <w:rFonts w:cs="FrankRuehl" w:hint="cs"/>
          <w:rtl/>
        </w:rPr>
        <w:t>.</w:t>
      </w:r>
    </w:p>
    <w:p w:rsidR="00794824" w:rsidRDefault="00794824">
      <w:pPr>
        <w:pStyle w:val="P00"/>
        <w:spacing w:before="72"/>
        <w:ind w:left="0" w:right="1134"/>
        <w:rPr>
          <w:rStyle w:val="default"/>
          <w:rFonts w:cs="FrankRuehl" w:hint="cs"/>
          <w:rtl/>
        </w:rPr>
      </w:pPr>
      <w:bookmarkStart w:id="16" w:name="Seif13"/>
      <w:bookmarkEnd w:id="16"/>
      <w:r>
        <w:rPr>
          <w:lang w:val="he-IL"/>
        </w:rPr>
        <w:pict>
          <v:rect id="_x0000_s1038" style="position:absolute;left:0;text-align:left;margin-left:464.5pt;margin-top:8.05pt;width:75.05pt;height:33.75pt;z-index:251661312" o:allowincell="f" filled="f" stroked="f" strokecolor="lime" strokeweight=".25pt">
            <v:textbox inset="0,0,0,0">
              <w:txbxContent>
                <w:p w:rsidR="00794824" w:rsidRDefault="00794824">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הנוער (טיפול והשגחה) </w:t>
                  </w:r>
                  <w:r>
                    <w:rPr>
                      <w:rFonts w:cs="Miriam"/>
                      <w:sz w:val="18"/>
                      <w:szCs w:val="18"/>
                      <w:rtl/>
                    </w:rPr>
                    <w:t xml:space="preserve">– </w:t>
                  </w:r>
                  <w:r>
                    <w:rPr>
                      <w:rFonts w:cs="Miriam" w:hint="cs"/>
                      <w:sz w:val="18"/>
                      <w:szCs w:val="18"/>
                      <w:rtl/>
                    </w:rPr>
                    <w:t>מס' 1</w:t>
                  </w:r>
                  <w:r>
                    <w:rPr>
                      <w:rFonts w:cs="Miriam"/>
                      <w:sz w:val="18"/>
                      <w:szCs w:val="18"/>
                      <w:rtl/>
                    </w:rPr>
                    <w:t>5</w:t>
                  </w:r>
                </w:p>
              </w:txbxContent>
            </v:textbox>
            <w10:anchorlock/>
          </v:rect>
        </w:pict>
      </w:r>
      <w:r>
        <w:rPr>
          <w:rStyle w:val="big-number"/>
          <w:rFonts w:cs="Miriam"/>
          <w:rtl/>
        </w:rPr>
        <w:t>13.</w:t>
      </w:r>
      <w:r>
        <w:rPr>
          <w:rStyle w:val="big-number"/>
          <w:rFonts w:cs="Miriam"/>
          <w:rtl/>
        </w:rPr>
        <w:tab/>
      </w:r>
      <w:r>
        <w:rPr>
          <w:rStyle w:val="default"/>
          <w:rFonts w:cs="FrankRuehl"/>
          <w:rtl/>
        </w:rPr>
        <w:t>בח</w:t>
      </w:r>
      <w:r>
        <w:rPr>
          <w:rStyle w:val="default"/>
          <w:rFonts w:cs="FrankRuehl" w:hint="cs"/>
          <w:rtl/>
        </w:rPr>
        <w:t xml:space="preserve">וק הנוער (טיפול והשגחה), בסעיף 3א </w:t>
      </w:r>
      <w:r>
        <w:rPr>
          <w:rStyle w:val="default"/>
          <w:rFonts w:cs="FrankRuehl"/>
          <w:rtl/>
        </w:rPr>
        <w:t>–</w:t>
      </w:r>
    </w:p>
    <w:p w:rsidR="00794824" w:rsidRDefault="00794824">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כותרת השוליים, אחרי "צו הגנה" יבוא "וצו למניעת הטרדה מאיימת";</w:t>
      </w:r>
    </w:p>
    <w:p w:rsidR="00794824" w:rsidRDefault="00794824">
      <w:pPr>
        <w:pStyle w:val="P11"/>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סופו יבוא "וכן ל</w:t>
      </w:r>
      <w:r>
        <w:rPr>
          <w:rStyle w:val="default"/>
          <w:rFonts w:cs="FrankRuehl"/>
          <w:rtl/>
        </w:rPr>
        <w:t>תת</w:t>
      </w:r>
      <w:r>
        <w:rPr>
          <w:rStyle w:val="default"/>
          <w:rFonts w:cs="FrankRuehl" w:hint="cs"/>
          <w:rtl/>
        </w:rPr>
        <w:t xml:space="preserve"> צו מניעת הטרדה מאיימת על פי חוק מניעת הטרדה מאיימת, תשס"ב-</w:t>
      </w:r>
      <w:r>
        <w:rPr>
          <w:rStyle w:val="default"/>
          <w:rFonts w:cs="FrankRuehl"/>
          <w:rtl/>
        </w:rPr>
        <w:t xml:space="preserve">2001". </w:t>
      </w:r>
    </w:p>
    <w:p w:rsidR="00794824" w:rsidRDefault="00794824">
      <w:pPr>
        <w:pStyle w:val="P00"/>
        <w:spacing w:before="72"/>
        <w:ind w:left="0" w:right="1134"/>
        <w:rPr>
          <w:rStyle w:val="default"/>
          <w:rFonts w:cs="FrankRuehl" w:hint="cs"/>
          <w:rtl/>
        </w:rPr>
      </w:pPr>
      <w:bookmarkStart w:id="17" w:name="Seif14"/>
      <w:bookmarkEnd w:id="17"/>
      <w:r>
        <w:rPr>
          <w:lang w:val="he-IL"/>
        </w:rPr>
        <w:pict>
          <v:rect id="_x0000_s1039" style="position:absolute;left:0;text-align:left;margin-left:464.5pt;margin-top:8.05pt;width:75.05pt;height:29.3pt;z-index:251662336" o:allowincell="f" filled="f" stroked="f" strokecolor="lime" strokeweight=".25pt">
            <v:textbox inset="0,0,0,0">
              <w:txbxContent>
                <w:p w:rsidR="00794824" w:rsidRDefault="00794824">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למ</w:t>
                  </w:r>
                  <w:r>
                    <w:rPr>
                      <w:rFonts w:cs="Miriam" w:hint="cs"/>
                      <w:sz w:val="18"/>
                      <w:szCs w:val="18"/>
                      <w:rtl/>
                    </w:rPr>
                    <w:t xml:space="preserve">ניעת אלימות במשפחה </w:t>
                  </w:r>
                  <w:r>
                    <w:rPr>
                      <w:rFonts w:cs="Miriam"/>
                      <w:sz w:val="18"/>
                      <w:szCs w:val="18"/>
                      <w:rtl/>
                    </w:rPr>
                    <w:t>–</w:t>
                  </w:r>
                  <w:r>
                    <w:rPr>
                      <w:rFonts w:cs="Miriam" w:hint="cs"/>
                      <w:sz w:val="18"/>
                      <w:szCs w:val="18"/>
                      <w:rtl/>
                    </w:rPr>
                    <w:t xml:space="preserve"> </w:t>
                  </w:r>
                  <w:r>
                    <w:rPr>
                      <w:rFonts w:cs="Miriam"/>
                      <w:sz w:val="18"/>
                      <w:szCs w:val="18"/>
                      <w:rtl/>
                    </w:rPr>
                    <w:t>מס</w:t>
                  </w:r>
                  <w:r>
                    <w:rPr>
                      <w:rFonts w:cs="Miriam" w:hint="cs"/>
                      <w:sz w:val="18"/>
                      <w:szCs w:val="18"/>
                      <w:rtl/>
                    </w:rPr>
                    <w:t>' 6</w:t>
                  </w:r>
                </w:p>
              </w:txbxContent>
            </v:textbox>
            <w10:anchorlock/>
          </v:rect>
        </w:pict>
      </w:r>
      <w:r>
        <w:rPr>
          <w:rStyle w:val="big-number"/>
          <w:rFonts w:cs="Miriam"/>
          <w:rtl/>
        </w:rPr>
        <w:t>14.</w:t>
      </w:r>
      <w:r>
        <w:rPr>
          <w:rStyle w:val="big-number"/>
          <w:rFonts w:cs="Miriam"/>
          <w:rtl/>
        </w:rPr>
        <w:tab/>
      </w:r>
      <w:r>
        <w:rPr>
          <w:rStyle w:val="default"/>
          <w:rFonts w:cs="FrankRuehl"/>
          <w:rtl/>
        </w:rPr>
        <w:t>בח</w:t>
      </w:r>
      <w:r>
        <w:rPr>
          <w:rStyle w:val="default"/>
          <w:rFonts w:cs="FrankRuehl" w:hint="cs"/>
          <w:rtl/>
        </w:rPr>
        <w:t xml:space="preserve">וק למניעת אלימות במשפחה </w:t>
      </w:r>
      <w:r>
        <w:rPr>
          <w:rStyle w:val="default"/>
          <w:rFonts w:cs="FrankRuehl"/>
          <w:rtl/>
        </w:rPr>
        <w:t>–</w:t>
      </w:r>
    </w:p>
    <w:p w:rsidR="00794824" w:rsidRDefault="00794824">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סעיף 2, אחרי סעיף קטן (ח) יבוא:</w:t>
      </w:r>
    </w:p>
    <w:p w:rsidR="00794824" w:rsidRDefault="00794824">
      <w:pPr>
        <w:pStyle w:val="P22"/>
        <w:spacing w:before="72"/>
        <w:ind w:left="1021" w:right="1134"/>
        <w:rPr>
          <w:rStyle w:val="default"/>
          <w:rFonts w:cs="FrankRuehl"/>
          <w:rtl/>
        </w:rPr>
      </w:pPr>
      <w:r>
        <w:rPr>
          <w:rStyle w:val="default"/>
          <w:rFonts w:cs="FrankRuehl"/>
          <w:rtl/>
        </w:rPr>
        <w:t>"(ח</w:t>
      </w:r>
      <w:r>
        <w:rPr>
          <w:rStyle w:val="default"/>
          <w:rFonts w:cs="FrankRuehl" w:hint="cs"/>
          <w:rtl/>
        </w:rPr>
        <w:t xml:space="preserve">1) </w:t>
      </w:r>
      <w:r>
        <w:rPr>
          <w:rStyle w:val="default"/>
          <w:rFonts w:cs="FrankRuehl"/>
          <w:rtl/>
        </w:rPr>
        <w:t>בי</w:t>
      </w:r>
      <w:r>
        <w:rPr>
          <w:rStyle w:val="default"/>
          <w:rFonts w:cs="FrankRuehl" w:hint="cs"/>
          <w:rtl/>
        </w:rPr>
        <w:t>ת משפט הדן בבקשה למתן צו הגנה לפי הוראות חוק זה, רשאי לתת גם צו מניעת הטרדה מאיימת לאדם, לענין בן משפחתו, בהת</w:t>
      </w:r>
      <w:r>
        <w:rPr>
          <w:rStyle w:val="default"/>
          <w:rFonts w:cs="FrankRuehl"/>
          <w:rtl/>
        </w:rPr>
        <w:t>אם</w:t>
      </w:r>
      <w:r>
        <w:rPr>
          <w:rStyle w:val="default"/>
          <w:rFonts w:cs="FrankRuehl" w:hint="cs"/>
          <w:rtl/>
        </w:rPr>
        <w:t xml:space="preserve"> להוראות חוק מניעת הטרדה מאיימת, תשס"ב-</w:t>
      </w:r>
      <w:r>
        <w:rPr>
          <w:rStyle w:val="default"/>
          <w:rFonts w:cs="FrankRuehl"/>
          <w:rtl/>
        </w:rPr>
        <w:t xml:space="preserve">2001."; </w:t>
      </w:r>
    </w:p>
    <w:p w:rsidR="00794824" w:rsidRDefault="00794824">
      <w:pPr>
        <w:pStyle w:val="P11"/>
        <w:spacing w:before="72"/>
        <w:ind w:left="624"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מקום סעיף 10 יבוא:</w:t>
      </w:r>
    </w:p>
    <w:p w:rsidR="00151A2F" w:rsidRDefault="00794824" w:rsidP="00151A2F">
      <w:pPr>
        <w:pStyle w:val="P03"/>
        <w:spacing w:before="72"/>
        <w:ind w:left="1021" w:right="1134" w:firstLine="0"/>
        <w:rPr>
          <w:rFonts w:cs="FrankRuehl" w:hint="cs"/>
          <w:sz w:val="26"/>
          <w:rtl/>
        </w:rPr>
      </w:pPr>
      <w:r>
        <w:rPr>
          <w:rFonts w:cs="FrankRuehl"/>
          <w:sz w:val="26"/>
          <w:rtl/>
        </w:rPr>
        <w:t>"</w:t>
      </w:r>
      <w:r w:rsidRPr="00151A2F">
        <w:rPr>
          <w:rFonts w:cs="Miriam" w:hint="cs"/>
          <w:szCs w:val="20"/>
          <w:rtl/>
        </w:rPr>
        <w:t>סמכות</w:t>
      </w:r>
    </w:p>
    <w:p w:rsidR="00794824" w:rsidRDefault="00794824" w:rsidP="00151A2F">
      <w:pPr>
        <w:pStyle w:val="P03"/>
        <w:spacing w:before="72"/>
        <w:ind w:left="1021" w:right="1134" w:firstLine="0"/>
        <w:rPr>
          <w:rStyle w:val="default"/>
          <w:rFonts w:cs="FrankRuehl"/>
          <w:rtl/>
        </w:rPr>
      </w:pPr>
      <w:r>
        <w:rPr>
          <w:rStyle w:val="default"/>
          <w:rFonts w:cs="FrankRuehl"/>
          <w:rtl/>
        </w:rPr>
        <w:t>10.</w:t>
      </w:r>
      <w:r>
        <w:rPr>
          <w:rStyle w:val="default"/>
          <w:rFonts w:cs="FrankRuehl"/>
          <w:rtl/>
        </w:rPr>
        <w:tab/>
        <w:t>ב</w:t>
      </w:r>
      <w:r>
        <w:rPr>
          <w:rStyle w:val="default"/>
          <w:rFonts w:cs="FrankRuehl" w:hint="cs"/>
          <w:rtl/>
        </w:rPr>
        <w:t xml:space="preserve">הליך על פי חוק זה בית משפט לא יימנע מלדון או מלתת סעד בענין, מחמת זה בלבד שהענין מתברר בהליך אחר, שנטענה טענה של העדר סמכות מקומית </w:t>
      </w:r>
      <w:r>
        <w:rPr>
          <w:rStyle w:val="default"/>
          <w:rFonts w:cs="FrankRuehl"/>
          <w:rtl/>
        </w:rPr>
        <w:t>או</w:t>
      </w:r>
      <w:r>
        <w:rPr>
          <w:rStyle w:val="default"/>
          <w:rFonts w:cs="FrankRuehl" w:hint="cs"/>
          <w:rtl/>
        </w:rPr>
        <w:t xml:space="preserve"> שאדם התנה על זכותו על פי חוק."</w:t>
      </w:r>
    </w:p>
    <w:p w:rsidR="00794824" w:rsidRDefault="00794824">
      <w:pPr>
        <w:pStyle w:val="P00"/>
        <w:spacing w:before="72"/>
        <w:ind w:left="0" w:right="1134"/>
        <w:rPr>
          <w:rStyle w:val="default"/>
          <w:rFonts w:cs="FrankRuehl" w:hint="cs"/>
          <w:rtl/>
        </w:rPr>
      </w:pPr>
    </w:p>
    <w:p w:rsidR="00794824" w:rsidRDefault="00794824">
      <w:pPr>
        <w:pStyle w:val="P00"/>
        <w:spacing w:before="72"/>
        <w:ind w:left="0" w:right="1134"/>
        <w:rPr>
          <w:rStyle w:val="default"/>
          <w:rFonts w:cs="FrankRuehl" w:hint="cs"/>
          <w:rtl/>
        </w:rPr>
      </w:pPr>
    </w:p>
    <w:p w:rsidR="00794824" w:rsidRDefault="00794824" w:rsidP="00151A2F">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א</w:t>
      </w:r>
      <w:r>
        <w:rPr>
          <w:rFonts w:cs="FrankRuehl" w:hint="cs"/>
          <w:sz w:val="26"/>
          <w:szCs w:val="26"/>
          <w:rtl/>
        </w:rPr>
        <w:t>ר</w:t>
      </w:r>
      <w:r>
        <w:rPr>
          <w:rFonts w:cs="FrankRuehl"/>
          <w:sz w:val="26"/>
          <w:szCs w:val="26"/>
          <w:rtl/>
        </w:rPr>
        <w:t>י</w:t>
      </w:r>
      <w:r>
        <w:rPr>
          <w:rFonts w:cs="FrankRuehl" w:hint="cs"/>
          <w:sz w:val="26"/>
          <w:szCs w:val="26"/>
          <w:rtl/>
        </w:rPr>
        <w:t>אל שרון</w:t>
      </w:r>
      <w:r>
        <w:rPr>
          <w:rFonts w:cs="FrankRuehl"/>
          <w:sz w:val="26"/>
          <w:szCs w:val="26"/>
          <w:rtl/>
        </w:rPr>
        <w:tab/>
      </w:r>
      <w:r>
        <w:rPr>
          <w:rFonts w:cs="FrankRuehl"/>
          <w:sz w:val="26"/>
          <w:szCs w:val="26"/>
          <w:rtl/>
        </w:rPr>
        <w:tab/>
        <w:t>מ</w:t>
      </w:r>
      <w:r>
        <w:rPr>
          <w:rFonts w:cs="FrankRuehl" w:hint="cs"/>
          <w:sz w:val="26"/>
          <w:szCs w:val="26"/>
          <w:rtl/>
        </w:rPr>
        <w:t>איר שטרית</w:t>
      </w:r>
    </w:p>
    <w:p w:rsidR="00794824" w:rsidRDefault="00794824" w:rsidP="00151A2F">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 המשפטים</w:t>
      </w:r>
    </w:p>
    <w:p w:rsidR="00794824" w:rsidRDefault="00794824" w:rsidP="00151A2F">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t>מ</w:t>
      </w:r>
      <w:r>
        <w:rPr>
          <w:rFonts w:cs="FrankRuehl" w:hint="cs"/>
          <w:sz w:val="26"/>
          <w:szCs w:val="26"/>
          <w:rtl/>
        </w:rPr>
        <w:t>שה קצב</w:t>
      </w:r>
      <w:r>
        <w:rPr>
          <w:rFonts w:cs="FrankRuehl"/>
          <w:sz w:val="26"/>
          <w:szCs w:val="26"/>
          <w:rtl/>
        </w:rPr>
        <w:tab/>
      </w:r>
      <w:r>
        <w:rPr>
          <w:rFonts w:cs="FrankRuehl"/>
          <w:sz w:val="26"/>
          <w:szCs w:val="26"/>
          <w:rtl/>
        </w:rPr>
        <w:tab/>
        <w:t>א</w:t>
      </w:r>
      <w:r>
        <w:rPr>
          <w:rFonts w:cs="FrankRuehl" w:hint="cs"/>
          <w:sz w:val="26"/>
          <w:szCs w:val="26"/>
          <w:rtl/>
        </w:rPr>
        <w:t>ברהם בורג</w:t>
      </w:r>
    </w:p>
    <w:p w:rsidR="00794824" w:rsidRDefault="00794824" w:rsidP="00151A2F">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rsidR="00794824" w:rsidRDefault="00794824">
      <w:pPr>
        <w:pStyle w:val="P00"/>
        <w:spacing w:before="72"/>
        <w:ind w:left="0" w:right="1134"/>
        <w:rPr>
          <w:rStyle w:val="default"/>
          <w:rFonts w:cs="FrankRuehl"/>
          <w:rtl/>
        </w:rPr>
      </w:pPr>
    </w:p>
    <w:p w:rsidR="00794824" w:rsidRDefault="00794824">
      <w:pPr>
        <w:pStyle w:val="P00"/>
        <w:spacing w:before="72"/>
        <w:ind w:left="0" w:right="1134"/>
        <w:rPr>
          <w:rStyle w:val="default"/>
          <w:rFonts w:cs="FrankRuehl"/>
          <w:rtl/>
        </w:rPr>
      </w:pPr>
    </w:p>
    <w:p w:rsidR="00794824" w:rsidRDefault="00794824">
      <w:pPr>
        <w:pStyle w:val="P00"/>
        <w:spacing w:before="72"/>
        <w:ind w:left="0" w:right="1134"/>
        <w:rPr>
          <w:rStyle w:val="default"/>
          <w:rFonts w:cs="FrankRuehl" w:hint="cs"/>
          <w:rtl/>
        </w:rPr>
      </w:pPr>
    </w:p>
    <w:sectPr w:rsidR="00794824">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24B1" w:rsidRDefault="009F24B1">
      <w:r>
        <w:separator/>
      </w:r>
    </w:p>
  </w:endnote>
  <w:endnote w:type="continuationSeparator" w:id="0">
    <w:p w:rsidR="009F24B1" w:rsidRDefault="009F2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4824" w:rsidRDefault="0079482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94824" w:rsidRDefault="0079482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94824" w:rsidRDefault="0079482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32C99">
      <w:rPr>
        <w:rFonts w:cs="TopType Jerushalmi"/>
        <w:noProof/>
        <w:color w:val="000000"/>
        <w:sz w:val="14"/>
        <w:szCs w:val="14"/>
      </w:rPr>
      <w:t>Z:\000000000000-law\yael\08-11-17\01\244m1_001.doc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4824" w:rsidRDefault="0079482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51A2F">
      <w:rPr>
        <w:rFonts w:hAnsi="FrankRuehl" w:cs="FrankRuehl"/>
        <w:noProof/>
        <w:sz w:val="24"/>
        <w:szCs w:val="24"/>
        <w:rtl/>
      </w:rPr>
      <w:t>2</w:t>
    </w:r>
    <w:r>
      <w:rPr>
        <w:rFonts w:hAnsi="FrankRuehl" w:cs="FrankRuehl"/>
        <w:sz w:val="24"/>
        <w:szCs w:val="24"/>
        <w:rtl/>
      </w:rPr>
      <w:fldChar w:fldCharType="end"/>
    </w:r>
  </w:p>
  <w:p w:rsidR="00794824" w:rsidRDefault="0079482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94824" w:rsidRDefault="0079482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32C99">
      <w:rPr>
        <w:rFonts w:cs="TopType Jerushalmi"/>
        <w:noProof/>
        <w:color w:val="000000"/>
        <w:sz w:val="14"/>
        <w:szCs w:val="14"/>
      </w:rPr>
      <w:t>Z:\000000000000-law\yael\08-11-17\01\244m1_001.doc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24B1" w:rsidRDefault="009F24B1">
      <w:pPr>
        <w:spacing w:before="60" w:line="240" w:lineRule="auto"/>
        <w:ind w:right="1134"/>
      </w:pPr>
      <w:r>
        <w:separator/>
      </w:r>
    </w:p>
  </w:footnote>
  <w:footnote w:type="continuationSeparator" w:id="0">
    <w:p w:rsidR="009F24B1" w:rsidRDefault="009F24B1">
      <w:r>
        <w:continuationSeparator/>
      </w:r>
    </w:p>
  </w:footnote>
  <w:footnote w:id="1">
    <w:p w:rsidR="00794824" w:rsidRDefault="007948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תשס"ב מס' 1809</w:t>
        </w:r>
      </w:hyperlink>
      <w:r>
        <w:rPr>
          <w:rFonts w:cs="FrankRuehl" w:hint="cs"/>
          <w:rtl/>
        </w:rPr>
        <w:t xml:space="preserve"> מיום 30.10.2001 עמ' 6 (</w:t>
      </w:r>
      <w:hyperlink r:id="rId2" w:history="1">
        <w:r>
          <w:rPr>
            <w:rStyle w:val="Hyperlink"/>
            <w:rFonts w:cs="FrankRuehl" w:hint="cs"/>
            <w:rtl/>
          </w:rPr>
          <w:t>ה"ח תשס"א מס' 3028</w:t>
        </w:r>
      </w:hyperlink>
      <w:r>
        <w:rPr>
          <w:rFonts w:cs="FrankRuehl" w:hint="cs"/>
          <w:rtl/>
        </w:rPr>
        <w:t xml:space="preserve"> עמ' 769).</w:t>
      </w:r>
    </w:p>
    <w:p w:rsidR="00CC4030" w:rsidRDefault="00794824" w:rsidP="00CC40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sidRPr="00CC4030">
          <w:rPr>
            <w:rStyle w:val="Hyperlink"/>
            <w:rFonts w:cs="FrankRuehl" w:hint="cs"/>
            <w:rtl/>
          </w:rPr>
          <w:t>ס"ח תשס"ח מס' 2137</w:t>
        </w:r>
      </w:hyperlink>
      <w:r>
        <w:rPr>
          <w:rFonts w:cs="FrankRuehl" w:hint="cs"/>
          <w:rtl/>
        </w:rPr>
        <w:t xml:space="preserve"> מיום 9.3.2008 עמ' 244 (</w:t>
      </w:r>
      <w:hyperlink r:id="rId4" w:history="1">
        <w:r>
          <w:rPr>
            <w:rStyle w:val="Hyperlink"/>
            <w:rFonts w:cs="FrankRuehl" w:hint="cs"/>
            <w:rtl/>
          </w:rPr>
          <w:t>ה"ח הכנסת תשס"ח מס' 198</w:t>
        </w:r>
      </w:hyperlink>
      <w:r>
        <w:rPr>
          <w:rFonts w:cs="FrankRuehl" w:hint="cs"/>
          <w:rtl/>
        </w:rPr>
        <w:t xml:space="preserve"> עמ' 125) </w:t>
      </w:r>
      <w:r>
        <w:rPr>
          <w:rFonts w:cs="FrankRuehl"/>
          <w:rtl/>
        </w:rPr>
        <w:t>–</w:t>
      </w:r>
      <w:r>
        <w:rPr>
          <w:rFonts w:cs="FrankRuehl" w:hint="cs"/>
          <w:rtl/>
        </w:rPr>
        <w:t xml:space="preserve"> תיקון מס' 1 בסעיף 2 לחוק למניעת אלימות במשפחה (תיקון מס' 11), תשס"ח-2008.</w:t>
      </w:r>
    </w:p>
    <w:p w:rsidR="00F36075" w:rsidRDefault="00F36075" w:rsidP="00F3607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5A7A93" w:rsidRPr="00F36075">
          <w:rPr>
            <w:rStyle w:val="Hyperlink"/>
            <w:rFonts w:cs="FrankRuehl" w:hint="cs"/>
            <w:rtl/>
          </w:rPr>
          <w:t>ס"ח תשס"ט מס' 2187</w:t>
        </w:r>
      </w:hyperlink>
      <w:r w:rsidR="005A7A93">
        <w:rPr>
          <w:rFonts w:cs="FrankRuehl" w:hint="cs"/>
          <w:rtl/>
        </w:rPr>
        <w:t xml:space="preserve"> מיום 12.11.2008 עמ' 27 (</w:t>
      </w:r>
      <w:hyperlink r:id="rId6" w:history="1">
        <w:r w:rsidR="005A7A93" w:rsidRPr="005A7A93">
          <w:rPr>
            <w:rStyle w:val="Hyperlink"/>
            <w:rFonts w:cs="FrankRuehl" w:hint="cs"/>
            <w:rtl/>
          </w:rPr>
          <w:t>ה"ח הכנסת תשס"ח מס' 254</w:t>
        </w:r>
      </w:hyperlink>
      <w:r w:rsidR="005A7A93">
        <w:rPr>
          <w:rFonts w:cs="FrankRuehl" w:hint="cs"/>
          <w:rtl/>
        </w:rPr>
        <w:t xml:space="preserve"> עמ' 461) </w:t>
      </w:r>
      <w:r w:rsidR="005A7A93">
        <w:rPr>
          <w:rFonts w:cs="FrankRuehl"/>
          <w:rtl/>
        </w:rPr>
        <w:t>–</w:t>
      </w:r>
      <w:r w:rsidR="005A7A93">
        <w:rPr>
          <w:rFonts w:cs="FrankRuehl" w:hint="cs"/>
          <w:rtl/>
        </w:rPr>
        <w:t xml:space="preserve"> תיקון מס' 2 בסעיף 5 לחוק הגבלת שירותי שמירה בבתים משותפים, תשס"ט-2008; תחילתו שלושה חודשים מיום פרסומו.</w:t>
      </w:r>
    </w:p>
    <w:p w:rsidR="0084340A" w:rsidRDefault="0084340A" w:rsidP="008434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C713CC" w:rsidRPr="0084340A">
          <w:rPr>
            <w:rStyle w:val="Hyperlink"/>
            <w:rFonts w:cs="FrankRuehl" w:hint="cs"/>
            <w:rtl/>
          </w:rPr>
          <w:t>ס"ח תשס"ט מס' 2192</w:t>
        </w:r>
      </w:hyperlink>
      <w:r w:rsidR="00C713CC" w:rsidRPr="00C77D02">
        <w:rPr>
          <w:rFonts w:cs="FrankRuehl" w:hint="cs"/>
          <w:rtl/>
        </w:rPr>
        <w:t xml:space="preserve"> מיום 16.11.2008 עמ' 11</w:t>
      </w:r>
      <w:r w:rsidR="00C713CC">
        <w:rPr>
          <w:rFonts w:cs="FrankRuehl" w:hint="cs"/>
          <w:rtl/>
        </w:rPr>
        <w:t>5</w:t>
      </w:r>
      <w:r w:rsidR="00C713CC" w:rsidRPr="00C77D02">
        <w:rPr>
          <w:rFonts w:cs="FrankRuehl" w:hint="cs"/>
          <w:rtl/>
        </w:rPr>
        <w:t xml:space="preserve"> (</w:t>
      </w:r>
      <w:hyperlink r:id="rId8" w:history="1">
        <w:r w:rsidR="00C713CC" w:rsidRPr="00C77D02">
          <w:rPr>
            <w:rStyle w:val="Hyperlink"/>
            <w:rFonts w:cs="FrankRuehl" w:hint="cs"/>
            <w:rtl/>
          </w:rPr>
          <w:t>ה"ח הממשלה תשס"ח מס' 380</w:t>
        </w:r>
      </w:hyperlink>
      <w:r w:rsidR="00C713CC" w:rsidRPr="00C77D02">
        <w:rPr>
          <w:rFonts w:cs="FrankRuehl" w:hint="cs"/>
          <w:rtl/>
        </w:rPr>
        <w:t xml:space="preserve"> עמ' 520) </w:t>
      </w:r>
      <w:r w:rsidR="00C713CC" w:rsidRPr="00C77D02">
        <w:rPr>
          <w:rFonts w:cs="FrankRuehl"/>
          <w:rtl/>
        </w:rPr>
        <w:t>–</w:t>
      </w:r>
      <w:r w:rsidR="00C713CC" w:rsidRPr="00C77D02">
        <w:rPr>
          <w:rFonts w:cs="FrankRuehl" w:hint="cs"/>
          <w:rtl/>
        </w:rPr>
        <w:t xml:space="preserve"> תיקון מס' </w:t>
      </w:r>
      <w:r w:rsidR="00C713CC">
        <w:rPr>
          <w:rFonts w:cs="FrankRuehl" w:hint="cs"/>
          <w:rtl/>
        </w:rPr>
        <w:t>3</w:t>
      </w:r>
      <w:r w:rsidR="00C713CC" w:rsidRPr="00C77D02">
        <w:rPr>
          <w:rFonts w:cs="FrankRuehl" w:hint="cs"/>
          <w:rtl/>
        </w:rPr>
        <w:t xml:space="preserve"> בסעיף </w:t>
      </w:r>
      <w:r w:rsidR="00C713CC">
        <w:rPr>
          <w:rFonts w:cs="FrankRuehl" w:hint="cs"/>
          <w:rtl/>
        </w:rPr>
        <w:t>45</w:t>
      </w:r>
      <w:r w:rsidR="00C713CC" w:rsidRPr="00C77D02">
        <w:rPr>
          <w:rFonts w:cs="FrankRuehl" w:hint="cs"/>
          <w:rtl/>
        </w:rPr>
        <w:t xml:space="preserve"> לחוק להגנה על עדים, תשס"ט-2008.</w:t>
      </w:r>
    </w:p>
    <w:p w:rsidR="007D1D48" w:rsidRPr="009D4D94" w:rsidRDefault="007D1D48" w:rsidP="007D1D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9D4D94" w:rsidRPr="007D1D48">
          <w:rPr>
            <w:rStyle w:val="Hyperlink"/>
            <w:rFonts w:cs="FrankRuehl" w:hint="cs"/>
            <w:rtl/>
          </w:rPr>
          <w:t>ס"ח תשע"א מס' 2264</w:t>
        </w:r>
      </w:hyperlink>
      <w:r w:rsidR="009D4D94" w:rsidRPr="009D4D94">
        <w:rPr>
          <w:rFonts w:cs="FrankRuehl" w:hint="cs"/>
          <w:rtl/>
        </w:rPr>
        <w:t xml:space="preserve"> מיום 9.12.2010 עמ' 85 (</w:t>
      </w:r>
      <w:hyperlink r:id="rId10" w:history="1">
        <w:r w:rsidR="009D4D94" w:rsidRPr="009D4D94">
          <w:rPr>
            <w:rStyle w:val="Hyperlink"/>
            <w:rFonts w:cs="FrankRuehl" w:hint="cs"/>
            <w:rtl/>
          </w:rPr>
          <w:t>ה"ח הממשלה תש"ע מס' 507</w:t>
        </w:r>
      </w:hyperlink>
      <w:r w:rsidR="009D4D94" w:rsidRPr="009D4D94">
        <w:rPr>
          <w:rFonts w:cs="FrankRuehl" w:hint="cs"/>
          <w:rtl/>
        </w:rPr>
        <w:t xml:space="preserve"> עמ' 1058) </w:t>
      </w:r>
      <w:r w:rsidR="009D4D94" w:rsidRPr="009D4D94">
        <w:rPr>
          <w:rFonts w:cs="FrankRuehl"/>
          <w:rtl/>
        </w:rPr>
        <w:t>–</w:t>
      </w:r>
      <w:r w:rsidR="009D4D94" w:rsidRPr="009D4D94">
        <w:rPr>
          <w:rFonts w:cs="FrankRuehl" w:hint="cs"/>
          <w:rtl/>
        </w:rPr>
        <w:t xml:space="preserve"> תיקון מס' </w:t>
      </w:r>
      <w:r w:rsidR="009D4D94">
        <w:rPr>
          <w:rFonts w:cs="FrankRuehl" w:hint="cs"/>
          <w:rtl/>
        </w:rPr>
        <w:t>4</w:t>
      </w:r>
      <w:r w:rsidR="009D4D94" w:rsidRPr="009D4D94">
        <w:rPr>
          <w:rFonts w:cs="FrankRuehl" w:hint="cs"/>
          <w:rtl/>
        </w:rPr>
        <w:t xml:space="preserve"> בסעיף 2</w:t>
      </w:r>
      <w:r w:rsidR="009D4D94">
        <w:rPr>
          <w:rFonts w:cs="FrankRuehl" w:hint="cs"/>
          <w:rtl/>
        </w:rPr>
        <w:t>5</w:t>
      </w:r>
      <w:r w:rsidR="009D4D94" w:rsidRPr="009D4D94">
        <w:rPr>
          <w:rFonts w:cs="FrankRuehl" w:hint="cs"/>
          <w:rtl/>
        </w:rPr>
        <w:t xml:space="preserve"> לחוק להחלפת המונח פקיד סעד (תיקוני חקיקה), תשע"א-2010.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4824" w:rsidRDefault="0079482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מניעת הטרדה מאיימת, תשס"ב–2001</w:t>
    </w:r>
  </w:p>
  <w:p w:rsidR="00794824" w:rsidRDefault="0079482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94824" w:rsidRDefault="0079482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4824" w:rsidRDefault="0079482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מניעת הטרדה מאיימת, תשס"ב</w:t>
    </w:r>
    <w:r>
      <w:rPr>
        <w:rFonts w:hAnsi="FrankRuehl" w:cs="FrankRuehl" w:hint="cs"/>
        <w:color w:val="000000"/>
        <w:sz w:val="28"/>
        <w:szCs w:val="28"/>
        <w:rtl/>
      </w:rPr>
      <w:t>-</w:t>
    </w:r>
    <w:r>
      <w:rPr>
        <w:rFonts w:hAnsi="FrankRuehl" w:cs="FrankRuehl"/>
        <w:color w:val="000000"/>
        <w:sz w:val="28"/>
        <w:szCs w:val="28"/>
        <w:rtl/>
      </w:rPr>
      <w:t>2001</w:t>
    </w:r>
  </w:p>
  <w:p w:rsidR="00794824" w:rsidRDefault="0079482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94824" w:rsidRDefault="0079482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4030"/>
    <w:rsid w:val="00151A2F"/>
    <w:rsid w:val="001D3CCD"/>
    <w:rsid w:val="00386ABB"/>
    <w:rsid w:val="004C245E"/>
    <w:rsid w:val="005A7A93"/>
    <w:rsid w:val="00794824"/>
    <w:rsid w:val="007D1D48"/>
    <w:rsid w:val="0084340A"/>
    <w:rsid w:val="008A3F2F"/>
    <w:rsid w:val="00984ED8"/>
    <w:rsid w:val="009A4066"/>
    <w:rsid w:val="009D4D94"/>
    <w:rsid w:val="009F24B1"/>
    <w:rsid w:val="009F6F93"/>
    <w:rsid w:val="00AD7615"/>
    <w:rsid w:val="00B43D6A"/>
    <w:rsid w:val="00C713CC"/>
    <w:rsid w:val="00CC4030"/>
    <w:rsid w:val="00DB60C8"/>
    <w:rsid w:val="00E64496"/>
    <w:rsid w:val="00F32C99"/>
    <w:rsid w:val="00F3607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28E70F5-9067-4653-B003-C64CF7890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3">
    <w:name w:val="P03"/>
    <w:basedOn w:val="P00"/>
    <w:pPr>
      <w:ind w:right="1474" w:hanging="1474"/>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192.pdf" TargetMode="External"/><Relationship Id="rId13" Type="http://schemas.openxmlformats.org/officeDocument/2006/relationships/hyperlink" Target="http://www.nevo.co.il/Law_word/law16/knesset-198.pd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16/knesset-254.pdf" TargetMode="External"/><Relationship Id="rId12" Type="http://schemas.openxmlformats.org/officeDocument/2006/relationships/hyperlink" Target="http://www.nevo.co.il/Law_word/law14/LAW-2137.pdf"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2187.pdf" TargetMode="External"/><Relationship Id="rId11" Type="http://schemas.openxmlformats.org/officeDocument/2006/relationships/hyperlink" Target="http://www.nevo.co.il/Law_word/law15/memshala-507.pdf"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_word/law14/law-2264.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15/memshala-380.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380.pdf" TargetMode="External"/><Relationship Id="rId3" Type="http://schemas.openxmlformats.org/officeDocument/2006/relationships/hyperlink" Target="http://www.nevo.co.il/Law_word/law14/law-2137.pdf" TargetMode="External"/><Relationship Id="rId7" Type="http://schemas.openxmlformats.org/officeDocument/2006/relationships/hyperlink" Target="http://www.nevo.co.il/Law_word/law14/law-2192.pdf" TargetMode="External"/><Relationship Id="rId2" Type="http://schemas.openxmlformats.org/officeDocument/2006/relationships/hyperlink" Target="http://www.nevo.co.il/Law_word/law17/PROP-3028.pdf" TargetMode="External"/><Relationship Id="rId1" Type="http://schemas.openxmlformats.org/officeDocument/2006/relationships/hyperlink" Target="http://www.nevo.co.il/Law_word/law14/LAW-1809.pdf" TargetMode="External"/><Relationship Id="rId6" Type="http://schemas.openxmlformats.org/officeDocument/2006/relationships/hyperlink" Target="http://www.nevo.co.il/Law_word/law16/knesset-254.pdf" TargetMode="External"/><Relationship Id="rId5" Type="http://schemas.openxmlformats.org/officeDocument/2006/relationships/hyperlink" Target="http://www.nevo.co.il/Law_word/law14/law-2187.pdf" TargetMode="External"/><Relationship Id="rId10" Type="http://schemas.openxmlformats.org/officeDocument/2006/relationships/hyperlink" Target="http://www.nevo.co.il/Law_word/law15/memshala-507.pdf" TargetMode="External"/><Relationship Id="rId4" Type="http://schemas.openxmlformats.org/officeDocument/2006/relationships/hyperlink" Target="http://www.nevo.co.il/Law_word/law16/knesset-198.pdf" TargetMode="External"/><Relationship Id="rId9" Type="http://schemas.openxmlformats.org/officeDocument/2006/relationships/hyperlink" Target="http://www.nevo.co.il/Law_word/law14/law-22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פרק 1/244</vt:lpstr>
    </vt:vector>
  </TitlesOfParts>
  <Company/>
  <LinksUpToDate>false</LinksUpToDate>
  <CharactersWithSpaces>10615</CharactersWithSpaces>
  <SharedDoc>false</SharedDoc>
  <HLinks>
    <vt:vector size="192" baseType="variant">
      <vt:variant>
        <vt:i4>3801107</vt:i4>
      </vt:variant>
      <vt:variant>
        <vt:i4>105</vt:i4>
      </vt:variant>
      <vt:variant>
        <vt:i4>0</vt:i4>
      </vt:variant>
      <vt:variant>
        <vt:i4>5</vt:i4>
      </vt:variant>
      <vt:variant>
        <vt:lpwstr>http://www.nevo.co.il/Law_word/law16/knesset-198.pdf</vt:lpwstr>
      </vt:variant>
      <vt:variant>
        <vt:lpwstr/>
      </vt:variant>
      <vt:variant>
        <vt:i4>8257551</vt:i4>
      </vt:variant>
      <vt:variant>
        <vt:i4>102</vt:i4>
      </vt:variant>
      <vt:variant>
        <vt:i4>0</vt:i4>
      </vt:variant>
      <vt:variant>
        <vt:i4>5</vt:i4>
      </vt:variant>
      <vt:variant>
        <vt:lpwstr>http://www.nevo.co.il/Law_word/law14/LAW-2137.pdf</vt:lpwstr>
      </vt:variant>
      <vt:variant>
        <vt:lpwstr/>
      </vt:variant>
      <vt:variant>
        <vt:i4>8126545</vt:i4>
      </vt:variant>
      <vt:variant>
        <vt:i4>99</vt:i4>
      </vt:variant>
      <vt:variant>
        <vt:i4>0</vt:i4>
      </vt:variant>
      <vt:variant>
        <vt:i4>5</vt:i4>
      </vt:variant>
      <vt:variant>
        <vt:lpwstr>http://www.nevo.co.il/Law_word/law15/memshala-507.pdf</vt:lpwstr>
      </vt:variant>
      <vt:variant>
        <vt:lpwstr/>
      </vt:variant>
      <vt:variant>
        <vt:i4>8060943</vt:i4>
      </vt:variant>
      <vt:variant>
        <vt:i4>96</vt:i4>
      </vt:variant>
      <vt:variant>
        <vt:i4>0</vt:i4>
      </vt:variant>
      <vt:variant>
        <vt:i4>5</vt:i4>
      </vt:variant>
      <vt:variant>
        <vt:lpwstr>http://www.nevo.co.il/Law_word/law14/law-2264.pdf</vt:lpwstr>
      </vt:variant>
      <vt:variant>
        <vt:lpwstr/>
      </vt:variant>
      <vt:variant>
        <vt:i4>7602256</vt:i4>
      </vt:variant>
      <vt:variant>
        <vt:i4>93</vt:i4>
      </vt:variant>
      <vt:variant>
        <vt:i4>0</vt:i4>
      </vt:variant>
      <vt:variant>
        <vt:i4>5</vt:i4>
      </vt:variant>
      <vt:variant>
        <vt:lpwstr>http://www.nevo.co.il/Law_word/law15/memshala-380.pdf</vt:lpwstr>
      </vt:variant>
      <vt:variant>
        <vt:lpwstr/>
      </vt:variant>
      <vt:variant>
        <vt:i4>7602186</vt:i4>
      </vt:variant>
      <vt:variant>
        <vt:i4>90</vt:i4>
      </vt:variant>
      <vt:variant>
        <vt:i4>0</vt:i4>
      </vt:variant>
      <vt:variant>
        <vt:i4>5</vt:i4>
      </vt:variant>
      <vt:variant>
        <vt:lpwstr>http://www.nevo.co.il/Law_word/law14/LAW-2192.pdf</vt:lpwstr>
      </vt:variant>
      <vt:variant>
        <vt:lpwstr/>
      </vt:variant>
      <vt:variant>
        <vt:i4>3473439</vt:i4>
      </vt:variant>
      <vt:variant>
        <vt:i4>87</vt:i4>
      </vt:variant>
      <vt:variant>
        <vt:i4>0</vt:i4>
      </vt:variant>
      <vt:variant>
        <vt:i4>5</vt:i4>
      </vt:variant>
      <vt:variant>
        <vt:lpwstr>http://www.nevo.co.il/Law_word/law16/knesset-254.pdf</vt:lpwstr>
      </vt:variant>
      <vt:variant>
        <vt:lpwstr/>
      </vt:variant>
      <vt:variant>
        <vt:i4>7667727</vt:i4>
      </vt:variant>
      <vt:variant>
        <vt:i4>84</vt:i4>
      </vt:variant>
      <vt:variant>
        <vt:i4>0</vt:i4>
      </vt:variant>
      <vt:variant>
        <vt:i4>5</vt:i4>
      </vt:variant>
      <vt:variant>
        <vt:lpwstr>http://www.nevo.co.il/Law_word/law14/law-2187.pdf</vt:lpwstr>
      </vt:variant>
      <vt:variant>
        <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8126545</vt:i4>
      </vt:variant>
      <vt:variant>
        <vt:i4>27</vt:i4>
      </vt:variant>
      <vt:variant>
        <vt:i4>0</vt:i4>
      </vt:variant>
      <vt:variant>
        <vt:i4>5</vt:i4>
      </vt:variant>
      <vt:variant>
        <vt:lpwstr>http://www.nevo.co.il/Law_word/law15/memshala-507.pdf</vt:lpwstr>
      </vt:variant>
      <vt:variant>
        <vt:lpwstr/>
      </vt:variant>
      <vt:variant>
        <vt:i4>8060943</vt:i4>
      </vt:variant>
      <vt:variant>
        <vt:i4>24</vt:i4>
      </vt:variant>
      <vt:variant>
        <vt:i4>0</vt:i4>
      </vt:variant>
      <vt:variant>
        <vt:i4>5</vt:i4>
      </vt:variant>
      <vt:variant>
        <vt:lpwstr>http://www.nevo.co.il/Law_word/law14/law-2264.pdf</vt:lpwstr>
      </vt:variant>
      <vt:variant>
        <vt:lpwstr/>
      </vt:variant>
      <vt:variant>
        <vt:i4>7602256</vt:i4>
      </vt:variant>
      <vt:variant>
        <vt:i4>21</vt:i4>
      </vt:variant>
      <vt:variant>
        <vt:i4>0</vt:i4>
      </vt:variant>
      <vt:variant>
        <vt:i4>5</vt:i4>
      </vt:variant>
      <vt:variant>
        <vt:lpwstr>http://www.nevo.co.il/Law_word/law15/memshala-380.pdf</vt:lpwstr>
      </vt:variant>
      <vt:variant>
        <vt:lpwstr/>
      </vt:variant>
      <vt:variant>
        <vt:i4>7602186</vt:i4>
      </vt:variant>
      <vt:variant>
        <vt:i4>18</vt:i4>
      </vt:variant>
      <vt:variant>
        <vt:i4>0</vt:i4>
      </vt:variant>
      <vt:variant>
        <vt:i4>5</vt:i4>
      </vt:variant>
      <vt:variant>
        <vt:lpwstr>http://www.nevo.co.il/Law_word/law14/law-2192.pdf</vt:lpwstr>
      </vt:variant>
      <vt:variant>
        <vt:lpwstr/>
      </vt:variant>
      <vt:variant>
        <vt:i4>3473439</vt:i4>
      </vt:variant>
      <vt:variant>
        <vt:i4>15</vt:i4>
      </vt:variant>
      <vt:variant>
        <vt:i4>0</vt:i4>
      </vt:variant>
      <vt:variant>
        <vt:i4>5</vt:i4>
      </vt:variant>
      <vt:variant>
        <vt:lpwstr>http://www.nevo.co.il/Law_word/law16/knesset-254.pdf</vt:lpwstr>
      </vt:variant>
      <vt:variant>
        <vt:lpwstr/>
      </vt:variant>
      <vt:variant>
        <vt:i4>7667727</vt:i4>
      </vt:variant>
      <vt:variant>
        <vt:i4>12</vt:i4>
      </vt:variant>
      <vt:variant>
        <vt:i4>0</vt:i4>
      </vt:variant>
      <vt:variant>
        <vt:i4>5</vt:i4>
      </vt:variant>
      <vt:variant>
        <vt:lpwstr>http://www.nevo.co.il/Law_word/law14/law-2187.pdf</vt:lpwstr>
      </vt:variant>
      <vt:variant>
        <vt:lpwstr/>
      </vt:variant>
      <vt:variant>
        <vt:i4>3801107</vt:i4>
      </vt:variant>
      <vt:variant>
        <vt:i4>9</vt:i4>
      </vt:variant>
      <vt:variant>
        <vt:i4>0</vt:i4>
      </vt:variant>
      <vt:variant>
        <vt:i4>5</vt:i4>
      </vt:variant>
      <vt:variant>
        <vt:lpwstr>http://www.nevo.co.il/Law_word/law16/knesset-198.pdf</vt:lpwstr>
      </vt:variant>
      <vt:variant>
        <vt:lpwstr/>
      </vt:variant>
      <vt:variant>
        <vt:i4>8257551</vt:i4>
      </vt:variant>
      <vt:variant>
        <vt:i4>6</vt:i4>
      </vt:variant>
      <vt:variant>
        <vt:i4>0</vt:i4>
      </vt:variant>
      <vt:variant>
        <vt:i4>5</vt:i4>
      </vt:variant>
      <vt:variant>
        <vt:lpwstr>http://www.nevo.co.il/Law_word/law14/law-2137.pdf</vt:lpwstr>
      </vt:variant>
      <vt:variant>
        <vt:lpwstr/>
      </vt:variant>
      <vt:variant>
        <vt:i4>65660</vt:i4>
      </vt:variant>
      <vt:variant>
        <vt:i4>3</vt:i4>
      </vt:variant>
      <vt:variant>
        <vt:i4>0</vt:i4>
      </vt:variant>
      <vt:variant>
        <vt:i4>5</vt:i4>
      </vt:variant>
      <vt:variant>
        <vt:lpwstr>http://www.nevo.co.il/Law_word/law17/PROP-3028.pdf</vt:lpwstr>
      </vt:variant>
      <vt:variant>
        <vt:lpwstr/>
      </vt:variant>
      <vt:variant>
        <vt:i4>8257544</vt:i4>
      </vt:variant>
      <vt:variant>
        <vt:i4>0</vt:i4>
      </vt:variant>
      <vt:variant>
        <vt:i4>0</vt:i4>
      </vt:variant>
      <vt:variant>
        <vt:i4>5</vt:i4>
      </vt:variant>
      <vt:variant>
        <vt:lpwstr>http://www.nevo.co.il/Law_word/law14/LAW-1809.pdf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1/244</dc:title>
  <dc:subject/>
  <dc:creator>comp99</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244m1</vt:lpwstr>
  </property>
  <property fmtid="{D5CDD505-2E9C-101B-9397-08002B2CF9AE}" pid="3" name="CHNAME">
    <vt:lpwstr>מניעת הטרדה מאיימת</vt:lpwstr>
  </property>
  <property fmtid="{D5CDD505-2E9C-101B-9397-08002B2CF9AE}" pid="4" name="LAWNAME">
    <vt:lpwstr>חוק מניעת הטרדה מאיימת, תשס"ב-2001</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http://www.nevo.co.il/Law_word/law14/law-2187.pdf;‎רשומות - ספר חוקים#ס"ח תשס"ט מס' 2187 ‏‏#מיום 12.11.2008 #עמ' 27 תיקון מס' 2 בסעיף 5 לחוק הגבלת שירותי שמירה בבתים משותפים, תשס"ט-2008; ‏תחילתו שלושה חודשים מיום פרסומו</vt:lpwstr>
  </property>
  <property fmtid="{D5CDD505-2E9C-101B-9397-08002B2CF9AE}" pid="8" name="LINKK2">
    <vt:lpwstr>http://www.nevo.co.il/Law_word/law14/law-2192.pdf;‎רשומות - ספר חוקים#ס"ח תשס"ט מס' 2192 ‏‏#מיום 16.11.2008 עמ' 115– תיקון מס' 3 בסעיף 45 לחוק להגנה על עדים, תשס"ט-2008‏</vt:lpwstr>
  </property>
  <property fmtid="{D5CDD505-2E9C-101B-9397-08002B2CF9AE}" pid="9" name="LINKK3">
    <vt:lpwstr>http://www.nevo.co.il/Law_word/law14/law-2264.pdf;‎רשומות - ספר חוקים#ס"ח תשע"א מס' 2264 ‏‏#מיום 9.12.2010 עמ' 85  – תיקון מס' 4 בסעיף 25 לחוק להחלפת המונח פקיד סעד (תיקוני חקיקה), תשע"א-‏‏2010‏</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עונשין ומשפט פלילי</vt:lpwstr>
  </property>
  <property fmtid="{D5CDD505-2E9C-101B-9397-08002B2CF9AE}" pid="24" name="NOSE21">
    <vt:lpwstr>עבירות</vt:lpwstr>
  </property>
  <property fmtid="{D5CDD505-2E9C-101B-9397-08002B2CF9AE}" pid="25" name="NOSE31">
    <vt:lpwstr>מניעת הטרדות</vt:lpwstr>
  </property>
  <property fmtid="{D5CDD505-2E9C-101B-9397-08002B2CF9AE}" pid="26" name="NOSE41">
    <vt:lpwstr/>
  </property>
  <property fmtid="{D5CDD505-2E9C-101B-9397-08002B2CF9AE}" pid="27" name="NOSE12">
    <vt:lpwstr>עונשין ומשפט פלילי</vt:lpwstr>
  </property>
  <property fmtid="{D5CDD505-2E9C-101B-9397-08002B2CF9AE}" pid="28" name="NOSE22">
    <vt:lpwstr>עבירות</vt:lpwstr>
  </property>
  <property fmtid="{D5CDD505-2E9C-101B-9397-08002B2CF9AE}" pid="29" name="NOSE32">
    <vt:lpwstr>מניעת אלימות במשפחה</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