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C06713" w:rsidP="00AE1CA0">
      <w:pPr>
        <w:pStyle w:val="big-header"/>
        <w:ind w:left="0" w:right="1134"/>
        <w:rPr>
          <w:rFonts w:hint="cs"/>
          <w:rtl/>
          <w:lang w:eastAsia="en-US"/>
        </w:rPr>
      </w:pPr>
      <w:r>
        <w:rPr>
          <w:rFonts w:hint="cs"/>
          <w:rtl/>
          <w:lang w:eastAsia="en-US"/>
        </w:rPr>
        <w:t>חוק מס הכנסה (פטור ממס לקופת גמל על הכנסה מדמי שכירות בשל השכרת דירות מגורים לטווח ארוך</w:t>
      </w:r>
      <w:r w:rsidR="008C30A6">
        <w:rPr>
          <w:rFonts w:hint="cs"/>
          <w:rtl/>
          <w:lang w:eastAsia="en-US"/>
        </w:rPr>
        <w:t>)</w:t>
      </w:r>
      <w:r w:rsidR="00567FB0">
        <w:rPr>
          <w:rFonts w:hint="cs"/>
          <w:rtl/>
          <w:lang w:eastAsia="en-US"/>
        </w:rPr>
        <w:t xml:space="preserve">, </w:t>
      </w:r>
      <w:r w:rsidR="00AE1CA0">
        <w:rPr>
          <w:rFonts w:hint="cs"/>
          <w:rtl/>
          <w:lang w:eastAsia="en-US"/>
        </w:rPr>
        <w:t>תשע"ב-2012</w:t>
      </w:r>
    </w:p>
    <w:p w:rsidR="00C06713" w:rsidRPr="00C06713" w:rsidRDefault="00C06713" w:rsidP="00C06713">
      <w:pPr>
        <w:spacing w:line="320" w:lineRule="auto"/>
        <w:jc w:val="left"/>
        <w:rPr>
          <w:rFonts w:cs="FrankRuehl"/>
          <w:szCs w:val="26"/>
          <w:rtl/>
          <w:lang w:eastAsia="en-US"/>
        </w:rPr>
      </w:pPr>
    </w:p>
    <w:p w:rsidR="00C06713" w:rsidRDefault="00C06713" w:rsidP="00C06713">
      <w:pPr>
        <w:spacing w:line="320" w:lineRule="auto"/>
        <w:jc w:val="left"/>
        <w:rPr>
          <w:rtl/>
          <w:lang w:eastAsia="en-US"/>
        </w:rPr>
      </w:pPr>
    </w:p>
    <w:p w:rsidR="00C06713" w:rsidRDefault="00C06713" w:rsidP="00C06713">
      <w:pPr>
        <w:spacing w:line="320" w:lineRule="auto"/>
        <w:jc w:val="left"/>
        <w:rPr>
          <w:rFonts w:cs="Miriam"/>
          <w:szCs w:val="22"/>
          <w:lang w:eastAsia="en-US"/>
        </w:rPr>
      </w:pPr>
      <w:r w:rsidRPr="00C06713">
        <w:rPr>
          <w:rFonts w:cs="Miriam"/>
          <w:szCs w:val="22"/>
          <w:rtl/>
          <w:lang w:eastAsia="en-US"/>
        </w:rPr>
        <w:t>משפט פרטי וכלכלה</w:t>
      </w:r>
      <w:r w:rsidRPr="00C06713">
        <w:rPr>
          <w:rFonts w:cs="FrankRuehl"/>
          <w:szCs w:val="26"/>
          <w:lang w:eastAsia="en-US"/>
        </w:rPr>
        <w:t xml:space="preserve"> – </w:t>
      </w:r>
      <w:r w:rsidRPr="00C06713">
        <w:rPr>
          <w:rFonts w:cs="FrankRuehl"/>
          <w:szCs w:val="26"/>
          <w:rtl/>
          <w:lang w:eastAsia="en-US"/>
        </w:rPr>
        <w:t>תאגידים וניירות ערך</w:t>
      </w:r>
      <w:r w:rsidRPr="00C06713">
        <w:rPr>
          <w:rFonts w:cs="FrankRuehl"/>
          <w:szCs w:val="26"/>
          <w:lang w:eastAsia="en-US"/>
        </w:rPr>
        <w:t xml:space="preserve"> – </w:t>
      </w:r>
      <w:r w:rsidRPr="00C06713">
        <w:rPr>
          <w:rFonts w:cs="FrankRuehl"/>
          <w:szCs w:val="26"/>
          <w:rtl/>
          <w:lang w:eastAsia="en-US"/>
        </w:rPr>
        <w:t>קופות גמל</w:t>
      </w:r>
      <w:r w:rsidRPr="00C06713">
        <w:rPr>
          <w:rFonts w:cs="FrankRuehl"/>
          <w:szCs w:val="26"/>
          <w:lang w:eastAsia="en-US"/>
        </w:rPr>
        <w:t xml:space="preserve"> – </w:t>
      </w:r>
      <w:r w:rsidRPr="00C06713">
        <w:rPr>
          <w:rFonts w:cs="FrankRuehl"/>
          <w:szCs w:val="26"/>
          <w:rtl/>
          <w:lang w:eastAsia="en-US"/>
        </w:rPr>
        <w:t>מיסוי ופטור ממס</w:t>
      </w:r>
    </w:p>
    <w:p w:rsidR="00C06713" w:rsidRDefault="00C06713" w:rsidP="00C06713">
      <w:pPr>
        <w:spacing w:line="320" w:lineRule="auto"/>
        <w:jc w:val="left"/>
        <w:rPr>
          <w:rFonts w:cs="Miriam"/>
          <w:szCs w:val="22"/>
          <w:lang w:eastAsia="en-US"/>
        </w:rPr>
      </w:pPr>
      <w:r w:rsidRPr="00C06713">
        <w:rPr>
          <w:rFonts w:cs="Miriam"/>
          <w:szCs w:val="22"/>
          <w:rtl/>
          <w:lang w:eastAsia="en-US"/>
        </w:rPr>
        <w:t>מסים</w:t>
      </w:r>
      <w:r w:rsidRPr="00C06713">
        <w:rPr>
          <w:rFonts w:cs="FrankRuehl"/>
          <w:szCs w:val="26"/>
          <w:lang w:eastAsia="en-US"/>
        </w:rPr>
        <w:t xml:space="preserve"> – </w:t>
      </w:r>
      <w:r w:rsidRPr="00C06713">
        <w:rPr>
          <w:rFonts w:cs="FrankRuehl"/>
          <w:szCs w:val="26"/>
          <w:rtl/>
          <w:lang w:eastAsia="en-US"/>
        </w:rPr>
        <w:t>מס הכנסה</w:t>
      </w:r>
      <w:r w:rsidRPr="00C06713">
        <w:rPr>
          <w:rFonts w:cs="FrankRuehl"/>
          <w:szCs w:val="26"/>
          <w:lang w:eastAsia="en-US"/>
        </w:rPr>
        <w:t xml:space="preserve"> – </w:t>
      </w:r>
      <w:r w:rsidRPr="00C06713">
        <w:rPr>
          <w:rFonts w:cs="FrankRuehl"/>
          <w:szCs w:val="26"/>
          <w:rtl/>
          <w:lang w:eastAsia="en-US"/>
        </w:rPr>
        <w:t>פטור ממס: כללי</w:t>
      </w:r>
      <w:r w:rsidRPr="00C06713">
        <w:rPr>
          <w:rFonts w:cs="FrankRuehl"/>
          <w:szCs w:val="26"/>
          <w:lang w:eastAsia="en-US"/>
        </w:rPr>
        <w:t xml:space="preserve"> – </w:t>
      </w:r>
      <w:r w:rsidRPr="00C06713">
        <w:rPr>
          <w:rFonts w:cs="FrankRuehl"/>
          <w:szCs w:val="26"/>
          <w:rtl/>
          <w:lang w:eastAsia="en-US"/>
        </w:rPr>
        <w:t>דמי שכירות והשכרה</w:t>
      </w:r>
    </w:p>
    <w:p w:rsidR="00C06713" w:rsidRDefault="00C06713" w:rsidP="00C06713">
      <w:pPr>
        <w:spacing w:line="320" w:lineRule="auto"/>
        <w:jc w:val="left"/>
        <w:rPr>
          <w:rFonts w:cs="Miriam"/>
          <w:szCs w:val="22"/>
          <w:lang w:eastAsia="en-US"/>
        </w:rPr>
      </w:pPr>
      <w:r w:rsidRPr="00C06713">
        <w:rPr>
          <w:rFonts w:cs="Miriam"/>
          <w:szCs w:val="22"/>
          <w:rtl/>
          <w:lang w:eastAsia="en-US"/>
        </w:rPr>
        <w:t>מסים</w:t>
      </w:r>
      <w:r w:rsidRPr="00C06713">
        <w:rPr>
          <w:rFonts w:cs="FrankRuehl"/>
          <w:szCs w:val="26"/>
          <w:lang w:eastAsia="en-US"/>
        </w:rPr>
        <w:t xml:space="preserve"> – </w:t>
      </w:r>
      <w:r w:rsidRPr="00C06713">
        <w:rPr>
          <w:rFonts w:cs="FrankRuehl"/>
          <w:szCs w:val="26"/>
          <w:rtl/>
          <w:lang w:eastAsia="en-US"/>
        </w:rPr>
        <w:t>מס הכנסה</w:t>
      </w:r>
      <w:r w:rsidRPr="00C06713">
        <w:rPr>
          <w:rFonts w:cs="FrankRuehl"/>
          <w:szCs w:val="26"/>
          <w:lang w:eastAsia="en-US"/>
        </w:rPr>
        <w:t xml:space="preserve"> – </w:t>
      </w:r>
      <w:r w:rsidRPr="00C06713">
        <w:rPr>
          <w:rFonts w:cs="FrankRuehl"/>
          <w:szCs w:val="26"/>
          <w:rtl/>
          <w:lang w:eastAsia="en-US"/>
        </w:rPr>
        <w:t>קופות גמל</w:t>
      </w:r>
    </w:p>
    <w:p w:rsidR="00C06713" w:rsidRPr="00C06713" w:rsidRDefault="00C06713" w:rsidP="00C06713">
      <w:pPr>
        <w:spacing w:line="320" w:lineRule="auto"/>
        <w:jc w:val="left"/>
        <w:rPr>
          <w:rFonts w:cs="Miriam"/>
          <w:szCs w:val="22"/>
          <w:lang w:eastAsia="en-US"/>
        </w:rPr>
      </w:pPr>
      <w:r w:rsidRPr="00C06713">
        <w:rPr>
          <w:rFonts w:cs="Miriam"/>
          <w:szCs w:val="22"/>
          <w:rtl/>
          <w:lang w:eastAsia="en-US"/>
        </w:rPr>
        <w:t>משפט פרטי וכלכלה</w:t>
      </w:r>
      <w:r w:rsidRPr="00C06713">
        <w:rPr>
          <w:rFonts w:cs="FrankRuehl"/>
          <w:szCs w:val="26"/>
          <w:lang w:eastAsia="en-US"/>
        </w:rPr>
        <w:t xml:space="preserve"> – </w:t>
      </w:r>
      <w:r w:rsidRPr="00C06713">
        <w:rPr>
          <w:rFonts w:cs="FrankRuehl"/>
          <w:szCs w:val="26"/>
          <w:rtl/>
          <w:lang w:eastAsia="en-US"/>
        </w:rPr>
        <w:t>קניין</w:t>
      </w:r>
      <w:r w:rsidRPr="00C06713">
        <w:rPr>
          <w:rFonts w:cs="FrankRuehl"/>
          <w:szCs w:val="26"/>
          <w:lang w:eastAsia="en-US"/>
        </w:rPr>
        <w:t xml:space="preserve"> – </w:t>
      </w:r>
      <w:r w:rsidRPr="00C06713">
        <w:rPr>
          <w:rFonts w:cs="FrankRuehl"/>
          <w:szCs w:val="26"/>
          <w:rtl/>
          <w:lang w:eastAsia="en-US"/>
        </w:rPr>
        <w:t>שכירות והגנת הדייר</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924B5" w:rsidRPr="00A924B5">
        <w:tblPrEx>
          <w:tblCellMar>
            <w:top w:w="0" w:type="dxa"/>
            <w:bottom w:w="0" w:type="dxa"/>
          </w:tblCellMar>
        </w:tblPrEx>
        <w:tc>
          <w:tcPr>
            <w:tcW w:w="1247"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פרשנות</w:t>
            </w:r>
          </w:p>
        </w:tc>
        <w:tc>
          <w:tcPr>
            <w:tcW w:w="567" w:type="dxa"/>
          </w:tcPr>
          <w:p w:rsidR="00A924B5" w:rsidRPr="00A924B5" w:rsidRDefault="00A924B5" w:rsidP="00A924B5">
            <w:pPr>
              <w:spacing w:line="240" w:lineRule="auto"/>
              <w:jc w:val="left"/>
              <w:rPr>
                <w:rStyle w:val="Hyperlink"/>
                <w:rFonts w:hint="cs"/>
                <w:rtl/>
              </w:rPr>
            </w:pPr>
            <w:hyperlink w:anchor="Seif1" w:tooltip="פרשנות" w:history="1">
              <w:r w:rsidRPr="00A924B5">
                <w:rPr>
                  <w:rStyle w:val="Hyperlink"/>
                </w:rPr>
                <w:t>Go</w:t>
              </w:r>
            </w:hyperlink>
          </w:p>
        </w:tc>
        <w:tc>
          <w:tcPr>
            <w:tcW w:w="850" w:type="dxa"/>
          </w:tcPr>
          <w:p w:rsidR="00A924B5" w:rsidRPr="00A924B5" w:rsidRDefault="00A924B5" w:rsidP="00A924B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924B5" w:rsidRPr="00A924B5">
        <w:tblPrEx>
          <w:tblCellMar>
            <w:top w:w="0" w:type="dxa"/>
            <w:bottom w:w="0" w:type="dxa"/>
          </w:tblCellMar>
        </w:tblPrEx>
        <w:tc>
          <w:tcPr>
            <w:tcW w:w="1247"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תנאים לפטור</w:t>
            </w:r>
          </w:p>
        </w:tc>
        <w:tc>
          <w:tcPr>
            <w:tcW w:w="567" w:type="dxa"/>
          </w:tcPr>
          <w:p w:rsidR="00A924B5" w:rsidRPr="00A924B5" w:rsidRDefault="00A924B5" w:rsidP="00A924B5">
            <w:pPr>
              <w:spacing w:line="240" w:lineRule="auto"/>
              <w:jc w:val="left"/>
              <w:rPr>
                <w:rStyle w:val="Hyperlink"/>
                <w:rFonts w:hint="cs"/>
                <w:rtl/>
              </w:rPr>
            </w:pPr>
            <w:hyperlink w:anchor="Seif2" w:tooltip="תנאים לפטור" w:history="1">
              <w:r w:rsidRPr="00A924B5">
                <w:rPr>
                  <w:rStyle w:val="Hyperlink"/>
                </w:rPr>
                <w:t>Go</w:t>
              </w:r>
            </w:hyperlink>
          </w:p>
        </w:tc>
        <w:tc>
          <w:tcPr>
            <w:tcW w:w="850" w:type="dxa"/>
          </w:tcPr>
          <w:p w:rsidR="00A924B5" w:rsidRPr="00A924B5" w:rsidRDefault="00A924B5" w:rsidP="00A924B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A924B5" w:rsidRPr="00A924B5">
        <w:tblPrEx>
          <w:tblCellMar>
            <w:top w:w="0" w:type="dxa"/>
            <w:bottom w:w="0" w:type="dxa"/>
          </w:tblCellMar>
        </w:tblPrEx>
        <w:tc>
          <w:tcPr>
            <w:tcW w:w="1247"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בחירה בפטור ושלילת הקלה או הטבה נוספת</w:t>
            </w:r>
          </w:p>
        </w:tc>
        <w:tc>
          <w:tcPr>
            <w:tcW w:w="567" w:type="dxa"/>
          </w:tcPr>
          <w:p w:rsidR="00A924B5" w:rsidRPr="00A924B5" w:rsidRDefault="00A924B5" w:rsidP="00A924B5">
            <w:pPr>
              <w:spacing w:line="240" w:lineRule="auto"/>
              <w:jc w:val="left"/>
              <w:rPr>
                <w:rStyle w:val="Hyperlink"/>
                <w:rFonts w:hint="cs"/>
                <w:rtl/>
              </w:rPr>
            </w:pPr>
            <w:hyperlink w:anchor="Seif3" w:tooltip="בחירה בפטור ושלילת הקלה או הטבה נוספת" w:history="1">
              <w:r w:rsidRPr="00A924B5">
                <w:rPr>
                  <w:rStyle w:val="Hyperlink"/>
                </w:rPr>
                <w:t>Go</w:t>
              </w:r>
            </w:hyperlink>
          </w:p>
        </w:tc>
        <w:tc>
          <w:tcPr>
            <w:tcW w:w="850" w:type="dxa"/>
          </w:tcPr>
          <w:p w:rsidR="00A924B5" w:rsidRPr="00A924B5" w:rsidRDefault="00A924B5" w:rsidP="00A924B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A924B5" w:rsidRPr="00A924B5">
        <w:tblPrEx>
          <w:tblCellMar>
            <w:top w:w="0" w:type="dxa"/>
            <w:bottom w:w="0" w:type="dxa"/>
          </w:tblCellMar>
        </w:tblPrEx>
        <w:tc>
          <w:tcPr>
            <w:tcW w:w="1247"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שמירת דינים</w:t>
            </w:r>
          </w:p>
        </w:tc>
        <w:tc>
          <w:tcPr>
            <w:tcW w:w="567" w:type="dxa"/>
          </w:tcPr>
          <w:p w:rsidR="00A924B5" w:rsidRPr="00A924B5" w:rsidRDefault="00A924B5" w:rsidP="00A924B5">
            <w:pPr>
              <w:spacing w:line="240" w:lineRule="auto"/>
              <w:jc w:val="left"/>
              <w:rPr>
                <w:rStyle w:val="Hyperlink"/>
                <w:rFonts w:hint="cs"/>
                <w:rtl/>
              </w:rPr>
            </w:pPr>
            <w:hyperlink w:anchor="Seif4" w:tooltip="שמירת דינים" w:history="1">
              <w:r w:rsidRPr="00A924B5">
                <w:rPr>
                  <w:rStyle w:val="Hyperlink"/>
                </w:rPr>
                <w:t>Go</w:t>
              </w:r>
            </w:hyperlink>
          </w:p>
        </w:tc>
        <w:tc>
          <w:tcPr>
            <w:tcW w:w="850" w:type="dxa"/>
          </w:tcPr>
          <w:p w:rsidR="00A924B5" w:rsidRPr="00A924B5" w:rsidRDefault="00A924B5" w:rsidP="00A924B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r w:rsidR="00A924B5" w:rsidRPr="00A924B5">
        <w:tblPrEx>
          <w:tblCellMar>
            <w:top w:w="0" w:type="dxa"/>
            <w:bottom w:w="0" w:type="dxa"/>
          </w:tblCellMar>
        </w:tblPrEx>
        <w:tc>
          <w:tcPr>
            <w:tcW w:w="1247"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A924B5" w:rsidRPr="00A924B5" w:rsidRDefault="00A924B5" w:rsidP="00A924B5">
            <w:pPr>
              <w:spacing w:line="240" w:lineRule="auto"/>
              <w:jc w:val="left"/>
              <w:rPr>
                <w:rFonts w:cs="Frankruhel" w:hint="cs"/>
                <w:sz w:val="24"/>
                <w:rtl/>
                <w:lang w:eastAsia="en-US"/>
              </w:rPr>
            </w:pPr>
            <w:r>
              <w:rPr>
                <w:rFonts w:cs="Times New Roman"/>
                <w:sz w:val="24"/>
                <w:rtl/>
                <w:lang w:eastAsia="en-US"/>
              </w:rPr>
              <w:t>ביצוע</w:t>
            </w:r>
          </w:p>
        </w:tc>
        <w:tc>
          <w:tcPr>
            <w:tcW w:w="567" w:type="dxa"/>
          </w:tcPr>
          <w:p w:rsidR="00A924B5" w:rsidRPr="00A924B5" w:rsidRDefault="00A924B5" w:rsidP="00A924B5">
            <w:pPr>
              <w:spacing w:line="240" w:lineRule="auto"/>
              <w:jc w:val="left"/>
              <w:rPr>
                <w:rStyle w:val="Hyperlink"/>
                <w:rFonts w:hint="cs"/>
                <w:rtl/>
              </w:rPr>
            </w:pPr>
            <w:hyperlink w:anchor="Seif5" w:tooltip="ביצוע" w:history="1">
              <w:r w:rsidRPr="00A924B5">
                <w:rPr>
                  <w:rStyle w:val="Hyperlink"/>
                </w:rPr>
                <w:t>Go</w:t>
              </w:r>
            </w:hyperlink>
          </w:p>
        </w:tc>
        <w:tc>
          <w:tcPr>
            <w:tcW w:w="850" w:type="dxa"/>
          </w:tcPr>
          <w:p w:rsidR="00A924B5" w:rsidRPr="00A924B5" w:rsidRDefault="00A924B5" w:rsidP="00A924B5">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C06713">
      <w:pPr>
        <w:pStyle w:val="big-header"/>
        <w:ind w:left="0" w:right="1134"/>
        <w:rPr>
          <w:rStyle w:val="default"/>
          <w:rFonts w:hint="cs"/>
          <w:sz w:val="22"/>
          <w:szCs w:val="22"/>
          <w:rtl/>
          <w:lang w:eastAsia="en-US"/>
        </w:rPr>
      </w:pPr>
      <w:r>
        <w:rPr>
          <w:rtl/>
          <w:lang w:eastAsia="en-US"/>
        </w:rPr>
        <w:br w:type="page"/>
      </w:r>
      <w:r w:rsidR="00C06713">
        <w:rPr>
          <w:rFonts w:hint="cs"/>
          <w:rtl/>
          <w:lang w:eastAsia="en-US"/>
        </w:rPr>
        <w:lastRenderedPageBreak/>
        <w:t>חוק מס הכנסה (פטור ממס לקופת גמל על הכנסה מדמי שכירות בשל השכרת דירות מגורים לטווח ארוך), תשע"ב-2012</w:t>
      </w:r>
      <w:r>
        <w:rPr>
          <w:rStyle w:val="default"/>
          <w:sz w:val="22"/>
          <w:szCs w:val="22"/>
          <w:rtl/>
          <w:lang w:eastAsia="en-US"/>
        </w:rPr>
        <w:footnoteReference w:customMarkFollows="1" w:id="1"/>
        <w:t>*</w:t>
      </w:r>
    </w:p>
    <w:p w:rsidR="00567FB0" w:rsidRDefault="00567FB0" w:rsidP="00C06713">
      <w:pPr>
        <w:pStyle w:val="P00"/>
        <w:spacing w:before="72"/>
        <w:ind w:left="0" w:right="1134"/>
        <w:rPr>
          <w:rStyle w:val="default"/>
          <w:rFonts w:cs="FrankRuehl" w:hint="cs"/>
          <w:rtl/>
          <w:lang w:eastAsia="en-US"/>
        </w:rPr>
      </w:pPr>
      <w:bookmarkStart w:id="0" w:name="Seif1"/>
      <w:bookmarkEnd w:id="0"/>
      <w:r>
        <w:rPr>
          <w:lang w:val="he-IL"/>
        </w:rPr>
        <w:pict>
          <v:rect id="_x0000_s1026" style="position:absolute;left:0;text-align:left;margin-left:464.5pt;margin-top:8.05pt;width:75.05pt;height:10.75pt;z-index:251653120" o:allowincell="f" filled="f" stroked="f" strokecolor="lime" strokeweight=".25pt">
            <v:textbox style="mso-next-textbox:#_x0000_s1026" inset="0,0,0,0">
              <w:txbxContent>
                <w:p w:rsidR="00567FB0" w:rsidRDefault="00C06713">
                  <w:pPr>
                    <w:spacing w:line="160" w:lineRule="exact"/>
                    <w:jc w:val="left"/>
                    <w:rPr>
                      <w:rFonts w:cs="Miriam" w:hint="cs"/>
                      <w:noProof/>
                      <w:szCs w:val="18"/>
                      <w:rtl/>
                      <w:lang w:eastAsia="en-US"/>
                    </w:rPr>
                  </w:pPr>
                  <w:r>
                    <w:rPr>
                      <w:rFonts w:cs="Miriam" w:hint="cs"/>
                      <w:szCs w:val="18"/>
                      <w:rtl/>
                      <w:lang w:eastAsia="en-US"/>
                    </w:rPr>
                    <w:t>פרשנות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C06713">
        <w:rPr>
          <w:rStyle w:val="default"/>
          <w:rFonts w:cs="FrankRuehl" w:hint="cs"/>
          <w:rtl/>
          <w:lang w:eastAsia="en-US"/>
        </w:rPr>
        <w:t>(א)</w:t>
      </w:r>
      <w:r w:rsidR="00C06713">
        <w:rPr>
          <w:rStyle w:val="default"/>
          <w:rFonts w:cs="FrankRuehl" w:hint="cs"/>
          <w:rtl/>
          <w:lang w:eastAsia="en-US"/>
        </w:rPr>
        <w:tab/>
        <w:t xml:space="preserve">בחוק זה </w:t>
      </w:r>
      <w:r w:rsidR="00A37BD6">
        <w:rPr>
          <w:rStyle w:val="default"/>
          <w:rFonts w:cs="FrankRuehl"/>
          <w:rtl/>
          <w:lang w:eastAsia="en-US"/>
        </w:rPr>
        <w:t>–</w:t>
      </w:r>
    </w:p>
    <w:p w:rsidR="00A37BD6" w:rsidRDefault="00A37BD6" w:rsidP="00C06713">
      <w:pPr>
        <w:pStyle w:val="P00"/>
        <w:spacing w:before="72"/>
        <w:ind w:left="0" w:right="1134"/>
        <w:rPr>
          <w:rStyle w:val="default"/>
          <w:rFonts w:cs="FrankRuehl" w:hint="cs"/>
          <w:rtl/>
          <w:lang w:eastAsia="en-US"/>
        </w:rPr>
      </w:pPr>
      <w:r>
        <w:rPr>
          <w:rStyle w:val="default"/>
          <w:rFonts w:cs="FrankRuehl" w:hint="cs"/>
          <w:rtl/>
          <w:lang w:eastAsia="en-US"/>
        </w:rPr>
        <w:tab/>
        <w:t xml:space="preserve">"בניין להשכרה" </w:t>
      </w:r>
      <w:r>
        <w:rPr>
          <w:rStyle w:val="default"/>
          <w:rFonts w:cs="FrankRuehl"/>
          <w:rtl/>
          <w:lang w:eastAsia="en-US"/>
        </w:rPr>
        <w:t>–</w:t>
      </w:r>
      <w:r>
        <w:rPr>
          <w:rStyle w:val="default"/>
          <w:rFonts w:cs="FrankRuehl" w:hint="cs"/>
          <w:rtl/>
          <w:lang w:eastAsia="en-US"/>
        </w:rPr>
        <w:t xml:space="preserve"> בניין שמתקיימים לגביו כל אלה:</w:t>
      </w:r>
    </w:p>
    <w:p w:rsidR="00A37BD6" w:rsidRDefault="00A37BD6" w:rsidP="00A37BD6">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הוא מבנה של קבע שיש בו, בכל דונם, שש דירות מגורים לפחות, ואם הוא בנגב או בגליל </w:t>
      </w:r>
      <w:r>
        <w:rPr>
          <w:rStyle w:val="default"/>
          <w:rFonts w:cs="FrankRuehl"/>
          <w:rtl/>
          <w:lang w:eastAsia="en-US"/>
        </w:rPr>
        <w:t>–</w:t>
      </w:r>
      <w:r>
        <w:rPr>
          <w:rStyle w:val="default"/>
          <w:rFonts w:cs="FrankRuehl" w:hint="cs"/>
          <w:rtl/>
          <w:lang w:eastAsia="en-US"/>
        </w:rPr>
        <w:t xml:space="preserve"> שתי דירות מגורים לפחות, ולעניין חלק של דונם </w:t>
      </w:r>
      <w:r>
        <w:rPr>
          <w:rStyle w:val="default"/>
          <w:rFonts w:cs="FrankRuehl"/>
          <w:rtl/>
          <w:lang w:eastAsia="en-US"/>
        </w:rPr>
        <w:t>–</w:t>
      </w:r>
      <w:r>
        <w:rPr>
          <w:rStyle w:val="default"/>
          <w:rFonts w:cs="FrankRuehl" w:hint="cs"/>
          <w:rtl/>
          <w:lang w:eastAsia="en-US"/>
        </w:rPr>
        <w:t xml:space="preserve"> חלק יחסי ממספר הדירות האמור, לפי העניין;</w:t>
      </w:r>
    </w:p>
    <w:p w:rsidR="00A37BD6" w:rsidRDefault="00A37BD6" w:rsidP="00A37BD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הוא נבנה כולו על קרקע שמתקיים בה אחד מאלה:</w:t>
      </w:r>
    </w:p>
    <w:p w:rsidR="00A37BD6" w:rsidRDefault="00D51764" w:rsidP="00D51764">
      <w:pPr>
        <w:pStyle w:val="P00"/>
        <w:spacing w:before="72"/>
        <w:ind w:left="1474" w:right="1134"/>
        <w:rPr>
          <w:rStyle w:val="default"/>
          <w:rFonts w:cs="FrankRuehl" w:hint="cs"/>
          <w:rtl/>
          <w:lang w:eastAsia="en-US"/>
        </w:rPr>
      </w:pPr>
      <w:r>
        <w:rPr>
          <w:rFonts w:hint="cs"/>
          <w:rtl/>
          <w:lang w:eastAsia="en-US"/>
        </w:rPr>
        <w:pict>
          <v:shapetype id="_x0000_t202" coordsize="21600,21600" o:spt="202" path="m,l,21600r21600,l21600,xe">
            <v:stroke joinstyle="miter"/>
            <v:path gradientshapeok="t" o:connecttype="rect"/>
          </v:shapetype>
          <v:shape id="_x0000_s1275" type="#_x0000_t202" style="position:absolute;left:0;text-align:left;margin-left:470.35pt;margin-top:7.1pt;width:1in;height:22.4pt;z-index:251660288" filled="f" stroked="f">
            <v:textbox inset="1mm,0,1mm,0">
              <w:txbxContent>
                <w:p w:rsidR="00D51764" w:rsidRDefault="00D51764" w:rsidP="00D51764">
                  <w:pPr>
                    <w:spacing w:line="160" w:lineRule="exact"/>
                    <w:jc w:val="left"/>
                    <w:rPr>
                      <w:rFonts w:cs="Miriam" w:hint="cs"/>
                      <w:noProof/>
                      <w:szCs w:val="18"/>
                      <w:rtl/>
                      <w:lang w:eastAsia="en-US"/>
                    </w:rPr>
                  </w:pPr>
                  <w:r>
                    <w:rPr>
                      <w:rFonts w:cs="Miriam" w:hint="cs"/>
                      <w:szCs w:val="18"/>
                      <w:rtl/>
                      <w:lang w:eastAsia="en-US"/>
                    </w:rPr>
                    <w:t>(תיקון מס' 1) תשע"ו-2016</w:t>
                  </w:r>
                </w:p>
              </w:txbxContent>
            </v:textbox>
            <w10:anchorlock/>
          </v:shape>
        </w:pict>
      </w:r>
      <w:r w:rsidR="00A37BD6">
        <w:rPr>
          <w:rStyle w:val="default"/>
          <w:rFonts w:cs="FrankRuehl" w:hint="cs"/>
          <w:rtl/>
          <w:lang w:eastAsia="en-US"/>
        </w:rPr>
        <w:t>(א)</w:t>
      </w:r>
      <w:r w:rsidR="00A37BD6">
        <w:rPr>
          <w:rStyle w:val="default"/>
          <w:rFonts w:cs="FrankRuehl" w:hint="cs"/>
          <w:rtl/>
          <w:lang w:eastAsia="en-US"/>
        </w:rPr>
        <w:tab/>
      </w:r>
      <w:r w:rsidRPr="00D51764">
        <w:rPr>
          <w:rStyle w:val="default"/>
          <w:rFonts w:cs="FrankRuehl" w:hint="cs"/>
          <w:rtl/>
          <w:lang w:eastAsia="en-US"/>
        </w:rPr>
        <w:t xml:space="preserve">היא נרכשה במסגרת מכרז שפורסם על ידי המדינה או החברה הממשלתית לדיור להשכרה כשהיא פועלת בשם המדינה, בתקופה שמיום ו' בטבת התשע"ב (1 בינואר 2012) עד תום התקופה הקובעת כהגדרתה בסעיף 64א2 לפקודת מס הכנסה, שלפי תנאיו מחצית לפחות מיחידות הדיור שייבנו במקרקעין ישמשו להשכרה למגורים בלבד, לתקופה שנקבעה בתנאי המכרז שלא תפחת מ-15 שנים, ואולם יראו רק את יחידות הדיור שלפי תנאי המכרז ישמשו להשכרה למגורים בלבד כאמור ואת החלק היחסי של הרכוש המשותף הצמוד להן כדירות מגורים בבניין להשכרה; לעניין פסקה זו, "החברה הממשלתית לדיור להשכרה" </w:t>
      </w:r>
      <w:r w:rsidRPr="00D51764">
        <w:rPr>
          <w:rStyle w:val="default"/>
          <w:rFonts w:cs="FrankRuehl"/>
          <w:rtl/>
          <w:lang w:eastAsia="en-US"/>
        </w:rPr>
        <w:t>–</w:t>
      </w:r>
      <w:r w:rsidRPr="00D51764">
        <w:rPr>
          <w:rStyle w:val="default"/>
          <w:rFonts w:cs="FrankRuehl" w:hint="cs"/>
          <w:rtl/>
          <w:lang w:eastAsia="en-US"/>
        </w:rPr>
        <w:t xml:space="preserve"> החברה הממשלתית לדיור להשכרה שהוקמה מכוח החלטת הממשלה מס' 770 מיום ה' בחשוון התשע"ד (9 באוקטובר 2013)</w:t>
      </w:r>
      <w:r w:rsidR="00A37BD6">
        <w:rPr>
          <w:rStyle w:val="default"/>
          <w:rFonts w:cs="FrankRuehl" w:hint="cs"/>
          <w:rtl/>
          <w:lang w:eastAsia="en-US"/>
        </w:rPr>
        <w:t>;</w:t>
      </w:r>
    </w:p>
    <w:p w:rsidR="00A37BD6" w:rsidRDefault="00A37BD6" w:rsidP="00A37BD6">
      <w:pPr>
        <w:pStyle w:val="P00"/>
        <w:spacing w:before="72"/>
        <w:ind w:left="1474" w:right="1134"/>
        <w:rPr>
          <w:rStyle w:val="default"/>
          <w:rFonts w:cs="FrankRuehl" w:hint="cs"/>
          <w:rtl/>
          <w:lang w:eastAsia="en-US"/>
        </w:rPr>
      </w:pPr>
      <w:r>
        <w:rPr>
          <w:rStyle w:val="default"/>
          <w:rFonts w:cs="FrankRuehl" w:hint="cs"/>
          <w:rtl/>
          <w:lang w:eastAsia="en-US"/>
        </w:rPr>
        <w:t>(ב)</w:t>
      </w:r>
      <w:r>
        <w:rPr>
          <w:rStyle w:val="default"/>
          <w:rFonts w:cs="FrankRuehl" w:hint="cs"/>
          <w:rtl/>
          <w:lang w:eastAsia="en-US"/>
        </w:rPr>
        <w:tab/>
        <w:t>היא לא נרכשה במסגרת מכרז, והתכנית החלה על הקרקע מייעדת אותה להשכרה למגורים בלבד לתקופה של 20 שנים לפחות ואושרה עד יום י"ג בטבת התשע"ח (31 בדצמבר 2017);</w:t>
      </w:r>
    </w:p>
    <w:p w:rsidR="00D51764" w:rsidRPr="00D51764" w:rsidRDefault="00D51764" w:rsidP="00D51764">
      <w:pPr>
        <w:pStyle w:val="P00"/>
        <w:spacing w:before="72"/>
        <w:ind w:left="1474" w:right="1134"/>
        <w:rPr>
          <w:rStyle w:val="default"/>
          <w:rFonts w:cs="FrankRuehl" w:hint="cs"/>
          <w:rtl/>
          <w:lang w:eastAsia="en-US"/>
        </w:rPr>
      </w:pPr>
      <w:r>
        <w:rPr>
          <w:rFonts w:hint="cs"/>
          <w:rtl/>
          <w:lang w:eastAsia="en-US"/>
        </w:rPr>
        <w:pict>
          <v:shape id="_x0000_s1278" type="#_x0000_t202" style="position:absolute;left:0;text-align:left;margin-left:470.35pt;margin-top:7.1pt;width:1in;height:16.8pt;z-index:251661312" filled="f" stroked="f">
            <v:textbox inset="1mm,0,1mm,0">
              <w:txbxContent>
                <w:p w:rsidR="00D51764" w:rsidRDefault="00D51764" w:rsidP="00D51764">
                  <w:pPr>
                    <w:spacing w:line="160" w:lineRule="exact"/>
                    <w:jc w:val="left"/>
                    <w:rPr>
                      <w:rFonts w:cs="Miriam" w:hint="cs"/>
                      <w:noProof/>
                      <w:szCs w:val="18"/>
                      <w:rtl/>
                      <w:lang w:eastAsia="en-US"/>
                    </w:rPr>
                  </w:pPr>
                  <w:r>
                    <w:rPr>
                      <w:rFonts w:cs="Miriam" w:hint="cs"/>
                      <w:szCs w:val="18"/>
                      <w:rtl/>
                      <w:lang w:eastAsia="en-US"/>
                    </w:rPr>
                    <w:t>(תיקון מס' 1) תשע"ו-2016</w:t>
                  </w:r>
                </w:p>
              </w:txbxContent>
            </v:textbox>
            <w10:anchorlock/>
          </v:shape>
        </w:pict>
      </w:r>
      <w:r w:rsidRPr="00D51764">
        <w:rPr>
          <w:rStyle w:val="default"/>
          <w:rFonts w:cs="FrankRuehl" w:hint="cs"/>
          <w:rtl/>
          <w:lang w:eastAsia="en-US"/>
        </w:rPr>
        <w:t>(ג)</w:t>
      </w:r>
      <w:r w:rsidRPr="00D51764">
        <w:rPr>
          <w:rStyle w:val="default"/>
          <w:rFonts w:cs="FrankRuehl" w:hint="cs"/>
          <w:rtl/>
          <w:lang w:eastAsia="en-US"/>
        </w:rPr>
        <w:tab/>
        <w:t>היא שווקה על ידי החברה הממשלתית לדיור להשכרה, למטרה של השכרה למגורים לתקופה של 20 שנים לפחות, ומטרה זו הובטחה באמצעות ההסכם שנחתם עם החברה האמורה לרכישת הקרקע;</w:t>
      </w:r>
    </w:p>
    <w:p w:rsidR="00A37BD6" w:rsidRDefault="00A37BD6" w:rsidP="00A37BD6">
      <w:pPr>
        <w:pStyle w:val="P00"/>
        <w:spacing w:before="72"/>
        <w:ind w:left="1021" w:right="1134"/>
        <w:rPr>
          <w:rStyle w:val="default"/>
          <w:rFonts w:cs="FrankRuehl" w:hint="cs"/>
          <w:rtl/>
          <w:lang w:eastAsia="en-US"/>
        </w:rPr>
      </w:pPr>
      <w:r>
        <w:rPr>
          <w:rStyle w:val="default"/>
          <w:rFonts w:cs="FrankRuehl" w:hint="cs"/>
          <w:rtl/>
          <w:lang w:eastAsia="en-US"/>
        </w:rPr>
        <w:t>לעניין פסקה זו, יראו גם תכנית המייעדת קרקע למגורים או להשכרה למגורים וכן לשימושים נלווים למגורים, כתכנית המייעדת קרקע למגורים או להשכרה למגורים, בלבד;</w:t>
      </w:r>
    </w:p>
    <w:p w:rsidR="00A37BD6" w:rsidRDefault="00A37BD6" w:rsidP="00A37BD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כל הדירות בו משמשות להשכרה למגורים; לעניין פסקה זו, יראו גם דירה שלא נעשה בה כל שימוש כאילו היא משמשת להשכרה למגורים;</w:t>
      </w:r>
    </w:p>
    <w:p w:rsidR="006072A6" w:rsidRPr="00D51764" w:rsidRDefault="006072A6" w:rsidP="00D51764">
      <w:pPr>
        <w:pStyle w:val="P00"/>
        <w:spacing w:before="0"/>
        <w:ind w:left="1021" w:right="1134"/>
        <w:rPr>
          <w:rStyle w:val="default"/>
          <w:rFonts w:cs="FrankRuehl" w:hint="cs"/>
          <w:vanish/>
          <w:color w:val="FF0000"/>
          <w:szCs w:val="20"/>
          <w:shd w:val="clear" w:color="auto" w:fill="FFFF99"/>
          <w:rtl/>
        </w:rPr>
      </w:pPr>
      <w:bookmarkStart w:id="1" w:name="Rov6"/>
      <w:r w:rsidRPr="00D51764">
        <w:rPr>
          <w:rStyle w:val="default"/>
          <w:rFonts w:cs="FrankRuehl" w:hint="cs"/>
          <w:vanish/>
          <w:color w:val="FF0000"/>
          <w:szCs w:val="20"/>
          <w:shd w:val="clear" w:color="auto" w:fill="FFFF99"/>
          <w:rtl/>
        </w:rPr>
        <w:t>מיום 6.6.2016</w:t>
      </w:r>
    </w:p>
    <w:p w:rsidR="006072A6" w:rsidRPr="00D51764" w:rsidRDefault="006072A6" w:rsidP="00D51764">
      <w:pPr>
        <w:pStyle w:val="P00"/>
        <w:spacing w:before="0"/>
        <w:ind w:left="1021" w:right="1134"/>
        <w:rPr>
          <w:rStyle w:val="default"/>
          <w:rFonts w:cs="FrankRuehl" w:hint="cs"/>
          <w:vanish/>
          <w:szCs w:val="20"/>
          <w:shd w:val="clear" w:color="auto" w:fill="FFFF99"/>
          <w:rtl/>
        </w:rPr>
      </w:pPr>
      <w:r w:rsidRPr="00D51764">
        <w:rPr>
          <w:rStyle w:val="default"/>
          <w:rFonts w:cs="FrankRuehl" w:hint="cs"/>
          <w:b/>
          <w:bCs/>
          <w:vanish/>
          <w:szCs w:val="20"/>
          <w:shd w:val="clear" w:color="auto" w:fill="FFFF99"/>
          <w:rtl/>
        </w:rPr>
        <w:t>תיקון מס' 1</w:t>
      </w:r>
    </w:p>
    <w:p w:rsidR="006072A6" w:rsidRPr="00D51764" w:rsidRDefault="006072A6" w:rsidP="00D51764">
      <w:pPr>
        <w:pStyle w:val="P00"/>
        <w:spacing w:before="0"/>
        <w:ind w:left="1021" w:right="1134"/>
        <w:rPr>
          <w:rStyle w:val="default"/>
          <w:rFonts w:cs="FrankRuehl" w:hint="cs"/>
          <w:vanish/>
          <w:szCs w:val="20"/>
          <w:shd w:val="clear" w:color="auto" w:fill="FFFF99"/>
          <w:rtl/>
        </w:rPr>
      </w:pPr>
      <w:hyperlink r:id="rId6" w:history="1">
        <w:r w:rsidRPr="00D51764">
          <w:rPr>
            <w:rStyle w:val="Hyperlink"/>
            <w:rFonts w:hint="cs"/>
            <w:vanish/>
            <w:szCs w:val="20"/>
            <w:shd w:val="clear" w:color="auto" w:fill="FFFF99"/>
            <w:rtl/>
          </w:rPr>
          <w:t>ס"ח תשע"ו מס' 2547</w:t>
        </w:r>
      </w:hyperlink>
      <w:r w:rsidRPr="00D51764">
        <w:rPr>
          <w:rStyle w:val="default"/>
          <w:rFonts w:cs="FrankRuehl" w:hint="cs"/>
          <w:vanish/>
          <w:szCs w:val="20"/>
          <w:shd w:val="clear" w:color="auto" w:fill="FFFF99"/>
          <w:rtl/>
        </w:rPr>
        <w:t xml:space="preserve"> מיום 7.4.2016 עמ' 736 (</w:t>
      </w:r>
      <w:hyperlink r:id="rId7" w:history="1">
        <w:r w:rsidRPr="00D51764">
          <w:rPr>
            <w:rStyle w:val="Hyperlink"/>
            <w:rFonts w:hint="cs"/>
            <w:vanish/>
            <w:szCs w:val="20"/>
            <w:shd w:val="clear" w:color="auto" w:fill="FFFF99"/>
            <w:rtl/>
          </w:rPr>
          <w:t>ה"ח 1000</w:t>
        </w:r>
      </w:hyperlink>
      <w:r w:rsidRPr="00D51764">
        <w:rPr>
          <w:rStyle w:val="default"/>
          <w:rFonts w:cs="FrankRuehl" w:hint="cs"/>
          <w:vanish/>
          <w:szCs w:val="20"/>
          <w:shd w:val="clear" w:color="auto" w:fill="FFFF99"/>
          <w:rtl/>
        </w:rPr>
        <w:t>)</w:t>
      </w:r>
    </w:p>
    <w:p w:rsidR="006072A6" w:rsidRPr="00D51764" w:rsidRDefault="006072A6" w:rsidP="006072A6">
      <w:pPr>
        <w:pStyle w:val="P00"/>
        <w:ind w:left="1021" w:right="1134"/>
        <w:rPr>
          <w:rStyle w:val="default"/>
          <w:rFonts w:cs="FrankRuehl" w:hint="cs"/>
          <w:vanish/>
          <w:sz w:val="22"/>
          <w:szCs w:val="22"/>
          <w:shd w:val="clear" w:color="auto" w:fill="FFFF99"/>
          <w:rtl/>
          <w:lang w:eastAsia="en-US"/>
        </w:rPr>
      </w:pPr>
      <w:r w:rsidRPr="00D51764">
        <w:rPr>
          <w:rStyle w:val="default"/>
          <w:rFonts w:cs="FrankRuehl" w:hint="cs"/>
          <w:vanish/>
          <w:sz w:val="22"/>
          <w:szCs w:val="22"/>
          <w:shd w:val="clear" w:color="auto" w:fill="FFFF99"/>
          <w:rtl/>
          <w:lang w:eastAsia="en-US"/>
        </w:rPr>
        <w:t>(2)</w:t>
      </w:r>
      <w:r w:rsidRPr="00D51764">
        <w:rPr>
          <w:rStyle w:val="default"/>
          <w:rFonts w:cs="FrankRuehl" w:hint="cs"/>
          <w:vanish/>
          <w:sz w:val="22"/>
          <w:szCs w:val="22"/>
          <w:shd w:val="clear" w:color="auto" w:fill="FFFF99"/>
          <w:rtl/>
          <w:lang w:eastAsia="en-US"/>
        </w:rPr>
        <w:tab/>
        <w:t>הוא נבנה כולו על קרקע שמתקיים בה אחד מאלה:</w:t>
      </w:r>
    </w:p>
    <w:p w:rsidR="006072A6" w:rsidRPr="00D51764" w:rsidRDefault="006072A6" w:rsidP="006072A6">
      <w:pPr>
        <w:pStyle w:val="P00"/>
        <w:spacing w:before="0"/>
        <w:ind w:left="1474" w:right="1134"/>
        <w:rPr>
          <w:rStyle w:val="default"/>
          <w:rFonts w:cs="FrankRuehl" w:hint="cs"/>
          <w:strike/>
          <w:vanish/>
          <w:sz w:val="22"/>
          <w:szCs w:val="22"/>
          <w:shd w:val="clear" w:color="auto" w:fill="FFFF99"/>
          <w:rtl/>
          <w:lang w:eastAsia="en-US"/>
        </w:rPr>
      </w:pPr>
      <w:r w:rsidRPr="00D51764">
        <w:rPr>
          <w:rStyle w:val="default"/>
          <w:rFonts w:cs="FrankRuehl" w:hint="cs"/>
          <w:strike/>
          <w:vanish/>
          <w:sz w:val="22"/>
          <w:szCs w:val="22"/>
          <w:shd w:val="clear" w:color="auto" w:fill="FFFF99"/>
          <w:rtl/>
          <w:lang w:eastAsia="en-US"/>
        </w:rPr>
        <w:t>(א)</w:t>
      </w:r>
      <w:r w:rsidRPr="00D51764">
        <w:rPr>
          <w:rStyle w:val="default"/>
          <w:rFonts w:cs="FrankRuehl" w:hint="cs"/>
          <w:strike/>
          <w:vanish/>
          <w:sz w:val="22"/>
          <w:szCs w:val="22"/>
          <w:shd w:val="clear" w:color="auto" w:fill="FFFF99"/>
          <w:rtl/>
          <w:lang w:eastAsia="en-US"/>
        </w:rPr>
        <w:tab/>
        <w:t>היא נרכשה במסגרת מכרז שפורסם בתקופה שמיום ו' בטבת התשע"ב (1 בינואר 2012) עד יום י"ט בטבת התשע"ו (31 בדצמבר 2015), והתכנית החלה על הקרקע מייעדת אותה למגורים או להשכרה למגורים, בלבד;</w:t>
      </w:r>
    </w:p>
    <w:p w:rsidR="006072A6" w:rsidRPr="00D51764" w:rsidRDefault="006072A6" w:rsidP="006072A6">
      <w:pPr>
        <w:pStyle w:val="P00"/>
        <w:spacing w:before="0"/>
        <w:ind w:left="1474" w:right="1134"/>
        <w:rPr>
          <w:rStyle w:val="default"/>
          <w:rFonts w:cs="FrankRuehl" w:hint="cs"/>
          <w:vanish/>
          <w:sz w:val="22"/>
          <w:szCs w:val="22"/>
          <w:u w:val="single"/>
          <w:shd w:val="clear" w:color="auto" w:fill="FFFF99"/>
          <w:rtl/>
          <w:lang w:eastAsia="en-US"/>
        </w:rPr>
      </w:pPr>
      <w:r w:rsidRPr="00D51764">
        <w:rPr>
          <w:rStyle w:val="default"/>
          <w:rFonts w:cs="FrankRuehl" w:hint="cs"/>
          <w:vanish/>
          <w:sz w:val="22"/>
          <w:szCs w:val="22"/>
          <w:u w:val="single"/>
          <w:shd w:val="clear" w:color="auto" w:fill="FFFF99"/>
          <w:rtl/>
          <w:lang w:eastAsia="en-US"/>
        </w:rPr>
        <w:t>(א)</w:t>
      </w:r>
      <w:r w:rsidRPr="00D51764">
        <w:rPr>
          <w:rStyle w:val="default"/>
          <w:rFonts w:cs="FrankRuehl" w:hint="cs"/>
          <w:vanish/>
          <w:sz w:val="22"/>
          <w:szCs w:val="22"/>
          <w:u w:val="single"/>
          <w:shd w:val="clear" w:color="auto" w:fill="FFFF99"/>
          <w:rtl/>
          <w:lang w:eastAsia="en-US"/>
        </w:rPr>
        <w:tab/>
        <w:t xml:space="preserve">היא נרכשה במסגרת מכרז שפורסם על ידי המדינה או החברה הממשלתית לדיור להשכרה כשהיא פועלת בשם המדינה, בתקופה שמיום ו' בטבת התשע"ב (1 בינואר 2012) עד תום התקופה הקובעת כהגדרתה בסעיף 64א2 לפקודת מס הכנסה, שלפי תנאיו מחצית לפחות מיחידות הדיור שייבנו במקרקעין ישמשו להשכרה למגורים בלבד, לתקופה שנקבעה בתנאי המכרז שלא תפחת מ-15 שנים, ואולם יראו רק את יחידות הדיור שלפי תנאי המכרז ישמשו להשכרה למגורים בלבד כאמור ואת החלק היחסי של הרכוש המשותף הצמוד להן כדירות מגורים בבניין להשכרה; לעניין פסקה זו, "החברה הממשלתית לדיור להשכרה" </w:t>
      </w:r>
      <w:r w:rsidRPr="00D51764">
        <w:rPr>
          <w:rStyle w:val="default"/>
          <w:rFonts w:cs="FrankRuehl"/>
          <w:vanish/>
          <w:sz w:val="22"/>
          <w:szCs w:val="22"/>
          <w:u w:val="single"/>
          <w:shd w:val="clear" w:color="auto" w:fill="FFFF99"/>
          <w:rtl/>
          <w:lang w:eastAsia="en-US"/>
        </w:rPr>
        <w:t>–</w:t>
      </w:r>
      <w:r w:rsidRPr="00D51764">
        <w:rPr>
          <w:rStyle w:val="default"/>
          <w:rFonts w:cs="FrankRuehl" w:hint="cs"/>
          <w:vanish/>
          <w:sz w:val="22"/>
          <w:szCs w:val="22"/>
          <w:u w:val="single"/>
          <w:shd w:val="clear" w:color="auto" w:fill="FFFF99"/>
          <w:rtl/>
          <w:lang w:eastAsia="en-US"/>
        </w:rPr>
        <w:t xml:space="preserve"> החברה הממשלתית לדיור להשכרה שהוקמה מכוח החלטת הממשלה מס' 770 מיום ה' בחשוון התשע"ד (9 באוקטובר 2013);</w:t>
      </w:r>
    </w:p>
    <w:p w:rsidR="006072A6" w:rsidRPr="00D51764" w:rsidRDefault="006072A6" w:rsidP="006072A6">
      <w:pPr>
        <w:pStyle w:val="P00"/>
        <w:spacing w:before="0"/>
        <w:ind w:left="1474" w:right="1134"/>
        <w:rPr>
          <w:rStyle w:val="default"/>
          <w:rFonts w:cs="FrankRuehl" w:hint="cs"/>
          <w:vanish/>
          <w:sz w:val="22"/>
          <w:szCs w:val="22"/>
          <w:shd w:val="clear" w:color="auto" w:fill="FFFF99"/>
          <w:rtl/>
          <w:lang w:eastAsia="en-US"/>
        </w:rPr>
      </w:pPr>
      <w:r w:rsidRPr="00D51764">
        <w:rPr>
          <w:rStyle w:val="default"/>
          <w:rFonts w:cs="FrankRuehl" w:hint="cs"/>
          <w:vanish/>
          <w:sz w:val="22"/>
          <w:szCs w:val="22"/>
          <w:shd w:val="clear" w:color="auto" w:fill="FFFF99"/>
          <w:rtl/>
          <w:lang w:eastAsia="en-US"/>
        </w:rPr>
        <w:t>(ב)</w:t>
      </w:r>
      <w:r w:rsidRPr="00D51764">
        <w:rPr>
          <w:rStyle w:val="default"/>
          <w:rFonts w:cs="FrankRuehl" w:hint="cs"/>
          <w:vanish/>
          <w:sz w:val="22"/>
          <w:szCs w:val="22"/>
          <w:shd w:val="clear" w:color="auto" w:fill="FFFF99"/>
          <w:rtl/>
          <w:lang w:eastAsia="en-US"/>
        </w:rPr>
        <w:tab/>
        <w:t>היא לא נרכשה במסגרת מכרז, והתכנית החלה על הקרקע מייעדת אותה להשכרה למגורים בלבד לתקופה של 20 שנים לפחות ואושרה עד יום י"ג בטבת התשע"ח (31 בדצמבר 2017);</w:t>
      </w:r>
    </w:p>
    <w:p w:rsidR="00D51764" w:rsidRPr="00D51764" w:rsidRDefault="00D51764" w:rsidP="00D51764">
      <w:pPr>
        <w:pStyle w:val="P00"/>
        <w:spacing w:before="0"/>
        <w:ind w:left="1474" w:right="1134"/>
        <w:rPr>
          <w:rStyle w:val="default"/>
          <w:rFonts w:cs="FrankRuehl" w:hint="cs"/>
          <w:sz w:val="2"/>
          <w:szCs w:val="2"/>
          <w:u w:val="single"/>
          <w:rtl/>
          <w:lang w:eastAsia="en-US"/>
        </w:rPr>
      </w:pPr>
      <w:r w:rsidRPr="00D51764">
        <w:rPr>
          <w:rStyle w:val="default"/>
          <w:rFonts w:cs="FrankRuehl" w:hint="cs"/>
          <w:vanish/>
          <w:sz w:val="22"/>
          <w:szCs w:val="22"/>
          <w:u w:val="single"/>
          <w:shd w:val="clear" w:color="auto" w:fill="FFFF99"/>
          <w:rtl/>
          <w:lang w:eastAsia="en-US"/>
        </w:rPr>
        <w:t>(ג)</w:t>
      </w:r>
      <w:r w:rsidRPr="00D51764">
        <w:rPr>
          <w:rStyle w:val="default"/>
          <w:rFonts w:cs="FrankRuehl" w:hint="cs"/>
          <w:vanish/>
          <w:sz w:val="22"/>
          <w:szCs w:val="22"/>
          <w:u w:val="single"/>
          <w:shd w:val="clear" w:color="auto" w:fill="FFFF99"/>
          <w:rtl/>
          <w:lang w:eastAsia="en-US"/>
        </w:rPr>
        <w:tab/>
        <w:t>היא שווקה על ידי החברה הממשלתית לדיור להשכרה, למטרה של השכרה למגורים לתקופה של 20 שנים לפחות, ומטרה זו הובטחה באמצעות ההסכם שנחתם עם החברה האמורה לרכישת הקרקע;</w:t>
      </w:r>
      <w:bookmarkEnd w:id="1"/>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"בעלים" </w:t>
      </w:r>
      <w:r>
        <w:rPr>
          <w:rStyle w:val="default"/>
          <w:rFonts w:cs="FrankRuehl"/>
          <w:rtl/>
          <w:lang w:eastAsia="en-US"/>
        </w:rPr>
        <w:t>–</w:t>
      </w:r>
      <w:r>
        <w:rPr>
          <w:rStyle w:val="default"/>
          <w:rFonts w:cs="FrankRuehl" w:hint="cs"/>
          <w:rtl/>
          <w:lang w:eastAsia="en-US"/>
        </w:rPr>
        <w:t xml:space="preserve"> בעלים, חוכר לדורות או מי שזכאי להירשם בפנקסי המקרקעין כבעלים או כחוכר לדורות, והכל במשמעות הנודעת למונחים אלה בחוק המקרקעין, התשכ"ט-1969;</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"הגליל" </w:t>
      </w:r>
      <w:r>
        <w:rPr>
          <w:rStyle w:val="default"/>
          <w:rFonts w:cs="FrankRuehl"/>
          <w:rtl/>
          <w:lang w:eastAsia="en-US"/>
        </w:rPr>
        <w:t>–</w:t>
      </w:r>
      <w:r>
        <w:rPr>
          <w:rStyle w:val="default"/>
          <w:rFonts w:cs="FrankRuehl" w:hint="cs"/>
          <w:rtl/>
          <w:lang w:eastAsia="en-US"/>
        </w:rPr>
        <w:t xml:space="preserve"> כהגדרתו בחוק הרשות לפיתוח הגליל, התשנ"ג-1993;</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"דירת מגורים" </w:t>
      </w:r>
      <w:r>
        <w:rPr>
          <w:rStyle w:val="default"/>
          <w:rFonts w:cs="FrankRuehl"/>
          <w:rtl/>
          <w:lang w:eastAsia="en-US"/>
        </w:rPr>
        <w:t>–</w:t>
      </w:r>
      <w:r>
        <w:rPr>
          <w:rStyle w:val="default"/>
          <w:rFonts w:cs="FrankRuehl" w:hint="cs"/>
          <w:rtl/>
          <w:lang w:eastAsia="en-US"/>
        </w:rPr>
        <w:t xml:space="preserve"> דירה שבנייתה הסתיימה והיא מיועדת למגורים לפי טיבה ולפי תכנית החלה עליה; לעניין זה יראו את המועד שבו התקבל אישור להספקת חשמל, מים או חיבור של טלפון לבנייה לפי סעיף 265 לחוק התכנון והבנייה, כסיום בנייה (בחוק זה </w:t>
      </w:r>
      <w:r>
        <w:rPr>
          <w:rStyle w:val="default"/>
          <w:rFonts w:cs="FrankRuehl"/>
          <w:rtl/>
          <w:lang w:eastAsia="en-US"/>
        </w:rPr>
        <w:t>–</w:t>
      </w:r>
      <w:r>
        <w:rPr>
          <w:rStyle w:val="default"/>
          <w:rFonts w:cs="FrankRuehl" w:hint="cs"/>
          <w:rtl/>
          <w:lang w:eastAsia="en-US"/>
        </w:rPr>
        <w:t xml:space="preserve"> אישור סיום בנייה);</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"דמי שכירות" </w:t>
      </w:r>
      <w:r>
        <w:rPr>
          <w:rStyle w:val="default"/>
          <w:rFonts w:cs="FrankRuehl"/>
          <w:rtl/>
          <w:lang w:eastAsia="en-US"/>
        </w:rPr>
        <w:t>–</w:t>
      </w:r>
      <w:r>
        <w:rPr>
          <w:rStyle w:val="default"/>
          <w:rFonts w:cs="FrankRuehl" w:hint="cs"/>
          <w:rtl/>
          <w:lang w:eastAsia="en-US"/>
        </w:rPr>
        <w:t xml:space="preserve"> דמי שכירות כהגדרתם בחוק מס הכנסה (פטור ממס על הכנסה מהשכרת דירת מגורים), התש"ן-1990, למעט דמי ניהול; לעניין זה, "דמי ניהול" </w:t>
      </w:r>
      <w:r>
        <w:rPr>
          <w:rStyle w:val="default"/>
          <w:rFonts w:cs="FrankRuehl"/>
          <w:rtl/>
          <w:lang w:eastAsia="en-US"/>
        </w:rPr>
        <w:t>–</w:t>
      </w:r>
      <w:r>
        <w:rPr>
          <w:rStyle w:val="default"/>
          <w:rFonts w:cs="FrankRuehl" w:hint="cs"/>
          <w:rtl/>
          <w:lang w:eastAsia="en-US"/>
        </w:rPr>
        <w:t xml:space="preserve"> תשלומים בעד מתן שירותים נלווים להשכרה, בין שהם מחושבים כסכום קבוע ובין שהם מחושבים כסכום משתנה;</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"השכרה" </w:t>
      </w:r>
      <w:r>
        <w:rPr>
          <w:rStyle w:val="default"/>
          <w:rFonts w:cs="FrankRuehl"/>
          <w:rtl/>
          <w:lang w:eastAsia="en-US"/>
        </w:rPr>
        <w:t>–</w:t>
      </w:r>
      <w:r>
        <w:rPr>
          <w:rStyle w:val="default"/>
          <w:rFonts w:cs="FrankRuehl" w:hint="cs"/>
          <w:rtl/>
          <w:lang w:eastAsia="en-US"/>
        </w:rPr>
        <w:t xml:space="preserve"> השכרה של דירת מגורים לפי חוזה שכירות, למעט השכרה כמפורט להלן:</w:t>
      </w:r>
    </w:p>
    <w:p w:rsidR="00A37BD6" w:rsidRDefault="00A37BD6" w:rsidP="00A37BD6">
      <w:pPr>
        <w:pStyle w:val="P00"/>
        <w:spacing w:before="72"/>
        <w:ind w:left="1021" w:right="1134"/>
        <w:rPr>
          <w:rStyle w:val="default"/>
          <w:rFonts w:cs="FrankRuehl" w:hint="cs"/>
          <w:rtl/>
          <w:lang w:eastAsia="en-US"/>
        </w:rPr>
      </w:pPr>
      <w:r>
        <w:rPr>
          <w:rStyle w:val="default"/>
          <w:rFonts w:cs="FrankRuehl" w:hint="cs"/>
          <w:rtl/>
          <w:lang w:eastAsia="en-US"/>
        </w:rPr>
        <w:lastRenderedPageBreak/>
        <w:t>(1)</w:t>
      </w:r>
      <w:r>
        <w:rPr>
          <w:rStyle w:val="default"/>
          <w:rFonts w:cs="FrankRuehl" w:hint="cs"/>
          <w:rtl/>
          <w:lang w:eastAsia="en-US"/>
        </w:rPr>
        <w:tab/>
        <w:t>השכרה שהיא מכירת זכות במקרקעין לפי חוק מיסוי מקרקעין (שבח ורכישה), התשכ"ג-1963;</w:t>
      </w:r>
    </w:p>
    <w:p w:rsidR="00A37BD6" w:rsidRDefault="00A37BD6" w:rsidP="00A37BD6">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השכרה לקרוב כהגדרתו בסעיף 88 לפקודה;</w:t>
      </w:r>
    </w:p>
    <w:p w:rsidR="00A37BD6" w:rsidRDefault="00A37BD6" w:rsidP="00A37BD6">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השכרה של כל הבניין להשכרה למשרד לקליטת העלייה או למי מטעמו, לשם אכלוסם של עולים;</w:t>
      </w:r>
    </w:p>
    <w:p w:rsidR="00A37BD6" w:rsidRDefault="00A37BD6" w:rsidP="00A37BD6">
      <w:pPr>
        <w:pStyle w:val="P00"/>
        <w:spacing w:before="72"/>
        <w:ind w:left="1021" w:right="1134"/>
        <w:rPr>
          <w:rStyle w:val="default"/>
          <w:rFonts w:cs="FrankRuehl" w:hint="cs"/>
          <w:rtl/>
          <w:lang w:eastAsia="en-US"/>
        </w:rPr>
      </w:pPr>
      <w:r>
        <w:rPr>
          <w:rStyle w:val="default"/>
          <w:rFonts w:cs="FrankRuehl" w:hint="cs"/>
          <w:rtl/>
          <w:lang w:eastAsia="en-US"/>
        </w:rPr>
        <w:t>(4)</w:t>
      </w:r>
      <w:r>
        <w:rPr>
          <w:rStyle w:val="default"/>
          <w:rFonts w:cs="FrankRuehl" w:hint="cs"/>
          <w:rtl/>
          <w:lang w:eastAsia="en-US"/>
        </w:rPr>
        <w:tab/>
        <w:t>השכרה של כל הבניין להשכרה למשרד הבינוי והשיכון או למי מטעמו, לשם אכלוסם של זכאים על פי נוהלי משרד הבינוי והשיכון;</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"חוק התכנון והבנייה" </w:t>
      </w:r>
      <w:r>
        <w:rPr>
          <w:rStyle w:val="default"/>
          <w:rFonts w:cs="FrankRuehl"/>
          <w:rtl/>
          <w:lang w:eastAsia="en-US"/>
        </w:rPr>
        <w:t>–</w:t>
      </w:r>
      <w:r>
        <w:rPr>
          <w:rStyle w:val="default"/>
          <w:rFonts w:cs="FrankRuehl" w:hint="cs"/>
          <w:rtl/>
          <w:lang w:eastAsia="en-US"/>
        </w:rPr>
        <w:t xml:space="preserve"> חוק התכנון והבנייה, התשכ"ה-1965;</w:t>
      </w:r>
    </w:p>
    <w:p w:rsidR="00A37BD6" w:rsidRDefault="00D51764" w:rsidP="00D51764">
      <w:pPr>
        <w:pStyle w:val="P00"/>
        <w:spacing w:before="72"/>
        <w:ind w:left="0" w:right="1134"/>
        <w:rPr>
          <w:rStyle w:val="default"/>
          <w:rFonts w:cs="FrankRuehl" w:hint="cs"/>
          <w:rtl/>
          <w:lang w:eastAsia="en-US"/>
        </w:rPr>
      </w:pPr>
      <w:r>
        <w:rPr>
          <w:rFonts w:hint="cs"/>
          <w:rtl/>
          <w:lang w:eastAsia="en-US"/>
        </w:rPr>
        <w:pict>
          <v:shape id="_x0000_s1281" type="#_x0000_t202" style="position:absolute;left:0;text-align:left;margin-left:470.35pt;margin-top:7.1pt;width:1in;height:16.8pt;z-index:251662336" filled="f" stroked="f">
            <v:textbox inset="1mm,0,1mm,0">
              <w:txbxContent>
                <w:p w:rsidR="00D51764" w:rsidRDefault="00D51764" w:rsidP="00D51764">
                  <w:pPr>
                    <w:spacing w:line="160" w:lineRule="exact"/>
                    <w:jc w:val="left"/>
                    <w:rPr>
                      <w:rFonts w:cs="Miriam" w:hint="cs"/>
                      <w:noProof/>
                      <w:szCs w:val="18"/>
                      <w:rtl/>
                      <w:lang w:eastAsia="en-US"/>
                    </w:rPr>
                  </w:pPr>
                  <w:r>
                    <w:rPr>
                      <w:rFonts w:cs="Miriam" w:hint="cs"/>
                      <w:szCs w:val="18"/>
                      <w:rtl/>
                      <w:lang w:eastAsia="en-US"/>
                    </w:rPr>
                    <w:t>(תיקון מס' 1) תשע"ו-2016</w:t>
                  </w:r>
                </w:p>
              </w:txbxContent>
            </v:textbox>
            <w10:anchorlock/>
          </v:shape>
        </w:pict>
      </w:r>
      <w:r w:rsidR="00A37BD6">
        <w:rPr>
          <w:rStyle w:val="default"/>
          <w:rFonts w:cs="FrankRuehl" w:hint="cs"/>
          <w:rtl/>
          <w:lang w:eastAsia="en-US"/>
        </w:rPr>
        <w:tab/>
        <w:t xml:space="preserve">"מכרז" </w:t>
      </w:r>
      <w:r w:rsidR="00A37BD6">
        <w:rPr>
          <w:rStyle w:val="default"/>
          <w:rFonts w:cs="FrankRuehl"/>
          <w:rtl/>
          <w:lang w:eastAsia="en-US"/>
        </w:rPr>
        <w:t>–</w:t>
      </w:r>
      <w:r w:rsidR="00A37BD6">
        <w:rPr>
          <w:rStyle w:val="default"/>
          <w:rFonts w:cs="FrankRuehl" w:hint="cs"/>
          <w:rtl/>
          <w:lang w:eastAsia="en-US"/>
        </w:rPr>
        <w:t xml:space="preserve"> </w:t>
      </w:r>
      <w:r>
        <w:rPr>
          <w:rStyle w:val="default"/>
          <w:rFonts w:cs="FrankRuehl" w:hint="cs"/>
          <w:rtl/>
          <w:lang w:eastAsia="en-US"/>
        </w:rPr>
        <w:t>(נמחקה)</w:t>
      </w:r>
      <w:r w:rsidR="00A37BD6">
        <w:rPr>
          <w:rStyle w:val="default"/>
          <w:rFonts w:cs="FrankRuehl" w:hint="cs"/>
          <w:rtl/>
          <w:lang w:eastAsia="en-US"/>
        </w:rPr>
        <w:t>;</w:t>
      </w:r>
    </w:p>
    <w:p w:rsidR="006072A6" w:rsidRPr="00D51764" w:rsidRDefault="006072A6" w:rsidP="006072A6">
      <w:pPr>
        <w:pStyle w:val="P00"/>
        <w:spacing w:before="0"/>
        <w:ind w:left="0" w:right="1134"/>
        <w:rPr>
          <w:rStyle w:val="default"/>
          <w:rFonts w:cs="FrankRuehl" w:hint="cs"/>
          <w:vanish/>
          <w:color w:val="FF0000"/>
          <w:szCs w:val="20"/>
          <w:shd w:val="clear" w:color="auto" w:fill="FFFF99"/>
          <w:rtl/>
        </w:rPr>
      </w:pPr>
      <w:bookmarkStart w:id="2" w:name="Rov7"/>
      <w:r w:rsidRPr="00D51764">
        <w:rPr>
          <w:rStyle w:val="default"/>
          <w:rFonts w:cs="FrankRuehl" w:hint="cs"/>
          <w:vanish/>
          <w:color w:val="FF0000"/>
          <w:szCs w:val="20"/>
          <w:shd w:val="clear" w:color="auto" w:fill="FFFF99"/>
          <w:rtl/>
        </w:rPr>
        <w:t>מיום 6.6.2016</w:t>
      </w:r>
    </w:p>
    <w:p w:rsidR="006072A6" w:rsidRPr="00D51764" w:rsidRDefault="006072A6" w:rsidP="006072A6">
      <w:pPr>
        <w:pStyle w:val="P00"/>
        <w:spacing w:before="0"/>
        <w:ind w:left="0" w:right="1134"/>
        <w:rPr>
          <w:rStyle w:val="default"/>
          <w:rFonts w:cs="FrankRuehl" w:hint="cs"/>
          <w:vanish/>
          <w:szCs w:val="20"/>
          <w:shd w:val="clear" w:color="auto" w:fill="FFFF99"/>
          <w:rtl/>
        </w:rPr>
      </w:pPr>
      <w:r w:rsidRPr="00D51764">
        <w:rPr>
          <w:rStyle w:val="default"/>
          <w:rFonts w:cs="FrankRuehl" w:hint="cs"/>
          <w:b/>
          <w:bCs/>
          <w:vanish/>
          <w:szCs w:val="20"/>
          <w:shd w:val="clear" w:color="auto" w:fill="FFFF99"/>
          <w:rtl/>
        </w:rPr>
        <w:t>תיקון מס' 1</w:t>
      </w:r>
    </w:p>
    <w:p w:rsidR="006072A6" w:rsidRPr="00D51764" w:rsidRDefault="006072A6" w:rsidP="006072A6">
      <w:pPr>
        <w:pStyle w:val="P00"/>
        <w:spacing w:before="0"/>
        <w:ind w:left="0" w:right="1134"/>
        <w:rPr>
          <w:rStyle w:val="default"/>
          <w:rFonts w:cs="FrankRuehl" w:hint="cs"/>
          <w:vanish/>
          <w:szCs w:val="20"/>
          <w:shd w:val="clear" w:color="auto" w:fill="FFFF99"/>
          <w:rtl/>
        </w:rPr>
      </w:pPr>
      <w:hyperlink r:id="rId8" w:history="1">
        <w:r w:rsidRPr="00D51764">
          <w:rPr>
            <w:rStyle w:val="Hyperlink"/>
            <w:rFonts w:hint="cs"/>
            <w:vanish/>
            <w:szCs w:val="20"/>
            <w:shd w:val="clear" w:color="auto" w:fill="FFFF99"/>
            <w:rtl/>
          </w:rPr>
          <w:t>ס"ח תשע"ו מס' 2547</w:t>
        </w:r>
      </w:hyperlink>
      <w:r w:rsidRPr="00D51764">
        <w:rPr>
          <w:rStyle w:val="default"/>
          <w:rFonts w:cs="FrankRuehl" w:hint="cs"/>
          <w:vanish/>
          <w:szCs w:val="20"/>
          <w:shd w:val="clear" w:color="auto" w:fill="FFFF99"/>
          <w:rtl/>
        </w:rPr>
        <w:t xml:space="preserve"> מיום 7.4.2016 עמ' 736 (</w:t>
      </w:r>
      <w:hyperlink r:id="rId9" w:history="1">
        <w:r w:rsidRPr="00D51764">
          <w:rPr>
            <w:rStyle w:val="Hyperlink"/>
            <w:rFonts w:hint="cs"/>
            <w:vanish/>
            <w:szCs w:val="20"/>
            <w:shd w:val="clear" w:color="auto" w:fill="FFFF99"/>
            <w:rtl/>
          </w:rPr>
          <w:t>ה"ח 1000</w:t>
        </w:r>
      </w:hyperlink>
      <w:r w:rsidRPr="00D51764">
        <w:rPr>
          <w:rStyle w:val="default"/>
          <w:rFonts w:cs="FrankRuehl" w:hint="cs"/>
          <w:vanish/>
          <w:szCs w:val="20"/>
          <w:shd w:val="clear" w:color="auto" w:fill="FFFF99"/>
          <w:rtl/>
        </w:rPr>
        <w:t>)</w:t>
      </w:r>
    </w:p>
    <w:p w:rsidR="00D51764" w:rsidRPr="00D51764" w:rsidRDefault="00D51764" w:rsidP="006072A6">
      <w:pPr>
        <w:pStyle w:val="P00"/>
        <w:spacing w:before="0"/>
        <w:ind w:left="0" w:right="1134"/>
        <w:rPr>
          <w:rStyle w:val="default"/>
          <w:rFonts w:cs="FrankRuehl" w:hint="cs"/>
          <w:vanish/>
          <w:szCs w:val="20"/>
          <w:shd w:val="clear" w:color="auto" w:fill="FFFF99"/>
          <w:rtl/>
        </w:rPr>
      </w:pPr>
      <w:r w:rsidRPr="00D51764">
        <w:rPr>
          <w:rStyle w:val="default"/>
          <w:rFonts w:cs="FrankRuehl" w:hint="cs"/>
          <w:b/>
          <w:bCs/>
          <w:vanish/>
          <w:szCs w:val="20"/>
          <w:shd w:val="clear" w:color="auto" w:fill="FFFF99"/>
          <w:rtl/>
        </w:rPr>
        <w:t>מחיקת הגדרת "מכרז"</w:t>
      </w:r>
    </w:p>
    <w:p w:rsidR="00D51764" w:rsidRPr="00D51764" w:rsidRDefault="00D51764" w:rsidP="00D51764">
      <w:pPr>
        <w:pStyle w:val="P00"/>
        <w:ind w:left="0" w:right="1134"/>
        <w:rPr>
          <w:rStyle w:val="default"/>
          <w:rFonts w:cs="FrankRuehl" w:hint="cs"/>
          <w:vanish/>
          <w:szCs w:val="20"/>
          <w:shd w:val="clear" w:color="auto" w:fill="FFFF99"/>
          <w:rtl/>
        </w:rPr>
      </w:pPr>
      <w:r w:rsidRPr="00D51764">
        <w:rPr>
          <w:rStyle w:val="default"/>
          <w:rFonts w:cs="FrankRuehl" w:hint="cs"/>
          <w:vanish/>
          <w:szCs w:val="20"/>
          <w:shd w:val="clear" w:color="auto" w:fill="FFFF99"/>
          <w:rtl/>
        </w:rPr>
        <w:t>הנוסח הקודם:</w:t>
      </w:r>
    </w:p>
    <w:p w:rsidR="00D51764" w:rsidRPr="00D51764" w:rsidRDefault="00D51764" w:rsidP="00D51764">
      <w:pPr>
        <w:pStyle w:val="P00"/>
        <w:spacing w:before="0"/>
        <w:ind w:left="0" w:right="1134"/>
        <w:rPr>
          <w:rStyle w:val="default"/>
          <w:rFonts w:cs="FrankRuehl" w:hint="cs"/>
          <w:strike/>
          <w:sz w:val="2"/>
          <w:szCs w:val="2"/>
          <w:rtl/>
          <w:lang w:eastAsia="en-US"/>
        </w:rPr>
      </w:pPr>
      <w:r w:rsidRPr="00D51764">
        <w:rPr>
          <w:rStyle w:val="default"/>
          <w:rFonts w:cs="FrankRuehl" w:hint="cs"/>
          <w:vanish/>
          <w:sz w:val="22"/>
          <w:szCs w:val="22"/>
          <w:shd w:val="clear" w:color="auto" w:fill="FFFF99"/>
          <w:rtl/>
          <w:lang w:eastAsia="en-US"/>
        </w:rPr>
        <w:tab/>
      </w:r>
      <w:r w:rsidRPr="00D51764">
        <w:rPr>
          <w:rStyle w:val="default"/>
          <w:rFonts w:cs="FrankRuehl" w:hint="cs"/>
          <w:strike/>
          <w:vanish/>
          <w:sz w:val="22"/>
          <w:szCs w:val="22"/>
          <w:shd w:val="clear" w:color="auto" w:fill="FFFF99"/>
          <w:rtl/>
          <w:lang w:eastAsia="en-US"/>
        </w:rPr>
        <w:t xml:space="preserve">"מכרז" </w:t>
      </w:r>
      <w:r w:rsidRPr="00D51764">
        <w:rPr>
          <w:rStyle w:val="default"/>
          <w:rFonts w:cs="FrankRuehl"/>
          <w:strike/>
          <w:vanish/>
          <w:sz w:val="22"/>
          <w:szCs w:val="22"/>
          <w:shd w:val="clear" w:color="auto" w:fill="FFFF99"/>
          <w:rtl/>
          <w:lang w:eastAsia="en-US"/>
        </w:rPr>
        <w:t>–</w:t>
      </w:r>
      <w:r w:rsidRPr="00D51764">
        <w:rPr>
          <w:rStyle w:val="default"/>
          <w:rFonts w:cs="FrankRuehl" w:hint="cs"/>
          <w:strike/>
          <w:vanish/>
          <w:sz w:val="22"/>
          <w:szCs w:val="22"/>
          <w:shd w:val="clear" w:color="auto" w:fill="FFFF99"/>
          <w:rtl/>
          <w:lang w:eastAsia="en-US"/>
        </w:rPr>
        <w:t xml:space="preserve"> הליך שבו משווקות קרקעות על ידי רשות מקרקעי ישראל כמשמעותה בחוק רשות מקרקעי ישראל, התש"ך-1960, למטרת בניית דירות מגורים שישמשו להשכרה לתקופה של 20 שנים לפחות;</w:t>
      </w:r>
      <w:bookmarkEnd w:id="2"/>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"הנגב" </w:t>
      </w:r>
      <w:r>
        <w:rPr>
          <w:rStyle w:val="default"/>
          <w:rFonts w:cs="FrankRuehl"/>
          <w:rtl/>
          <w:lang w:eastAsia="en-US"/>
        </w:rPr>
        <w:t>–</w:t>
      </w:r>
      <w:r>
        <w:rPr>
          <w:rStyle w:val="default"/>
          <w:rFonts w:cs="FrankRuehl" w:hint="cs"/>
          <w:rtl/>
          <w:lang w:eastAsia="en-US"/>
        </w:rPr>
        <w:t xml:space="preserve"> כהגדרתו בחוק הרשות לפיתוח הנגב, התשנ"ב-1991;</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"הפקודה" </w:t>
      </w:r>
      <w:r>
        <w:rPr>
          <w:rStyle w:val="default"/>
          <w:rFonts w:cs="FrankRuehl"/>
          <w:rtl/>
          <w:lang w:eastAsia="en-US"/>
        </w:rPr>
        <w:t>–</w:t>
      </w:r>
      <w:r>
        <w:rPr>
          <w:rStyle w:val="default"/>
          <w:rFonts w:cs="FrankRuehl" w:hint="cs"/>
          <w:rtl/>
          <w:lang w:eastAsia="en-US"/>
        </w:rPr>
        <w:t xml:space="preserve"> פקודת מס הכנסה;</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"קופת גמל" </w:t>
      </w:r>
      <w:r>
        <w:rPr>
          <w:rStyle w:val="default"/>
          <w:rFonts w:cs="FrankRuehl"/>
          <w:rtl/>
          <w:lang w:eastAsia="en-US"/>
        </w:rPr>
        <w:t>–</w:t>
      </w:r>
      <w:r>
        <w:rPr>
          <w:rStyle w:val="default"/>
          <w:rFonts w:cs="FrankRuehl" w:hint="cs"/>
          <w:rtl/>
          <w:lang w:eastAsia="en-US"/>
        </w:rPr>
        <w:t xml:space="preserve"> כהגדרתה בסעיף 9(2) לפקודה;</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 xml:space="preserve">"תכנית" </w:t>
      </w:r>
      <w:r>
        <w:rPr>
          <w:rStyle w:val="default"/>
          <w:rFonts w:cs="FrankRuehl"/>
          <w:rtl/>
          <w:lang w:eastAsia="en-US"/>
        </w:rPr>
        <w:t>–</w:t>
      </w:r>
      <w:r>
        <w:rPr>
          <w:rStyle w:val="default"/>
          <w:rFonts w:cs="FrankRuehl" w:hint="cs"/>
          <w:rtl/>
          <w:lang w:eastAsia="en-US"/>
        </w:rPr>
        <w:t xml:space="preserve"> כמשמעותה בחוק התכנון והבנייה.</w:t>
      </w:r>
    </w:p>
    <w:p w:rsidR="00A37BD6" w:rsidRDefault="00A37BD6" w:rsidP="00A37BD6">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לכל מונח אחר בחוק זה תהיה המשמעות הנודעת לו בפקודה, אלא אם כן נקבע במפורש אחרת.</w:t>
      </w:r>
    </w:p>
    <w:p w:rsidR="00567FB0" w:rsidRDefault="00567FB0" w:rsidP="00A37BD6">
      <w:pPr>
        <w:pStyle w:val="P00"/>
        <w:spacing w:before="72"/>
        <w:ind w:left="0" w:right="1134"/>
        <w:rPr>
          <w:rStyle w:val="default"/>
          <w:rFonts w:cs="FrankRuehl" w:hint="cs"/>
          <w:rtl/>
          <w:lang w:eastAsia="en-US"/>
        </w:rPr>
      </w:pPr>
      <w:bookmarkStart w:id="3" w:name="Seif2"/>
      <w:bookmarkEnd w:id="3"/>
      <w:r>
        <w:rPr>
          <w:rFonts w:cs="Miriam"/>
          <w:szCs w:val="32"/>
          <w:rtl/>
          <w:lang w:val="he-IL"/>
        </w:rPr>
        <w:pict>
          <v:shape id="_x0000_s1147" type="#_x0000_t202" style="position:absolute;left:0;text-align:left;margin-left:470.25pt;margin-top:7.1pt;width:1in;height:11.4pt;z-index:251654144" filled="f" stroked="f">
            <v:textbox inset="1mm,0,1mm,0">
              <w:txbxContent>
                <w:p w:rsidR="00567FB0" w:rsidRDefault="00A37BD6">
                  <w:pPr>
                    <w:spacing w:line="160" w:lineRule="exact"/>
                    <w:jc w:val="left"/>
                    <w:rPr>
                      <w:rFonts w:cs="Miriam" w:hint="cs"/>
                      <w:szCs w:val="18"/>
                      <w:rtl/>
                      <w:lang w:eastAsia="en-US"/>
                    </w:rPr>
                  </w:pPr>
                  <w:r>
                    <w:rPr>
                      <w:rFonts w:cs="Miriam" w:hint="cs"/>
                      <w:szCs w:val="18"/>
                      <w:rtl/>
                      <w:lang w:eastAsia="en-US"/>
                    </w:rPr>
                    <w:t>תנאים לפטור</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A37BD6">
        <w:rPr>
          <w:rStyle w:val="default"/>
          <w:rFonts w:cs="FrankRuehl" w:hint="cs"/>
          <w:rtl/>
          <w:lang w:eastAsia="en-US"/>
        </w:rPr>
        <w:t xml:space="preserve">על אף האמור בכל דין, קופת גמל שהיתה לה בשנת המס הכנסה של דמי שכירות מהשכרת דירות מגורים בבניין להשכרה (בסעיף זה </w:t>
      </w:r>
      <w:r w:rsidR="00A37BD6">
        <w:rPr>
          <w:rStyle w:val="default"/>
          <w:rFonts w:cs="FrankRuehl"/>
          <w:rtl/>
          <w:lang w:eastAsia="en-US"/>
        </w:rPr>
        <w:t>–</w:t>
      </w:r>
      <w:r w:rsidR="00A37BD6">
        <w:rPr>
          <w:rStyle w:val="default"/>
          <w:rFonts w:cs="FrankRuehl" w:hint="cs"/>
          <w:rtl/>
          <w:lang w:eastAsia="en-US"/>
        </w:rPr>
        <w:t xml:space="preserve"> הכנסה מזכה), תהיה פטורה ממס על הכנסה זו, אם בחרה בכך לפי סעיף 3, ובלבד שמתקיימים כל אלה:</w:t>
      </w:r>
    </w:p>
    <w:p w:rsidR="00A37BD6" w:rsidRDefault="00A37BD6" w:rsidP="00104019">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 xml:space="preserve">קופת הגמל היא הבעלים של מאה דירות מגורים, לפחות, בבניין להשכרה או בכמה בניינים להשכרה, ואם הבניינים להשכרה הם בנגב או בגליל </w:t>
      </w:r>
      <w:r>
        <w:rPr>
          <w:rStyle w:val="default"/>
          <w:rFonts w:cs="FrankRuehl"/>
          <w:rtl/>
          <w:lang w:eastAsia="en-US"/>
        </w:rPr>
        <w:t>–</w:t>
      </w:r>
      <w:r>
        <w:rPr>
          <w:rStyle w:val="default"/>
          <w:rFonts w:cs="FrankRuehl" w:hint="cs"/>
          <w:rtl/>
          <w:lang w:eastAsia="en-US"/>
        </w:rPr>
        <w:t xml:space="preserve"> חמישים דירות לפחות (בפסקה זו </w:t>
      </w:r>
      <w:r>
        <w:rPr>
          <w:rStyle w:val="default"/>
          <w:rFonts w:cs="FrankRuehl"/>
          <w:rtl/>
          <w:lang w:eastAsia="en-US"/>
        </w:rPr>
        <w:t>–</w:t>
      </w:r>
      <w:r>
        <w:rPr>
          <w:rStyle w:val="default"/>
          <w:rFonts w:cs="FrankRuehl" w:hint="cs"/>
          <w:rtl/>
          <w:lang w:eastAsia="en-US"/>
        </w:rPr>
        <w:t xml:space="preserve"> מספר הדירות המזכה), ואולם במהלך שנה מהמועד שבו היתה לראשונה לקופת הגמל הכנסה מזכה, יראו את קופת הגמל כאילו מתקיים בה התנאים האמור בפסקה זו, גם אם היתה בעלים של מספר דירות הנמוך ממספר הדירות המזכה;</w:t>
      </w:r>
    </w:p>
    <w:p w:rsidR="00A37BD6" w:rsidRDefault="00A37BD6" w:rsidP="00104019">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r>
      <w:r w:rsidR="00104019">
        <w:rPr>
          <w:rStyle w:val="default"/>
          <w:rFonts w:cs="FrankRuehl" w:hint="cs"/>
          <w:rtl/>
          <w:lang w:eastAsia="en-US"/>
        </w:rPr>
        <w:t>קופת הגמל אינה מספקת שירותים הנלווים להשכרה;</w:t>
      </w:r>
    </w:p>
    <w:p w:rsidR="00104019" w:rsidRDefault="00104019" w:rsidP="00104019">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 xml:space="preserve">לעניין בניין להשכרה שנבנה על קרקע שלא נרכשה במסגרת מכרז, כאמור בפסקה (2)(ב) להגדרה "בניין להשכרה" </w:t>
      </w:r>
      <w:r>
        <w:rPr>
          <w:rStyle w:val="default"/>
          <w:rFonts w:cs="FrankRuehl"/>
          <w:rtl/>
          <w:lang w:eastAsia="en-US"/>
        </w:rPr>
        <w:t>–</w:t>
      </w:r>
      <w:r>
        <w:rPr>
          <w:rStyle w:val="default"/>
          <w:rFonts w:cs="FrankRuehl" w:hint="cs"/>
          <w:rtl/>
          <w:lang w:eastAsia="en-US"/>
        </w:rPr>
        <w:t xml:space="preserve"> לא הוגשה תכנית המשנה את ייעוד הקרקע מייעוד להשכרה למגורים לייעוד אחר, במשך 15 שנים לפחות מהמועד שבו התקבל אישור סיום בנייה.</w:t>
      </w:r>
    </w:p>
    <w:p w:rsidR="00567FB0" w:rsidRDefault="00567FB0" w:rsidP="00104019">
      <w:pPr>
        <w:pStyle w:val="P00"/>
        <w:spacing w:before="72"/>
        <w:ind w:left="0" w:right="1134"/>
        <w:rPr>
          <w:rStyle w:val="default"/>
          <w:rFonts w:cs="FrankRuehl" w:hint="cs"/>
          <w:rtl/>
          <w:lang w:eastAsia="en-US"/>
        </w:rPr>
      </w:pPr>
      <w:bookmarkStart w:id="4" w:name="Seif3"/>
      <w:bookmarkEnd w:id="4"/>
      <w:r>
        <w:rPr>
          <w:lang w:val="he-IL"/>
        </w:rPr>
        <w:pict>
          <v:rect id="_x0000_s1254" style="position:absolute;left:0;text-align:left;margin-left:464.5pt;margin-top:8.05pt;width:75.05pt;height:27.05pt;z-index:251655168" o:allowincell="f" filled="f" stroked="f" strokecolor="lime" strokeweight=".25pt">
            <v:textbox style="mso-next-textbox:#_x0000_s1254" inset="0,0,0,0">
              <w:txbxContent>
                <w:p w:rsidR="00567FB0" w:rsidRDefault="00104019">
                  <w:pPr>
                    <w:spacing w:line="160" w:lineRule="exact"/>
                    <w:jc w:val="left"/>
                    <w:rPr>
                      <w:rFonts w:cs="Miriam" w:hint="cs"/>
                      <w:noProof/>
                      <w:szCs w:val="18"/>
                      <w:rtl/>
                      <w:lang w:eastAsia="en-US"/>
                    </w:rPr>
                  </w:pPr>
                  <w:r>
                    <w:rPr>
                      <w:rFonts w:cs="Miriam" w:hint="cs"/>
                      <w:szCs w:val="18"/>
                      <w:rtl/>
                      <w:lang w:eastAsia="en-US"/>
                    </w:rPr>
                    <w:t>בחירה בפטור ושלילת הקלה או הטבה נוספת</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104019">
        <w:rPr>
          <w:rStyle w:val="default"/>
          <w:rFonts w:cs="FrankRuehl" w:hint="cs"/>
          <w:rtl/>
          <w:lang w:eastAsia="en-US"/>
        </w:rPr>
        <w:t>(א)</w:t>
      </w:r>
      <w:r w:rsidR="00104019">
        <w:rPr>
          <w:rStyle w:val="default"/>
          <w:rFonts w:cs="FrankRuehl" w:hint="cs"/>
          <w:rtl/>
          <w:lang w:eastAsia="en-US"/>
        </w:rPr>
        <w:tab/>
        <w:t>קופת גמל רשאית לבחור בפטור ממס לפי חוק זה; המנהל רשאי לקבוע את אופן מתן ההודעה על בחירה בפטור ממס כאמור ואת המועד למתן הודעה כאמור, לרבות מסמכים ואישורים שיש לצרפם להודעה כאמור.</w:t>
      </w:r>
    </w:p>
    <w:p w:rsidR="00104019" w:rsidRDefault="00104019" w:rsidP="0010401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בחרה קופת גמל בפטור ממס לפי חוק זה, לא תוכל לחזור בה מבחירתה, ולא יחולו על הכנסה או הוצאה הנובעת מהבניין להשכרה, הוראות חלק ה'2 לפקודה, הוראות פרק שביעי 1 לחוק לעידוד השקעות הון, התשי"ט-1959, והוראות חוק לעידוד בניית דירות להשכרה, התשס"ז-2007.</w:t>
      </w:r>
    </w:p>
    <w:p w:rsidR="00C06713" w:rsidRDefault="00C06713" w:rsidP="00907ACF">
      <w:pPr>
        <w:pStyle w:val="P00"/>
        <w:spacing w:before="72"/>
        <w:ind w:left="0" w:right="1134"/>
        <w:rPr>
          <w:rStyle w:val="default"/>
          <w:rFonts w:cs="FrankRuehl" w:hint="cs"/>
          <w:rtl/>
          <w:lang w:eastAsia="en-US"/>
        </w:rPr>
      </w:pPr>
      <w:bookmarkStart w:id="5" w:name="Seif4"/>
      <w:bookmarkEnd w:id="5"/>
      <w:r>
        <w:rPr>
          <w:lang w:val="he-IL"/>
        </w:rPr>
        <w:pict>
          <v:rect id="_x0000_s1269" style="position:absolute;left:0;text-align:left;margin-left:464.5pt;margin-top:8.05pt;width:75.05pt;height:9.5pt;z-index:251656192" o:allowincell="f" filled="f" stroked="f" strokecolor="lime" strokeweight=".25pt">
            <v:textbox style="mso-next-textbox:#_x0000_s1269" inset="0,0,0,0">
              <w:txbxContent>
                <w:p w:rsidR="00C06713" w:rsidRDefault="00907ACF" w:rsidP="00C06713">
                  <w:pPr>
                    <w:spacing w:line="160" w:lineRule="exact"/>
                    <w:jc w:val="left"/>
                    <w:rPr>
                      <w:rFonts w:cs="Miriam" w:hint="cs"/>
                      <w:noProof/>
                      <w:szCs w:val="18"/>
                      <w:rtl/>
                      <w:lang w:eastAsia="en-US"/>
                    </w:rPr>
                  </w:pPr>
                  <w:r>
                    <w:rPr>
                      <w:rFonts w:cs="Miriam" w:hint="cs"/>
                      <w:szCs w:val="18"/>
                      <w:rtl/>
                      <w:lang w:eastAsia="en-US"/>
                    </w:rPr>
                    <w:t>שמירת דינים</w:t>
                  </w:r>
                </w:p>
              </w:txbxContent>
            </v:textbox>
            <w10:anchorlock/>
          </v:rect>
        </w:pict>
      </w:r>
      <w:r w:rsidR="00104019">
        <w:rPr>
          <w:rStyle w:val="big-number"/>
          <w:rFonts w:hint="cs"/>
          <w:rtl/>
          <w:lang w:eastAsia="en-US"/>
        </w:rPr>
        <w:t>4</w:t>
      </w:r>
      <w:r>
        <w:rPr>
          <w:rStyle w:val="default"/>
          <w:rFonts w:cs="FrankRuehl"/>
          <w:rtl/>
        </w:rPr>
        <w:t>.</w:t>
      </w:r>
      <w:r>
        <w:rPr>
          <w:rStyle w:val="default"/>
          <w:rFonts w:cs="FrankRuehl"/>
          <w:rtl/>
        </w:rPr>
        <w:tab/>
      </w:r>
      <w:r w:rsidR="00907ACF">
        <w:rPr>
          <w:rStyle w:val="default"/>
          <w:rFonts w:cs="FrankRuehl" w:hint="cs"/>
          <w:rtl/>
          <w:lang w:eastAsia="en-US"/>
        </w:rPr>
        <w:t>הוראות חוק זה באות להוסיף על הוראות כל דין ולא לגרוע מהן, לרבות לעניין סעיף 9(2) לפקודה.</w:t>
      </w:r>
    </w:p>
    <w:p w:rsidR="00C06713" w:rsidRDefault="00C06713" w:rsidP="00907ACF">
      <w:pPr>
        <w:pStyle w:val="P00"/>
        <w:spacing w:before="72"/>
        <w:ind w:left="0" w:right="1134"/>
        <w:rPr>
          <w:rStyle w:val="default"/>
          <w:rFonts w:cs="FrankRuehl" w:hint="cs"/>
          <w:rtl/>
          <w:lang w:eastAsia="en-US"/>
        </w:rPr>
      </w:pPr>
      <w:bookmarkStart w:id="6" w:name="Seif5"/>
      <w:bookmarkEnd w:id="6"/>
      <w:r>
        <w:rPr>
          <w:lang w:val="he-IL"/>
        </w:rPr>
        <w:pict>
          <v:rect id="_x0000_s1270" style="position:absolute;left:0;text-align:left;margin-left:464.5pt;margin-top:8.05pt;width:75.05pt;height:10.2pt;z-index:251657216" o:allowincell="f" filled="f" stroked="f" strokecolor="lime" strokeweight=".25pt">
            <v:textbox style="mso-next-textbox:#_x0000_s1270" inset="0,0,0,0">
              <w:txbxContent>
                <w:p w:rsidR="00C06713" w:rsidRDefault="00907ACF" w:rsidP="00C06713">
                  <w:pPr>
                    <w:spacing w:line="160" w:lineRule="exact"/>
                    <w:jc w:val="left"/>
                    <w:rPr>
                      <w:rFonts w:cs="Miriam" w:hint="cs"/>
                      <w:noProof/>
                      <w:szCs w:val="18"/>
                      <w:rtl/>
                      <w:lang w:eastAsia="en-US"/>
                    </w:rPr>
                  </w:pPr>
                  <w:r>
                    <w:rPr>
                      <w:rFonts w:cs="Miriam" w:hint="cs"/>
                      <w:szCs w:val="18"/>
                      <w:rtl/>
                      <w:lang w:eastAsia="en-US"/>
                    </w:rPr>
                    <w:t>ביצוע</w:t>
                  </w:r>
                </w:p>
              </w:txbxContent>
            </v:textbox>
            <w10:anchorlock/>
          </v:rect>
        </w:pict>
      </w:r>
      <w:r w:rsidR="00907ACF">
        <w:rPr>
          <w:rStyle w:val="big-number"/>
          <w:rFonts w:hint="cs"/>
          <w:rtl/>
          <w:lang w:eastAsia="en-US"/>
        </w:rPr>
        <w:t>5</w:t>
      </w:r>
      <w:r>
        <w:rPr>
          <w:rStyle w:val="default"/>
          <w:rFonts w:cs="FrankRuehl"/>
          <w:rtl/>
        </w:rPr>
        <w:t>.</w:t>
      </w:r>
      <w:r>
        <w:rPr>
          <w:rStyle w:val="default"/>
          <w:rFonts w:cs="FrankRuehl"/>
          <w:rtl/>
        </w:rPr>
        <w:tab/>
      </w:r>
      <w:r w:rsidR="00907ACF">
        <w:rPr>
          <w:rStyle w:val="default"/>
          <w:rFonts w:cs="FrankRuehl" w:hint="cs"/>
          <w:rtl/>
          <w:lang w:eastAsia="en-US"/>
        </w:rPr>
        <w:t>שר האוצר ממונה על ביצוע חוק זה.</w:t>
      </w:r>
    </w:p>
    <w:p w:rsidR="00C06713" w:rsidRDefault="00C06713" w:rsidP="00907ACF">
      <w:pPr>
        <w:pStyle w:val="P00"/>
        <w:spacing w:before="72"/>
        <w:ind w:left="0" w:right="1134"/>
        <w:rPr>
          <w:rStyle w:val="default"/>
          <w:rFonts w:cs="FrankRuehl" w:hint="cs"/>
          <w:rtl/>
          <w:lang w:eastAsia="en-US"/>
        </w:rPr>
      </w:pPr>
      <w:r>
        <w:rPr>
          <w:lang w:val="he-IL"/>
        </w:rPr>
        <w:pict>
          <v:rect id="_x0000_s1271" style="position:absolute;left:0;text-align:left;margin-left:464.5pt;margin-top:8.05pt;width:75.05pt;height:18.25pt;z-index:251658240" o:allowincell="f" filled="f" stroked="f" strokecolor="lime" strokeweight=".25pt">
            <v:textbox style="mso-next-textbox:#_x0000_s1271" inset="0,0,0,0">
              <w:txbxContent>
                <w:p w:rsidR="00C06713" w:rsidRDefault="00907ACF" w:rsidP="00C06713">
                  <w:pPr>
                    <w:spacing w:line="160" w:lineRule="exact"/>
                    <w:jc w:val="left"/>
                    <w:rPr>
                      <w:rFonts w:cs="Miriam" w:hint="cs"/>
                      <w:noProof/>
                      <w:szCs w:val="18"/>
                      <w:rtl/>
                      <w:lang w:eastAsia="en-US"/>
                    </w:rPr>
                  </w:pPr>
                  <w:r>
                    <w:rPr>
                      <w:rFonts w:cs="Miriam" w:hint="cs"/>
                      <w:szCs w:val="18"/>
                      <w:rtl/>
                      <w:lang w:eastAsia="en-US"/>
                    </w:rPr>
                    <w:t>תיקון חוק לשינוי נטל המס (תיקוני חקיקה)</w:t>
                  </w:r>
                </w:p>
              </w:txbxContent>
            </v:textbox>
            <w10:anchorlock/>
          </v:rect>
        </w:pict>
      </w:r>
      <w:r w:rsidR="00907ACF">
        <w:rPr>
          <w:rStyle w:val="big-number"/>
          <w:rFonts w:hint="cs"/>
          <w:rtl/>
          <w:lang w:eastAsia="en-US"/>
        </w:rPr>
        <w:t>6</w:t>
      </w:r>
      <w:r>
        <w:rPr>
          <w:rStyle w:val="default"/>
          <w:rFonts w:cs="FrankRuehl"/>
          <w:rtl/>
        </w:rPr>
        <w:t>.</w:t>
      </w:r>
      <w:r>
        <w:rPr>
          <w:rStyle w:val="default"/>
          <w:rFonts w:cs="FrankRuehl"/>
          <w:rtl/>
        </w:rPr>
        <w:tab/>
      </w:r>
      <w:r w:rsidR="00907ACF">
        <w:rPr>
          <w:rStyle w:val="default"/>
          <w:rFonts w:cs="FrankRuehl" w:hint="cs"/>
          <w:rtl/>
          <w:lang w:eastAsia="en-US"/>
        </w:rPr>
        <w:t xml:space="preserve">בחוק לשינוי נטל המס (תיקוני חקיקה), התשע"ב-2011, בסעיף 8 </w:t>
      </w:r>
      <w:r w:rsidR="00907ACF">
        <w:rPr>
          <w:rStyle w:val="default"/>
          <w:rFonts w:cs="FrankRuehl"/>
          <w:rtl/>
          <w:lang w:eastAsia="en-US"/>
        </w:rPr>
        <w:t>–</w:t>
      </w:r>
    </w:p>
    <w:p w:rsidR="00907ACF" w:rsidRDefault="00907ACF" w:rsidP="00907ACF">
      <w:pPr>
        <w:pStyle w:val="P00"/>
        <w:spacing w:before="72"/>
        <w:ind w:left="624"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בסעיף קטן (א), במקום "בתקופה של שנה מיום תחילתו של חוק זה" יבוא "בתקופה שמיום תחילתו של חוק זה עד יום כ"ח בטבת התשע"ד (31 בדצמבר 2013)";</w:t>
      </w:r>
    </w:p>
    <w:p w:rsidR="00907ACF" w:rsidRDefault="00907ACF" w:rsidP="00907ACF">
      <w:pPr>
        <w:pStyle w:val="P00"/>
        <w:spacing w:before="72"/>
        <w:ind w:left="624"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בסעיף קטן (ב), במקום "בשנת הכספים 2012" יבוא "בכל אחת משנות הכספים 2012 ו-2013";</w:t>
      </w:r>
    </w:p>
    <w:p w:rsidR="00907ACF" w:rsidRDefault="00907ACF" w:rsidP="00907ACF">
      <w:pPr>
        <w:pStyle w:val="P00"/>
        <w:spacing w:before="72"/>
        <w:ind w:left="624"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בסעיף קטן (ג) במקום "בשנת 2012" יבוא "בכל אחת משנות הכספים 2012 ו-2013" ואחרי "150 מיליון שקלים חדשים" יבוא "בכל אחת משנות הכספים האמורות".</w:t>
      </w:r>
    </w:p>
    <w:p w:rsidR="00C06713" w:rsidRDefault="00C06713" w:rsidP="00907ACF">
      <w:pPr>
        <w:pStyle w:val="P00"/>
        <w:spacing w:before="72"/>
        <w:ind w:left="0" w:right="1134"/>
        <w:rPr>
          <w:rStyle w:val="default"/>
          <w:rFonts w:cs="FrankRuehl" w:hint="cs"/>
          <w:rtl/>
          <w:lang w:eastAsia="en-US"/>
        </w:rPr>
      </w:pPr>
      <w:r>
        <w:rPr>
          <w:lang w:val="he-IL"/>
        </w:rPr>
        <w:pict>
          <v:rect id="_x0000_s1272" style="position:absolute;left:0;text-align:left;margin-left:464.5pt;margin-top:8.05pt;width:75.05pt;height:27.15pt;z-index:251659264" o:allowincell="f" filled="f" stroked="f" strokecolor="lime" strokeweight=".25pt">
            <v:textbox style="mso-next-textbox:#_x0000_s1272" inset="0,0,0,0">
              <w:txbxContent>
                <w:p w:rsidR="00C06713" w:rsidRDefault="00907ACF" w:rsidP="00C06713">
                  <w:pPr>
                    <w:spacing w:line="160" w:lineRule="exact"/>
                    <w:jc w:val="left"/>
                    <w:rPr>
                      <w:rFonts w:cs="Miriam" w:hint="cs"/>
                      <w:noProof/>
                      <w:szCs w:val="18"/>
                      <w:rtl/>
                      <w:lang w:eastAsia="en-US"/>
                    </w:rPr>
                  </w:pPr>
                  <w:r>
                    <w:rPr>
                      <w:rFonts w:cs="Miriam" w:hint="cs"/>
                      <w:szCs w:val="18"/>
                      <w:rtl/>
                      <w:lang w:eastAsia="en-US"/>
                    </w:rPr>
                    <w:t xml:space="preserve">תיקון חוק מיסוי מקרקעין (שבח ורכישה) </w:t>
                  </w:r>
                  <w:r>
                    <w:rPr>
                      <w:rFonts w:cs="Miriam"/>
                      <w:szCs w:val="18"/>
                      <w:rtl/>
                      <w:lang w:eastAsia="en-US"/>
                    </w:rPr>
                    <w:t>–</w:t>
                  </w:r>
                  <w:r>
                    <w:rPr>
                      <w:rFonts w:cs="Miriam" w:hint="cs"/>
                      <w:szCs w:val="18"/>
                      <w:rtl/>
                      <w:lang w:eastAsia="en-US"/>
                    </w:rPr>
                    <w:t xml:space="preserve"> מס' 73</w:t>
                  </w:r>
                </w:p>
              </w:txbxContent>
            </v:textbox>
            <w10:anchorlock/>
          </v:rect>
        </w:pict>
      </w:r>
      <w:r w:rsidR="00907ACF">
        <w:rPr>
          <w:rStyle w:val="big-number"/>
          <w:rFonts w:hint="cs"/>
          <w:rtl/>
          <w:lang w:eastAsia="en-US"/>
        </w:rPr>
        <w:t>7</w:t>
      </w:r>
      <w:r>
        <w:rPr>
          <w:rStyle w:val="default"/>
          <w:rFonts w:cs="FrankRuehl"/>
          <w:rtl/>
        </w:rPr>
        <w:t>.</w:t>
      </w:r>
      <w:r>
        <w:rPr>
          <w:rStyle w:val="default"/>
          <w:rFonts w:cs="FrankRuehl"/>
          <w:rtl/>
        </w:rPr>
        <w:tab/>
      </w:r>
      <w:r w:rsidR="00907ACF">
        <w:rPr>
          <w:rStyle w:val="default"/>
          <w:rFonts w:cs="FrankRuehl" w:hint="cs"/>
          <w:rtl/>
          <w:lang w:eastAsia="en-US"/>
        </w:rPr>
        <w:t xml:space="preserve">בחוק מיסוי מקרקעין (שבח ורכישה), התשכ"ג-1963, בסעיף 49ב(1), הסיפה החל במילים "ואולם לעניין" </w:t>
      </w:r>
      <w:r w:rsidR="00907ACF">
        <w:rPr>
          <w:rStyle w:val="default"/>
          <w:rFonts w:cs="FrankRuehl"/>
          <w:rtl/>
          <w:lang w:eastAsia="en-US"/>
        </w:rPr>
        <w:t>–</w:t>
      </w:r>
      <w:r w:rsidR="00907ACF">
        <w:rPr>
          <w:rStyle w:val="default"/>
          <w:rFonts w:cs="FrankRuehl" w:hint="cs"/>
          <w:rtl/>
          <w:lang w:eastAsia="en-US"/>
        </w:rPr>
        <w:t xml:space="preserve"> תימחק.</w:t>
      </w:r>
    </w:p>
    <w:p w:rsidR="00556F5C" w:rsidRDefault="00556F5C">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907ACF" w:rsidRDefault="00907ACF" w:rsidP="00907A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Pr>
          <w:rFonts w:hint="cs"/>
          <w:rtl/>
          <w:lang w:eastAsia="en-US"/>
        </w:rPr>
        <w:tab/>
        <w:t>בנימין נתניהו</w:t>
      </w:r>
      <w:r>
        <w:rPr>
          <w:rFonts w:hint="cs"/>
          <w:rtl/>
          <w:lang w:eastAsia="en-US"/>
        </w:rPr>
        <w:tab/>
      </w:r>
      <w:r>
        <w:rPr>
          <w:rFonts w:hint="cs"/>
          <w:rtl/>
          <w:lang w:eastAsia="en-US"/>
        </w:rPr>
        <w:tab/>
        <w:t>יובל שטייניץ</w:t>
      </w:r>
    </w:p>
    <w:p w:rsidR="00907ACF" w:rsidRDefault="00907ACF" w:rsidP="00907A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Pr>
          <w:rFonts w:hint="cs"/>
          <w:sz w:val="22"/>
          <w:szCs w:val="22"/>
          <w:rtl/>
          <w:lang w:eastAsia="en-US"/>
        </w:rPr>
        <w:tab/>
        <w:t>ראש הממשלה</w:t>
      </w:r>
      <w:r>
        <w:rPr>
          <w:rFonts w:hint="cs"/>
          <w:sz w:val="22"/>
          <w:szCs w:val="22"/>
          <w:rtl/>
          <w:lang w:eastAsia="en-US"/>
        </w:rPr>
        <w:tab/>
      </w:r>
      <w:r>
        <w:rPr>
          <w:rFonts w:hint="cs"/>
          <w:sz w:val="22"/>
          <w:szCs w:val="22"/>
          <w:rtl/>
          <w:lang w:eastAsia="en-US"/>
        </w:rPr>
        <w:tab/>
        <w:t>שר האוצר</w:t>
      </w:r>
    </w:p>
    <w:p w:rsidR="00567FB0" w:rsidRDefault="00567FB0" w:rsidP="00907A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hint="cs"/>
          <w:rtl/>
          <w:lang w:eastAsia="en-US"/>
        </w:rPr>
      </w:pPr>
      <w:r>
        <w:rPr>
          <w:rFonts w:hint="cs"/>
          <w:rtl/>
          <w:lang w:eastAsia="en-US"/>
        </w:rPr>
        <w:tab/>
      </w:r>
      <w:r w:rsidR="00907ACF">
        <w:rPr>
          <w:rFonts w:hint="cs"/>
          <w:rtl/>
          <w:lang w:eastAsia="en-US"/>
        </w:rPr>
        <w:t>שמעון פרס</w:t>
      </w:r>
      <w:r w:rsidR="00907ACF">
        <w:rPr>
          <w:rFonts w:hint="cs"/>
          <w:rtl/>
          <w:lang w:eastAsia="en-US"/>
        </w:rPr>
        <w:tab/>
      </w:r>
      <w:r w:rsidR="00907ACF">
        <w:rPr>
          <w:rFonts w:hint="cs"/>
          <w:rtl/>
          <w:lang w:eastAsia="en-US"/>
        </w:rPr>
        <w:tab/>
        <w:t>ראובן ריבלין</w:t>
      </w:r>
    </w:p>
    <w:p w:rsidR="00567FB0" w:rsidRDefault="00567FB0" w:rsidP="00907ACF">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0"/>
        <w:ind w:left="0" w:right="1134"/>
        <w:rPr>
          <w:rFonts w:hint="cs"/>
          <w:sz w:val="22"/>
          <w:szCs w:val="22"/>
          <w:rtl/>
          <w:lang w:eastAsia="en-US"/>
        </w:rPr>
      </w:pPr>
      <w:r>
        <w:rPr>
          <w:rFonts w:hint="cs"/>
          <w:sz w:val="22"/>
          <w:szCs w:val="22"/>
          <w:rtl/>
          <w:lang w:eastAsia="en-US"/>
        </w:rPr>
        <w:tab/>
      </w:r>
      <w:r w:rsidR="00907ACF">
        <w:rPr>
          <w:rFonts w:hint="cs"/>
          <w:sz w:val="22"/>
          <w:szCs w:val="22"/>
          <w:rtl/>
          <w:lang w:eastAsia="en-US"/>
        </w:rPr>
        <w:t>נשיא המדינה</w:t>
      </w:r>
      <w:r w:rsidR="00907ACF">
        <w:rPr>
          <w:rFonts w:hint="cs"/>
          <w:sz w:val="22"/>
          <w:szCs w:val="22"/>
          <w:rtl/>
          <w:lang w:eastAsia="en-US"/>
        </w:rPr>
        <w:tab/>
      </w:r>
      <w:r w:rsidR="00907ACF">
        <w:rPr>
          <w:rFonts w:hint="cs"/>
          <w:sz w:val="22"/>
          <w:szCs w:val="22"/>
          <w:rtl/>
          <w:lang w:eastAsia="en-US"/>
        </w:rPr>
        <w:tab/>
        <w:t>יושב ראש הכנסת</w:t>
      </w:r>
    </w:p>
    <w:p w:rsidR="00C06713" w:rsidRDefault="00C06713">
      <w:pPr>
        <w:pStyle w:val="P00"/>
        <w:spacing w:before="72"/>
        <w:ind w:left="0" w:right="1134"/>
        <w:rPr>
          <w:rStyle w:val="default"/>
          <w:rFonts w:cs="FrankRuehl" w:hint="cs"/>
          <w:rtl/>
          <w:lang w:eastAsia="en-US"/>
        </w:rPr>
      </w:pPr>
    </w:p>
    <w:p w:rsidR="001F25A3" w:rsidRDefault="001F25A3">
      <w:pPr>
        <w:pStyle w:val="P00"/>
        <w:spacing w:before="72"/>
        <w:ind w:left="0" w:right="1134"/>
        <w:rPr>
          <w:rStyle w:val="default"/>
          <w:rFonts w:cs="FrankRuehl"/>
          <w:rtl/>
          <w:lang w:eastAsia="en-US"/>
        </w:rPr>
      </w:pPr>
    </w:p>
    <w:p w:rsidR="00A924B5" w:rsidRDefault="00A924B5">
      <w:pPr>
        <w:pStyle w:val="P00"/>
        <w:spacing w:before="72"/>
        <w:ind w:left="0" w:right="1134"/>
        <w:rPr>
          <w:rStyle w:val="default"/>
          <w:rFonts w:cs="FrankRuehl"/>
          <w:rtl/>
          <w:lang w:eastAsia="en-US"/>
        </w:rPr>
      </w:pPr>
    </w:p>
    <w:p w:rsidR="00A924B5" w:rsidRDefault="00A924B5">
      <w:pPr>
        <w:pStyle w:val="P00"/>
        <w:spacing w:before="72"/>
        <w:ind w:left="0" w:right="1134"/>
        <w:rPr>
          <w:rStyle w:val="default"/>
          <w:rFonts w:cs="FrankRuehl"/>
          <w:rtl/>
          <w:lang w:eastAsia="en-US"/>
        </w:rPr>
      </w:pPr>
    </w:p>
    <w:p w:rsidR="00A924B5" w:rsidRDefault="00A924B5" w:rsidP="00A924B5">
      <w:pPr>
        <w:pStyle w:val="P00"/>
        <w:spacing w:before="72"/>
        <w:ind w:left="0" w:right="1134"/>
        <w:jc w:val="center"/>
        <w:rPr>
          <w:rStyle w:val="default"/>
          <w:rFonts w:cs="David"/>
          <w:color w:val="0000FF"/>
          <w:szCs w:val="24"/>
          <w:u w:val="single"/>
          <w:rtl/>
          <w:lang w:eastAsia="en-US"/>
        </w:rPr>
      </w:pPr>
      <w:hyperlink r:id="rId10" w:history="1">
        <w:r>
          <w:rPr>
            <w:rStyle w:val="Hyperlink"/>
            <w:rFonts w:cs="David"/>
            <w:noProof w:val="0"/>
            <w:sz w:val="22"/>
            <w:szCs w:val="24"/>
            <w:rtl/>
          </w:rPr>
          <w:t>הודעה למנויים על עריכה ושינויים במסמכי פסיקה, חקיקה ועוד באתר נבו - הקש כאן</w:t>
        </w:r>
      </w:hyperlink>
    </w:p>
    <w:p w:rsidR="001F25A3" w:rsidRPr="00A924B5" w:rsidRDefault="001F25A3" w:rsidP="00A924B5">
      <w:pPr>
        <w:pStyle w:val="P00"/>
        <w:spacing w:before="72"/>
        <w:ind w:left="0" w:right="1134"/>
        <w:jc w:val="center"/>
        <w:rPr>
          <w:rStyle w:val="default"/>
          <w:rFonts w:cs="David"/>
          <w:color w:val="0000FF"/>
          <w:szCs w:val="24"/>
          <w:u w:val="single"/>
          <w:rtl/>
          <w:lang w:eastAsia="en-US"/>
        </w:rPr>
      </w:pPr>
    </w:p>
    <w:sectPr w:rsidR="001F25A3" w:rsidRPr="00A924B5">
      <w:headerReference w:type="even" r:id="rId11"/>
      <w:headerReference w:type="default" r:id="rId12"/>
      <w:footerReference w:type="even" r:id="rId13"/>
      <w:footerReference w:type="default" r:id="rId14"/>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70F9" w:rsidRDefault="00C470F9">
      <w:r>
        <w:separator/>
      </w:r>
    </w:p>
  </w:endnote>
  <w:endnote w:type="continuationSeparator" w:id="0">
    <w:p w:rsidR="00C470F9" w:rsidRDefault="00C470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924B5">
      <w:rPr>
        <w:rFonts w:cs="TopType Jerushalmi"/>
        <w:noProof/>
        <w:color w:val="000000"/>
        <w:sz w:val="14"/>
        <w:szCs w:val="14"/>
        <w:lang w:eastAsia="en-US"/>
      </w:rPr>
      <w:t>Z:\000-law\yael\2012\2012-07-29\tav\500_731.doc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DD54A3">
      <w:rPr>
        <w:noProof/>
        <w:sz w:val="24"/>
        <w:szCs w:val="24"/>
        <w:rtl/>
        <w:lang w:eastAsia="en-US"/>
      </w:rPr>
      <w:t>2</w:t>
    </w:r>
    <w:r>
      <w:rPr>
        <w:rFonts w:hAnsi="FrankRuehl"/>
        <w:sz w:val="24"/>
        <w:szCs w:val="24"/>
        <w:rtl/>
      </w:rPr>
      <w:fldChar w:fldCharType="end"/>
    </w:r>
  </w:p>
  <w:p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924B5">
      <w:rPr>
        <w:rFonts w:cs="TopType Jerushalmi"/>
        <w:noProof/>
        <w:color w:val="000000"/>
        <w:sz w:val="14"/>
        <w:szCs w:val="14"/>
        <w:lang w:eastAsia="en-US"/>
      </w:rPr>
      <w:t>Z:\000-law\yael\2012\2012-07-29\tav\500_731.doc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70F9" w:rsidRDefault="00C470F9">
      <w:pPr>
        <w:spacing w:before="60" w:line="240" w:lineRule="auto"/>
        <w:ind w:right="1134"/>
      </w:pPr>
      <w:r>
        <w:separator/>
      </w:r>
    </w:p>
  </w:footnote>
  <w:footnote w:type="continuationSeparator" w:id="0">
    <w:p w:rsidR="00C470F9" w:rsidRDefault="00C470F9">
      <w:pPr>
        <w:spacing w:before="60" w:line="240" w:lineRule="auto"/>
        <w:ind w:right="1134"/>
      </w:pPr>
      <w:r>
        <w:separator/>
      </w:r>
    </w:p>
  </w:footnote>
  <w:footnote w:id="1">
    <w:p w:rsidR="00BC0B32" w:rsidRDefault="00567FB0" w:rsidP="009E59E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BF7491">
        <w:rPr>
          <w:rFonts w:hint="cs"/>
          <w:sz w:val="20"/>
          <w:rtl/>
          <w:lang w:eastAsia="en-US"/>
        </w:rPr>
        <w:t xml:space="preserve"> פורסם</w:t>
      </w:r>
      <w:r>
        <w:rPr>
          <w:rFonts w:hint="cs"/>
          <w:sz w:val="20"/>
          <w:rtl/>
          <w:lang w:eastAsia="en-US"/>
        </w:rPr>
        <w:t xml:space="preserve"> </w:t>
      </w:r>
      <w:hyperlink r:id="rId1" w:history="1">
        <w:r w:rsidR="00C06713" w:rsidRPr="009E59E4">
          <w:rPr>
            <w:rStyle w:val="Hyperlink"/>
            <w:rFonts w:hint="cs"/>
            <w:rtl/>
            <w:lang w:eastAsia="en-US"/>
          </w:rPr>
          <w:t>ס"ח</w:t>
        </w:r>
        <w:r w:rsidRPr="009E59E4">
          <w:rPr>
            <w:rStyle w:val="Hyperlink"/>
            <w:rtl/>
            <w:lang w:eastAsia="en-US"/>
          </w:rPr>
          <w:t xml:space="preserve"> </w:t>
        </w:r>
        <w:r w:rsidR="00AE1CA0" w:rsidRPr="009E59E4">
          <w:rPr>
            <w:rStyle w:val="Hyperlink"/>
            <w:rFonts w:hint="cs"/>
            <w:rtl/>
            <w:lang w:eastAsia="en-US"/>
          </w:rPr>
          <w:t>תשע"ב</w:t>
        </w:r>
        <w:r w:rsidRPr="009E59E4">
          <w:rPr>
            <w:rStyle w:val="Hyperlink"/>
            <w:rtl/>
            <w:lang w:eastAsia="en-US"/>
          </w:rPr>
          <w:t xml:space="preserve"> מס' </w:t>
        </w:r>
        <w:r w:rsidR="00C06713" w:rsidRPr="009E59E4">
          <w:rPr>
            <w:rStyle w:val="Hyperlink"/>
            <w:rFonts w:hint="cs"/>
            <w:rtl/>
            <w:lang w:eastAsia="en-US"/>
          </w:rPr>
          <w:t>2370</w:t>
        </w:r>
      </w:hyperlink>
      <w:r w:rsidR="00CC30A4">
        <w:rPr>
          <w:rFonts w:hint="cs"/>
          <w:rtl/>
          <w:lang w:eastAsia="en-US"/>
        </w:rPr>
        <w:t xml:space="preserve"> מיום </w:t>
      </w:r>
      <w:r w:rsidR="00C06713">
        <w:rPr>
          <w:rFonts w:hint="cs"/>
          <w:rtl/>
          <w:lang w:eastAsia="en-US"/>
        </w:rPr>
        <w:t>23</w:t>
      </w:r>
      <w:r w:rsidR="00AE1CA0">
        <w:rPr>
          <w:rFonts w:hint="cs"/>
          <w:rtl/>
          <w:lang w:eastAsia="en-US"/>
        </w:rPr>
        <w:t>.7.2012</w:t>
      </w:r>
      <w:r w:rsidR="00CC30A4">
        <w:rPr>
          <w:rFonts w:hint="cs"/>
          <w:rtl/>
          <w:lang w:eastAsia="en-US"/>
        </w:rPr>
        <w:t xml:space="preserve"> עמ' </w:t>
      </w:r>
      <w:r w:rsidR="00C06713">
        <w:rPr>
          <w:rFonts w:hint="cs"/>
          <w:rtl/>
          <w:lang w:eastAsia="en-US"/>
        </w:rPr>
        <w:t>519 (</w:t>
      </w:r>
      <w:hyperlink r:id="rId2" w:history="1">
        <w:r w:rsidR="00C06713" w:rsidRPr="00C06713">
          <w:rPr>
            <w:rStyle w:val="Hyperlink"/>
            <w:rFonts w:hint="cs"/>
            <w:rtl/>
            <w:lang w:eastAsia="en-US"/>
          </w:rPr>
          <w:t>ה"ח הממשלה תשע"א מס' 603</w:t>
        </w:r>
      </w:hyperlink>
      <w:r w:rsidR="00C06713">
        <w:rPr>
          <w:rFonts w:hint="cs"/>
          <w:rtl/>
          <w:lang w:eastAsia="en-US"/>
        </w:rPr>
        <w:t xml:space="preserve"> עמ' 1292, </w:t>
      </w:r>
      <w:hyperlink r:id="rId3" w:history="1">
        <w:r w:rsidR="00C06713" w:rsidRPr="00C06713">
          <w:rPr>
            <w:rStyle w:val="Hyperlink"/>
            <w:rFonts w:hint="cs"/>
            <w:rtl/>
            <w:lang w:eastAsia="en-US"/>
          </w:rPr>
          <w:t>ה"ח הממשלה תשע"ב מס' 686</w:t>
        </w:r>
      </w:hyperlink>
      <w:r w:rsidR="00C06713">
        <w:rPr>
          <w:rFonts w:hint="cs"/>
          <w:rtl/>
          <w:lang w:eastAsia="en-US"/>
        </w:rPr>
        <w:t xml:space="preserve"> עמ' 826)</w:t>
      </w:r>
      <w:r w:rsidR="00556F5C">
        <w:rPr>
          <w:rFonts w:hint="cs"/>
          <w:rtl/>
          <w:lang w:eastAsia="en-US"/>
        </w:rPr>
        <w:t>.</w:t>
      </w:r>
    </w:p>
    <w:p w:rsidR="00DD54A3" w:rsidRDefault="006072A6" w:rsidP="00DD54A3">
      <w:pPr>
        <w:pStyle w:val="footnote"/>
        <w:tabs>
          <w:tab w:val="left" w:pos="624"/>
          <w:tab w:val="left" w:pos="1021"/>
          <w:tab w:val="left" w:pos="1474"/>
          <w:tab w:val="left" w:pos="1928"/>
          <w:tab w:val="left" w:pos="2381"/>
          <w:tab w:val="left" w:pos="2835"/>
          <w:tab w:val="right" w:leader="dot" w:pos="6259"/>
        </w:tabs>
        <w:spacing w:before="72"/>
        <w:ind w:left="0" w:right="1134"/>
        <w:rPr>
          <w:rtl/>
        </w:rPr>
      </w:pPr>
      <w:r>
        <w:rPr>
          <w:rFonts w:hint="cs"/>
          <w:rtl/>
          <w:lang w:eastAsia="en-US"/>
        </w:rPr>
        <w:t xml:space="preserve">תוקן </w:t>
      </w:r>
      <w:hyperlink r:id="rId4" w:history="1">
        <w:r w:rsidRPr="00DD54A3">
          <w:rPr>
            <w:rStyle w:val="Hyperlink"/>
            <w:rFonts w:hint="cs"/>
            <w:rtl/>
          </w:rPr>
          <w:t>ס"ח תשע"ו מס' 2547</w:t>
        </w:r>
      </w:hyperlink>
      <w:r w:rsidRPr="0055417B">
        <w:rPr>
          <w:rFonts w:hint="cs"/>
          <w:rtl/>
        </w:rPr>
        <w:t xml:space="preserve"> מיום 7.4.2016 עמ' </w:t>
      </w:r>
      <w:r>
        <w:rPr>
          <w:rFonts w:hint="cs"/>
          <w:rtl/>
        </w:rPr>
        <w:t>736</w:t>
      </w:r>
      <w:r w:rsidRPr="0055417B">
        <w:rPr>
          <w:rFonts w:hint="cs"/>
          <w:rtl/>
        </w:rPr>
        <w:t xml:space="preserve"> (</w:t>
      </w:r>
      <w:hyperlink r:id="rId5" w:history="1">
        <w:r w:rsidRPr="0055417B">
          <w:rPr>
            <w:rStyle w:val="Hyperlink"/>
            <w:rFonts w:hint="cs"/>
            <w:rtl/>
          </w:rPr>
          <w:t>ה"ח הממשלה תשע"ו מס' 1000</w:t>
        </w:r>
      </w:hyperlink>
      <w:r w:rsidRPr="0055417B">
        <w:rPr>
          <w:rFonts w:hint="cs"/>
          <w:rtl/>
        </w:rPr>
        <w:t xml:space="preserve"> עמ' 360) </w:t>
      </w:r>
      <w:r w:rsidRPr="0055417B">
        <w:rPr>
          <w:rtl/>
        </w:rPr>
        <w:t>–</w:t>
      </w:r>
      <w:r w:rsidRPr="0055417B">
        <w:rPr>
          <w:rFonts w:hint="cs"/>
          <w:rtl/>
        </w:rPr>
        <w:t xml:space="preserve"> תיקון מס' </w:t>
      </w:r>
      <w:r>
        <w:rPr>
          <w:rFonts w:hint="cs"/>
          <w:rtl/>
        </w:rPr>
        <w:t xml:space="preserve">1 בסעיף </w:t>
      </w:r>
      <w:r w:rsidR="00D51764">
        <w:rPr>
          <w:rFonts w:hint="cs"/>
          <w:rtl/>
        </w:rPr>
        <w:t>7</w:t>
      </w:r>
      <w:r>
        <w:rPr>
          <w:rFonts w:hint="cs"/>
          <w:rtl/>
        </w:rPr>
        <w:t xml:space="preserve"> לחוק לתיקון פקודת מס הכנסה (מס' 222), תשע"ו-2016</w:t>
      </w:r>
      <w:r w:rsidRPr="0055417B">
        <w:rPr>
          <w:rFonts w:hint="cs"/>
          <w:rtl/>
        </w:rPr>
        <w:t>; תחילתו 60 ימים מיום פרסומו.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C06713" w:rsidP="00AE1CA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חוק מס הכנסה (פטור ממס לקופת גמל על הכנסה מדמי שכירות בשל השכרת דירות מגורים לטווח ארוך</w:t>
    </w:r>
    <w:r w:rsidR="008C30A6">
      <w:rPr>
        <w:rFonts w:hint="cs"/>
        <w:color w:val="000000"/>
        <w:sz w:val="28"/>
        <w:szCs w:val="28"/>
        <w:rtl/>
        <w:lang w:eastAsia="en-US"/>
      </w:rPr>
      <w:t>)</w:t>
    </w:r>
    <w:r w:rsidR="00567FB0">
      <w:rPr>
        <w:color w:val="000000"/>
        <w:sz w:val="28"/>
        <w:szCs w:val="28"/>
        <w:rtl/>
        <w:lang w:eastAsia="en-US"/>
      </w:rPr>
      <w:t xml:space="preserve">, </w:t>
    </w:r>
    <w:r w:rsidR="00AE1CA0">
      <w:rPr>
        <w:rFonts w:hint="cs"/>
        <w:color w:val="000000"/>
        <w:sz w:val="28"/>
        <w:szCs w:val="28"/>
        <w:rtl/>
        <w:lang w:eastAsia="en-US"/>
      </w:rPr>
      <w:t>תשע"ב-2012</w:t>
    </w:r>
  </w:p>
  <w:p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F028E"/>
    <w:rsid w:val="000F4CE7"/>
    <w:rsid w:val="00104019"/>
    <w:rsid w:val="001F25A3"/>
    <w:rsid w:val="002120D0"/>
    <w:rsid w:val="00224F76"/>
    <w:rsid w:val="0023140C"/>
    <w:rsid w:val="00403899"/>
    <w:rsid w:val="00501E1F"/>
    <w:rsid w:val="00556F5C"/>
    <w:rsid w:val="00567FB0"/>
    <w:rsid w:val="005750C8"/>
    <w:rsid w:val="00597F37"/>
    <w:rsid w:val="005A76F3"/>
    <w:rsid w:val="006072A6"/>
    <w:rsid w:val="0067108B"/>
    <w:rsid w:val="00674DC3"/>
    <w:rsid w:val="006D0958"/>
    <w:rsid w:val="00770265"/>
    <w:rsid w:val="008070F9"/>
    <w:rsid w:val="008C30A6"/>
    <w:rsid w:val="008C726F"/>
    <w:rsid w:val="00907ACF"/>
    <w:rsid w:val="009B24E8"/>
    <w:rsid w:val="009C2338"/>
    <w:rsid w:val="009E59E4"/>
    <w:rsid w:val="00A37BD6"/>
    <w:rsid w:val="00A9124E"/>
    <w:rsid w:val="00A924B5"/>
    <w:rsid w:val="00AE1CA0"/>
    <w:rsid w:val="00BC0B32"/>
    <w:rsid w:val="00BF7491"/>
    <w:rsid w:val="00C06713"/>
    <w:rsid w:val="00C470F9"/>
    <w:rsid w:val="00CC30A4"/>
    <w:rsid w:val="00CC79BA"/>
    <w:rsid w:val="00D51764"/>
    <w:rsid w:val="00D97210"/>
    <w:rsid w:val="00DD54A3"/>
    <w:rsid w:val="00DF42A6"/>
    <w:rsid w:val="00F11BFE"/>
    <w:rsid w:val="00F80F5F"/>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7ED106A-B9FD-4DFF-B16C-0845DF929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2547.pdf"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_word/law15/memshala-1000.pdf"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_word/law14/law-2547.pdf"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15/memshala-1000.pdf"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5/memshala-686.pdf" TargetMode="External"/><Relationship Id="rId2" Type="http://schemas.openxmlformats.org/officeDocument/2006/relationships/hyperlink" Target="http://www.nevo.co.il/Law_word/law15/memshala-603.pdf" TargetMode="External"/><Relationship Id="rId1" Type="http://schemas.openxmlformats.org/officeDocument/2006/relationships/hyperlink" Target="http://www.nevo.co.il/Law_word/law14/LAW-2370.pdf" TargetMode="External"/><Relationship Id="rId5" Type="http://schemas.openxmlformats.org/officeDocument/2006/relationships/hyperlink" Target="http://www.nevo.co.il/Law_word/law15/memshala-1000.pdf" TargetMode="External"/><Relationship Id="rId4" Type="http://schemas.openxmlformats.org/officeDocument/2006/relationships/hyperlink" Target="http://www.nevo.co.il/law_word/law14/law-25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7810</CharactersWithSpaces>
  <SharedDoc>false</SharedDoc>
  <HLinks>
    <vt:vector size="90" baseType="variant">
      <vt:variant>
        <vt:i4>393283</vt:i4>
      </vt:variant>
      <vt:variant>
        <vt:i4>42</vt:i4>
      </vt:variant>
      <vt:variant>
        <vt:i4>0</vt:i4>
      </vt:variant>
      <vt:variant>
        <vt:i4>5</vt:i4>
      </vt:variant>
      <vt:variant>
        <vt:lpwstr>http://www.nevo.co.il/advertisements/nevo-100.doc</vt:lpwstr>
      </vt:variant>
      <vt:variant>
        <vt:lpwstr/>
      </vt:variant>
      <vt:variant>
        <vt:i4>1048680</vt:i4>
      </vt:variant>
      <vt:variant>
        <vt:i4>39</vt:i4>
      </vt:variant>
      <vt:variant>
        <vt:i4>0</vt:i4>
      </vt:variant>
      <vt:variant>
        <vt:i4>5</vt:i4>
      </vt:variant>
      <vt:variant>
        <vt:lpwstr>http://www.nevo.co.il/Law_word/law15/memshala-1000.pdf</vt:lpwstr>
      </vt:variant>
      <vt:variant>
        <vt:lpwstr/>
      </vt:variant>
      <vt:variant>
        <vt:i4>7929867</vt:i4>
      </vt:variant>
      <vt:variant>
        <vt:i4>36</vt:i4>
      </vt:variant>
      <vt:variant>
        <vt:i4>0</vt:i4>
      </vt:variant>
      <vt:variant>
        <vt:i4>5</vt:i4>
      </vt:variant>
      <vt:variant>
        <vt:lpwstr>http://www.nevo.co.il/law_word/law14/law-2547.pdf</vt:lpwstr>
      </vt:variant>
      <vt:variant>
        <vt:lpwstr/>
      </vt:variant>
      <vt:variant>
        <vt:i4>1048680</vt:i4>
      </vt:variant>
      <vt:variant>
        <vt:i4>33</vt:i4>
      </vt:variant>
      <vt:variant>
        <vt:i4>0</vt:i4>
      </vt:variant>
      <vt:variant>
        <vt:i4>5</vt:i4>
      </vt:variant>
      <vt:variant>
        <vt:lpwstr>http://www.nevo.co.il/Law_word/law15/memshala-1000.pdf</vt:lpwstr>
      </vt:variant>
      <vt:variant>
        <vt:lpwstr/>
      </vt:variant>
      <vt:variant>
        <vt:i4>7929867</vt:i4>
      </vt:variant>
      <vt:variant>
        <vt:i4>30</vt:i4>
      </vt:variant>
      <vt:variant>
        <vt:i4>0</vt:i4>
      </vt:variant>
      <vt:variant>
        <vt:i4>5</vt:i4>
      </vt:variant>
      <vt:variant>
        <vt:lpwstr>http://www.nevo.co.il/law_word/law14/law-2547.pdf</vt:lpwstr>
      </vt:variant>
      <vt:variant>
        <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1048680</vt:i4>
      </vt:variant>
      <vt:variant>
        <vt:i4>12</vt:i4>
      </vt:variant>
      <vt:variant>
        <vt:i4>0</vt:i4>
      </vt:variant>
      <vt:variant>
        <vt:i4>5</vt:i4>
      </vt:variant>
      <vt:variant>
        <vt:lpwstr>http://www.nevo.co.il/Law_word/law15/memshala-1000.pdf</vt:lpwstr>
      </vt:variant>
      <vt:variant>
        <vt:lpwstr/>
      </vt:variant>
      <vt:variant>
        <vt:i4>7929867</vt:i4>
      </vt:variant>
      <vt:variant>
        <vt:i4>9</vt:i4>
      </vt:variant>
      <vt:variant>
        <vt:i4>0</vt:i4>
      </vt:variant>
      <vt:variant>
        <vt:i4>5</vt:i4>
      </vt:variant>
      <vt:variant>
        <vt:lpwstr>http://www.nevo.co.il/law_word/law14/law-2547.pdf</vt:lpwstr>
      </vt:variant>
      <vt:variant>
        <vt:lpwstr/>
      </vt:variant>
      <vt:variant>
        <vt:i4>7602259</vt:i4>
      </vt:variant>
      <vt:variant>
        <vt:i4>6</vt:i4>
      </vt:variant>
      <vt:variant>
        <vt:i4>0</vt:i4>
      </vt:variant>
      <vt:variant>
        <vt:i4>5</vt:i4>
      </vt:variant>
      <vt:variant>
        <vt:lpwstr>http://www.nevo.co.il/Law_word/law15/memshala-686.pdf</vt:lpwstr>
      </vt:variant>
      <vt:variant>
        <vt:lpwstr/>
      </vt:variant>
      <vt:variant>
        <vt:i4>8126550</vt:i4>
      </vt:variant>
      <vt:variant>
        <vt:i4>3</vt:i4>
      </vt:variant>
      <vt:variant>
        <vt:i4>0</vt:i4>
      </vt:variant>
      <vt:variant>
        <vt:i4>5</vt:i4>
      </vt:variant>
      <vt:variant>
        <vt:lpwstr>http://www.nevo.co.il/Law_word/law15/memshala-603.pdf</vt:lpwstr>
      </vt:variant>
      <vt:variant>
        <vt:lpwstr/>
      </vt:variant>
      <vt:variant>
        <vt:i4>7995402</vt:i4>
      </vt:variant>
      <vt:variant>
        <vt:i4>0</vt:i4>
      </vt:variant>
      <vt:variant>
        <vt:i4>0</vt:i4>
      </vt:variant>
      <vt:variant>
        <vt:i4>5</vt:i4>
      </vt:variant>
      <vt:variant>
        <vt:lpwstr>http://www.nevo.co.il/Law_word/law14/LAW-2370.pdf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2023-06-05T19:04:00Z</dcterms:created>
  <dcterms:modified xsi:type="dcterms:W3CDTF">2023-06-05T19:04:00Z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מס הכנסה</vt:lpwstr>
  </property>
  <property fmtid="{D5CDD505-2E9C-101B-9397-08002B2CF9AE}" pid="4" name="LAWNAME">
    <vt:lpwstr>חוק מס הכנסה (פטור ממס לקופת גמל על הכנסה מדמי שכירות בשל השכרת דירות מגורים לטווח ארוך), תשע"ב-2012</vt:lpwstr>
  </property>
  <property fmtid="{D5CDD505-2E9C-101B-9397-08002B2CF9AE}" pid="5" name="LAWNUMBER">
    <vt:lpwstr>0731</vt:lpwstr>
  </property>
  <property fmtid="{D5CDD505-2E9C-101B-9397-08002B2CF9AE}" pid="6" name="TYPE">
    <vt:lpwstr>01</vt:lpwstr>
  </property>
  <property fmtid="{D5CDD505-2E9C-101B-9397-08002B2CF9AE}" pid="7" name="LINKK2">
    <vt:lpwstr>http://www.nevo.co.il/law_word/law14/law-2547.pdf;‎רשומות - ספר חוקים#תוקן ס"ח תשע"ו מס' ‏‏2547 #מיום 7.4.2016 עמ' 736– תיקון מס' 1 בסעיף 7 לחוק לתיקון פקודת מס הכנסה (מס' 222), ‏תשע"ו-2016; תחילתו 60 ימים מיום פרסומו</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קופות גמל</vt:lpwstr>
  </property>
  <property fmtid="{D5CDD505-2E9C-101B-9397-08002B2CF9AE}" pid="25" name="NOSE41">
    <vt:lpwstr>מיסוי ופטור ממס</vt:lpwstr>
  </property>
  <property fmtid="{D5CDD505-2E9C-101B-9397-08002B2CF9AE}" pid="26" name="NOSE12">
    <vt:lpwstr>מסים</vt:lpwstr>
  </property>
  <property fmtid="{D5CDD505-2E9C-101B-9397-08002B2CF9AE}" pid="27" name="NOSE22">
    <vt:lpwstr>מס הכנסה</vt:lpwstr>
  </property>
  <property fmtid="{D5CDD505-2E9C-101B-9397-08002B2CF9AE}" pid="28" name="NOSE32">
    <vt:lpwstr>פטור ממס: כללי</vt:lpwstr>
  </property>
  <property fmtid="{D5CDD505-2E9C-101B-9397-08002B2CF9AE}" pid="29" name="NOSE42">
    <vt:lpwstr>דמי שכירות והשכרה</vt:lpwstr>
  </property>
  <property fmtid="{D5CDD505-2E9C-101B-9397-08002B2CF9AE}" pid="30" name="NOSE13">
    <vt:lpwstr>מסים</vt:lpwstr>
  </property>
  <property fmtid="{D5CDD505-2E9C-101B-9397-08002B2CF9AE}" pid="31" name="NOSE23">
    <vt:lpwstr>מס הכנסה</vt:lpwstr>
  </property>
  <property fmtid="{D5CDD505-2E9C-101B-9397-08002B2CF9AE}" pid="32" name="NOSE33">
    <vt:lpwstr>קופות גמל</vt:lpwstr>
  </property>
  <property fmtid="{D5CDD505-2E9C-101B-9397-08002B2CF9AE}" pid="33" name="NOSE43">
    <vt:lpwstr/>
  </property>
  <property fmtid="{D5CDD505-2E9C-101B-9397-08002B2CF9AE}" pid="34" name="NOSE14">
    <vt:lpwstr>משפט פרטי וכלכלה</vt:lpwstr>
  </property>
  <property fmtid="{D5CDD505-2E9C-101B-9397-08002B2CF9AE}" pid="35" name="NOSE24">
    <vt:lpwstr>קניין</vt:lpwstr>
  </property>
  <property fmtid="{D5CDD505-2E9C-101B-9397-08002B2CF9AE}" pid="36" name="NOSE34">
    <vt:lpwstr>שכירות והגנת הדייר</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http://www.nevo.co.il/Law_word/law14/LAW-2370.pdf;רשומות - ספר חוקים#פורסם ס"ח תשע"ב מס' 2370 #מיום 23.7.2012 עמ' 519 </vt:lpwstr>
  </property>
</Properties>
</file>