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513C" w:rsidRDefault="00AB513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חוק סיוע לקטינים נפגעי עבירות מין או אלימות, תשס"ח-2008</w:t>
      </w:r>
    </w:p>
    <w:p w:rsidR="00134D08" w:rsidRDefault="00134D08" w:rsidP="00134D08">
      <w:pPr>
        <w:spacing w:line="320" w:lineRule="auto"/>
        <w:rPr>
          <w:rFonts w:hint="cs"/>
          <w:rtl/>
        </w:rPr>
      </w:pPr>
    </w:p>
    <w:p w:rsidR="005976AA" w:rsidRDefault="005976AA" w:rsidP="00134D08">
      <w:pPr>
        <w:spacing w:line="320" w:lineRule="auto"/>
        <w:rPr>
          <w:rFonts w:hint="cs"/>
          <w:rtl/>
        </w:rPr>
      </w:pPr>
    </w:p>
    <w:p w:rsidR="00134D08" w:rsidRDefault="00134D08" w:rsidP="00134D08">
      <w:pPr>
        <w:spacing w:line="320" w:lineRule="auto"/>
        <w:rPr>
          <w:rFonts w:cs="FrankRuehl"/>
          <w:szCs w:val="26"/>
          <w:rtl/>
        </w:rPr>
      </w:pPr>
      <w:r w:rsidRPr="00134D08">
        <w:rPr>
          <w:rFonts w:cs="Miriam"/>
          <w:szCs w:val="22"/>
          <w:rtl/>
        </w:rPr>
        <w:t>עונשין ומשפט פלילי</w:t>
      </w:r>
      <w:r w:rsidRPr="00134D08">
        <w:rPr>
          <w:rFonts w:cs="FrankRuehl"/>
          <w:szCs w:val="26"/>
          <w:rtl/>
        </w:rPr>
        <w:t xml:space="preserve"> – סיוע לנפגע עברה – עבירות מין – קטינים</w:t>
      </w:r>
    </w:p>
    <w:p w:rsidR="00B51F3F" w:rsidRPr="00134D08" w:rsidRDefault="00134D08" w:rsidP="00134D08">
      <w:pPr>
        <w:spacing w:line="320" w:lineRule="auto"/>
        <w:rPr>
          <w:rFonts w:cs="Miriam"/>
          <w:szCs w:val="22"/>
          <w:rtl/>
        </w:rPr>
      </w:pPr>
      <w:r w:rsidRPr="00134D08">
        <w:rPr>
          <w:rFonts w:cs="Miriam"/>
          <w:szCs w:val="22"/>
          <w:rtl/>
        </w:rPr>
        <w:t>עונשין ומשפט פלילי</w:t>
      </w:r>
      <w:r w:rsidRPr="00134D08">
        <w:rPr>
          <w:rFonts w:cs="FrankRuehl"/>
          <w:szCs w:val="26"/>
          <w:rtl/>
        </w:rPr>
        <w:t xml:space="preserve"> – עבירות – עברייני מין</w:t>
      </w:r>
    </w:p>
    <w:p w:rsidR="00AB513C" w:rsidRDefault="00AB513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780F34" w:rsidRPr="00780F3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80F34" w:rsidRPr="00780F34" w:rsidRDefault="00780F34" w:rsidP="00780F34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780F34" w:rsidRPr="00780F34" w:rsidRDefault="00780F34" w:rsidP="00780F34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מטרה</w:t>
            </w:r>
          </w:p>
        </w:tc>
        <w:tc>
          <w:tcPr>
            <w:tcW w:w="567" w:type="dxa"/>
          </w:tcPr>
          <w:p w:rsidR="00780F34" w:rsidRPr="00780F34" w:rsidRDefault="00780F34" w:rsidP="00780F34">
            <w:pPr>
              <w:rPr>
                <w:rStyle w:val="Hyperlink"/>
                <w:rFonts w:hint="cs"/>
                <w:rtl/>
              </w:rPr>
            </w:pPr>
            <w:hyperlink w:anchor="Seif1" w:tooltip="מטרה" w:history="1">
              <w:r w:rsidRPr="00780F3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80F34" w:rsidRPr="00780F34" w:rsidRDefault="00780F34" w:rsidP="00780F34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780F34" w:rsidRPr="00780F3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80F34" w:rsidRPr="00780F34" w:rsidRDefault="00780F34" w:rsidP="00780F34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780F34" w:rsidRPr="00780F34" w:rsidRDefault="00780F34" w:rsidP="00780F34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הגדרות</w:t>
            </w:r>
          </w:p>
        </w:tc>
        <w:tc>
          <w:tcPr>
            <w:tcW w:w="567" w:type="dxa"/>
          </w:tcPr>
          <w:p w:rsidR="00780F34" w:rsidRPr="00780F34" w:rsidRDefault="00780F34" w:rsidP="00780F34">
            <w:pPr>
              <w:rPr>
                <w:rStyle w:val="Hyperlink"/>
                <w:rFonts w:hint="cs"/>
                <w:rtl/>
              </w:rPr>
            </w:pPr>
            <w:hyperlink w:anchor="Seif2" w:tooltip="הגדרות" w:history="1">
              <w:r w:rsidRPr="00780F3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80F34" w:rsidRPr="00780F34" w:rsidRDefault="00780F34" w:rsidP="00780F34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780F34" w:rsidRPr="00780F3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80F34" w:rsidRPr="00780F34" w:rsidRDefault="00780F34" w:rsidP="00780F34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780F34" w:rsidRPr="00780F34" w:rsidRDefault="00780F34" w:rsidP="00780F34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סיוע ראשוני לקטין נפגע עבירת מין או אלימות</w:t>
            </w:r>
          </w:p>
        </w:tc>
        <w:tc>
          <w:tcPr>
            <w:tcW w:w="567" w:type="dxa"/>
          </w:tcPr>
          <w:p w:rsidR="00780F34" w:rsidRPr="00780F34" w:rsidRDefault="00780F34" w:rsidP="00780F34">
            <w:pPr>
              <w:rPr>
                <w:rStyle w:val="Hyperlink"/>
                <w:rFonts w:hint="cs"/>
                <w:rtl/>
              </w:rPr>
            </w:pPr>
            <w:hyperlink w:anchor="Seif3" w:tooltip="סיוע ראשוני לקטין נפגע עבירת מין או אלימות" w:history="1">
              <w:r w:rsidRPr="00780F3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80F34" w:rsidRPr="00780F34" w:rsidRDefault="00780F34" w:rsidP="00780F34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Seif3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780F34" w:rsidRPr="00780F3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80F34" w:rsidRPr="00780F34" w:rsidRDefault="00780F34" w:rsidP="00780F34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780F34" w:rsidRPr="00780F34" w:rsidRDefault="00780F34" w:rsidP="00780F34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הקמה ומימון פעילות של מרכזי סיוע</w:t>
            </w:r>
          </w:p>
        </w:tc>
        <w:tc>
          <w:tcPr>
            <w:tcW w:w="567" w:type="dxa"/>
          </w:tcPr>
          <w:p w:rsidR="00780F34" w:rsidRPr="00780F34" w:rsidRDefault="00780F34" w:rsidP="00780F34">
            <w:pPr>
              <w:rPr>
                <w:rStyle w:val="Hyperlink"/>
                <w:rFonts w:hint="cs"/>
                <w:rtl/>
              </w:rPr>
            </w:pPr>
            <w:hyperlink w:anchor="Seif4" w:tooltip="הקמה ומימון פעילות של מרכזי סיוע" w:history="1">
              <w:r w:rsidRPr="00780F3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80F34" w:rsidRPr="00780F34" w:rsidRDefault="00780F34" w:rsidP="00780F34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Seif4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780F34" w:rsidRPr="00780F3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80F34" w:rsidRPr="00780F34" w:rsidRDefault="00780F34" w:rsidP="00780F34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5 </w:t>
            </w:r>
          </w:p>
        </w:tc>
        <w:tc>
          <w:tcPr>
            <w:tcW w:w="5669" w:type="dxa"/>
          </w:tcPr>
          <w:p w:rsidR="00780F34" w:rsidRPr="00780F34" w:rsidRDefault="00780F34" w:rsidP="00780F34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ביצוע ותקנות</w:t>
            </w:r>
          </w:p>
        </w:tc>
        <w:tc>
          <w:tcPr>
            <w:tcW w:w="567" w:type="dxa"/>
          </w:tcPr>
          <w:p w:rsidR="00780F34" w:rsidRPr="00780F34" w:rsidRDefault="00780F34" w:rsidP="00780F34">
            <w:pPr>
              <w:rPr>
                <w:rStyle w:val="Hyperlink"/>
                <w:rFonts w:hint="cs"/>
                <w:rtl/>
              </w:rPr>
            </w:pPr>
            <w:hyperlink w:anchor="Seif5" w:tooltip="ביצוע ותקנות" w:history="1">
              <w:r w:rsidRPr="00780F3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80F34" w:rsidRPr="00780F34" w:rsidRDefault="00780F34" w:rsidP="00780F34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Seif5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780F34" w:rsidRPr="00780F3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80F34" w:rsidRPr="00780F34" w:rsidRDefault="00780F34" w:rsidP="00780F34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6 </w:t>
            </w:r>
          </w:p>
        </w:tc>
        <w:tc>
          <w:tcPr>
            <w:tcW w:w="5669" w:type="dxa"/>
          </w:tcPr>
          <w:p w:rsidR="00780F34" w:rsidRPr="00780F34" w:rsidRDefault="00780F34" w:rsidP="00780F34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תחילה והחלה בהדרגה</w:t>
            </w:r>
          </w:p>
        </w:tc>
        <w:tc>
          <w:tcPr>
            <w:tcW w:w="567" w:type="dxa"/>
          </w:tcPr>
          <w:p w:rsidR="00780F34" w:rsidRPr="00780F34" w:rsidRDefault="00780F34" w:rsidP="00780F34">
            <w:pPr>
              <w:rPr>
                <w:rStyle w:val="Hyperlink"/>
                <w:rFonts w:hint="cs"/>
                <w:rtl/>
              </w:rPr>
            </w:pPr>
            <w:hyperlink w:anchor="Seif6" w:tooltip="תחילה והחלה בהדרגה" w:history="1">
              <w:r w:rsidRPr="00780F3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80F34" w:rsidRPr="00780F34" w:rsidRDefault="00780F34" w:rsidP="00780F34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Seif6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780F34" w:rsidRPr="00780F3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80F34" w:rsidRPr="00780F34" w:rsidRDefault="00780F34" w:rsidP="00780F34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7 </w:t>
            </w:r>
          </w:p>
        </w:tc>
        <w:tc>
          <w:tcPr>
            <w:tcW w:w="5669" w:type="dxa"/>
          </w:tcPr>
          <w:p w:rsidR="00780F34" w:rsidRPr="00780F34" w:rsidRDefault="00780F34" w:rsidP="00780F34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דיווח לוועדה</w:t>
            </w:r>
          </w:p>
        </w:tc>
        <w:tc>
          <w:tcPr>
            <w:tcW w:w="567" w:type="dxa"/>
          </w:tcPr>
          <w:p w:rsidR="00780F34" w:rsidRPr="00780F34" w:rsidRDefault="00780F34" w:rsidP="00780F34">
            <w:pPr>
              <w:rPr>
                <w:rStyle w:val="Hyperlink"/>
                <w:rFonts w:hint="cs"/>
                <w:rtl/>
              </w:rPr>
            </w:pPr>
            <w:hyperlink w:anchor="Seif7" w:tooltip="דיווח לוועדה" w:history="1">
              <w:r w:rsidRPr="00780F3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80F34" w:rsidRPr="00780F34" w:rsidRDefault="00780F34" w:rsidP="00780F34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Seif7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3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AB513C" w:rsidRDefault="00AB513C">
      <w:pPr>
        <w:pStyle w:val="big-header"/>
        <w:ind w:left="0" w:right="1134"/>
        <w:rPr>
          <w:rFonts w:cs="FrankRuehl" w:hint="cs"/>
          <w:sz w:val="32"/>
          <w:rtl/>
        </w:rPr>
      </w:pPr>
    </w:p>
    <w:p w:rsidR="00AB513C" w:rsidRDefault="00AB513C" w:rsidP="00134D08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 w:hint="cs"/>
          <w:sz w:val="32"/>
          <w:rtl/>
        </w:rPr>
        <w:lastRenderedPageBreak/>
        <w:t>חוק סיוע לקטינים נפגעי עבירות מין או אלימות, תשס"ח-2008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AB513C" w:rsidRDefault="00AB513C" w:rsidP="00DF187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>
          <v:rect id="_x0000_s1026" style="position:absolute;left:0;text-align:left;margin-left:464.35pt;margin-top:7.1pt;width:75.05pt;height:16.95pt;z-index:251653120" o:allowincell="f" filled="f" stroked="f" strokecolor="lime" strokeweight=".25pt">
            <v:textbox style="mso-next-textbox:#_x0000_s1026" inset="0,0,0,0">
              <w:txbxContent>
                <w:p w:rsidR="00AB513C" w:rsidRDefault="00AB513C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מטרה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>מטרתו של חוק זה לקבוע את זכותו של קטין נפגע עבירת מין או אלימות לקבלת סיוע ראשוני במרכז סיוע אשר יוחד לעניין זה.</w:t>
      </w:r>
    </w:p>
    <w:p w:rsidR="00AB513C" w:rsidRDefault="00AB513C" w:rsidP="00E80C2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lang w:val="he-IL"/>
        </w:rPr>
        <w:pict>
          <v:rect id="_x0000_s1216" style="position:absolute;left:0;text-align:left;margin-left:464.35pt;margin-top:7.1pt;width:75.05pt;height:15.05pt;z-index:251654144" o:allowincell="f" filled="f" stroked="f" strokecolor="lime" strokeweight=".25pt">
            <v:textbox style="mso-next-textbox:#_x0000_s1216" inset="0,0,0,0">
              <w:txbxContent>
                <w:p w:rsidR="00AB513C" w:rsidRDefault="00AB513C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 xml:space="preserve">בחוק זה </w:t>
      </w:r>
      <w:r>
        <w:rPr>
          <w:rStyle w:val="default"/>
          <w:rFonts w:cs="FrankRuehl"/>
          <w:rtl/>
        </w:rPr>
        <w:t>–</w:t>
      </w:r>
    </w:p>
    <w:p w:rsidR="00B70CCA" w:rsidRDefault="00B70CCA" w:rsidP="00B70CC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 w:hint="cs"/>
          <w:sz w:val="26"/>
          <w:rtl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72" type="#_x0000_t202" style="position:absolute;left:0;text-align:left;margin-left:470.35pt;margin-top:7.1pt;width:1in;height:20.3pt;z-index:251661312" filled="f" stroked="f">
            <v:textbox inset="1mm,0,1mm,0">
              <w:txbxContent>
                <w:p w:rsidR="00B70CCA" w:rsidRDefault="00B70CCA" w:rsidP="00B70CCA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2) תשע"ב-2012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 w:hint="cs"/>
          <w:rtl/>
        </w:rPr>
        <w:tab/>
        <w:t xml:space="preserve">"הוועדה"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ועדה מוועדות הכנסת שהנושא נמצא בתחום סמכויותיה, כפי שתקבע ועדת הכנסת;</w:t>
      </w:r>
    </w:p>
    <w:p w:rsidR="00B70CCA" w:rsidRPr="00C24508" w:rsidRDefault="00B70CCA" w:rsidP="00B70CCA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2" w:name="Rov9"/>
      <w:r w:rsidRPr="00C24508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7.8.2012</w:t>
      </w:r>
    </w:p>
    <w:p w:rsidR="00B70CCA" w:rsidRPr="00C24508" w:rsidRDefault="00B70CCA" w:rsidP="00B70CCA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C24508">
        <w:rPr>
          <w:rFonts w:cs="FrankRuehl" w:hint="cs"/>
          <w:b/>
          <w:bCs/>
          <w:vanish/>
          <w:szCs w:val="20"/>
          <w:shd w:val="clear" w:color="auto" w:fill="FFFF99"/>
          <w:rtl/>
        </w:rPr>
        <w:t>תיקון מס' 2</w:t>
      </w:r>
    </w:p>
    <w:p w:rsidR="00B70CCA" w:rsidRPr="00C24508" w:rsidRDefault="00B70CCA" w:rsidP="00B70CCA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Pr="00C2450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תשע"ב מס' 2379</w:t>
        </w:r>
      </w:hyperlink>
      <w:r w:rsidRPr="00C24508">
        <w:rPr>
          <w:rFonts w:cs="FrankRuehl" w:hint="cs"/>
          <w:vanish/>
          <w:szCs w:val="20"/>
          <w:shd w:val="clear" w:color="auto" w:fill="FFFF99"/>
          <w:rtl/>
        </w:rPr>
        <w:t xml:space="preserve"> מיום 7.8.2012 עמ' 676 (</w:t>
      </w:r>
      <w:hyperlink r:id="rId8" w:history="1">
        <w:r w:rsidRPr="00C2450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645</w:t>
        </w:r>
      </w:hyperlink>
      <w:r w:rsidRPr="00C24508">
        <w:rPr>
          <w:rFonts w:cs="FrankRuehl" w:hint="cs"/>
          <w:vanish/>
          <w:szCs w:val="20"/>
          <w:shd w:val="clear" w:color="auto" w:fill="FFFF99"/>
          <w:rtl/>
        </w:rPr>
        <w:t>)</w:t>
      </w:r>
    </w:p>
    <w:p w:rsidR="00B70CCA" w:rsidRPr="00B70CCA" w:rsidRDefault="00B70CCA" w:rsidP="00B70CCA">
      <w:pPr>
        <w:pStyle w:val="P00"/>
        <w:spacing w:before="0"/>
        <w:ind w:left="0" w:right="1134"/>
        <w:rPr>
          <w:rFonts w:cs="FrankRuehl" w:hint="cs"/>
          <w:sz w:val="2"/>
          <w:szCs w:val="2"/>
          <w:shd w:val="clear" w:color="auto" w:fill="FFFF99"/>
          <w:rtl/>
        </w:rPr>
      </w:pPr>
      <w:r w:rsidRPr="00C24508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הגדרת "הוועדה"</w:t>
      </w:r>
      <w:bookmarkEnd w:id="2"/>
    </w:p>
    <w:p w:rsidR="00AB513C" w:rsidRDefault="00AB513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"חוקר ילדים"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כמשמעותו בחוק לתיקון דיני הראיות (הגנת ילדים), התשט"ו-1955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חוק הגנת ילדים);</w:t>
      </w:r>
    </w:p>
    <w:p w:rsidR="00AB513C" w:rsidRDefault="00AB513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"מרכז סיוע"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מרכז סיוע שהוקם לפי הוראות סעיף 4;</w:t>
      </w:r>
    </w:p>
    <w:p w:rsidR="00AB513C" w:rsidRDefault="00AB513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"נפגע עבירה"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מי שנפגע במישרין מעבירה;</w:t>
      </w:r>
    </w:p>
    <w:p w:rsidR="00AB513C" w:rsidRDefault="00AB513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"עבירת מין או אלימות"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עבירה מן העבירות המנויות בתוספת לחוק הגנת ילדים, או בסעיף 368ד(ח) לחוק העונשין, התשל"ז-1977;</w:t>
      </w:r>
    </w:p>
    <w:p w:rsidR="00AB513C" w:rsidRDefault="00E80C2B" w:rsidP="00E80C2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 w:hint="cs"/>
          <w:sz w:val="26"/>
          <w:rtl/>
          <w:lang w:eastAsia="en-US"/>
        </w:rPr>
        <w:pict>
          <v:shape id="_x0000_s1270" type="#_x0000_t202" style="position:absolute;left:0;text-align:left;margin-left:470.35pt;margin-top:7.1pt;width:1in;height:20.3pt;z-index:251659264" filled="f" stroked="f">
            <v:textbox inset="1mm,0,1mm,0">
              <w:txbxContent>
                <w:p w:rsidR="00E80C2B" w:rsidRDefault="00E80C2B" w:rsidP="00E80C2B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1) תשע"א-2010</w:t>
                  </w:r>
                </w:p>
              </w:txbxContent>
            </v:textbox>
            <w10:anchorlock/>
          </v:shape>
        </w:pict>
      </w:r>
      <w:r w:rsidR="00AB513C">
        <w:rPr>
          <w:rStyle w:val="default"/>
          <w:rFonts w:cs="FrankRuehl" w:hint="cs"/>
          <w:rtl/>
        </w:rPr>
        <w:tab/>
        <w:t xml:space="preserve">"פקיד סעד" </w:t>
      </w:r>
      <w:r w:rsidR="00AB513C">
        <w:rPr>
          <w:rStyle w:val="default"/>
          <w:rFonts w:cs="FrankRuehl"/>
          <w:rtl/>
        </w:rPr>
        <w:t>–</w:t>
      </w:r>
      <w:r w:rsidR="00AB513C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(נמחקה)</w:t>
      </w:r>
      <w:r w:rsidR="00AB513C">
        <w:rPr>
          <w:rStyle w:val="default"/>
          <w:rFonts w:cs="FrankRuehl" w:hint="cs"/>
          <w:rtl/>
        </w:rPr>
        <w:t>;</w:t>
      </w:r>
    </w:p>
    <w:p w:rsidR="00E80C2B" w:rsidRPr="00C24508" w:rsidRDefault="00E80C2B" w:rsidP="00E80C2B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3" w:name="Rov7"/>
      <w:r w:rsidRPr="00C24508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9.12.2010</w:t>
      </w:r>
    </w:p>
    <w:p w:rsidR="00E80C2B" w:rsidRPr="00C24508" w:rsidRDefault="00E80C2B" w:rsidP="00E80C2B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C24508">
        <w:rPr>
          <w:rFonts w:cs="FrankRuehl" w:hint="cs"/>
          <w:b/>
          <w:bCs/>
          <w:vanish/>
          <w:szCs w:val="20"/>
          <w:shd w:val="clear" w:color="auto" w:fill="FFFF99"/>
          <w:rtl/>
        </w:rPr>
        <w:t>תיקון מס' 1</w:t>
      </w:r>
    </w:p>
    <w:p w:rsidR="00E80C2B" w:rsidRPr="00C24508" w:rsidRDefault="00E80C2B" w:rsidP="00240229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9" w:history="1">
        <w:r w:rsidRPr="00C2450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תשע"א מס' 2264</w:t>
        </w:r>
      </w:hyperlink>
      <w:r w:rsidRPr="00C24508">
        <w:rPr>
          <w:rFonts w:cs="FrankRuehl" w:hint="cs"/>
          <w:vanish/>
          <w:szCs w:val="20"/>
          <w:shd w:val="clear" w:color="auto" w:fill="FFFF99"/>
          <w:rtl/>
        </w:rPr>
        <w:t xml:space="preserve"> מיום 9.12.2010 עמ' 8</w:t>
      </w:r>
      <w:r w:rsidR="00240229" w:rsidRPr="00C24508">
        <w:rPr>
          <w:rFonts w:cs="FrankRuehl" w:hint="cs"/>
          <w:vanish/>
          <w:szCs w:val="20"/>
          <w:shd w:val="clear" w:color="auto" w:fill="FFFF99"/>
          <w:rtl/>
        </w:rPr>
        <w:t>6</w:t>
      </w:r>
      <w:r w:rsidRPr="00C24508">
        <w:rPr>
          <w:rFonts w:cs="FrankRuehl" w:hint="cs"/>
          <w:vanish/>
          <w:szCs w:val="20"/>
          <w:shd w:val="clear" w:color="auto" w:fill="FFFF99"/>
          <w:rtl/>
        </w:rPr>
        <w:t xml:space="preserve"> (</w:t>
      </w:r>
      <w:hyperlink r:id="rId10" w:history="1">
        <w:r w:rsidRPr="00C2450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507</w:t>
        </w:r>
      </w:hyperlink>
      <w:r w:rsidRPr="00C24508">
        <w:rPr>
          <w:rFonts w:cs="FrankRuehl" w:hint="cs"/>
          <w:vanish/>
          <w:szCs w:val="20"/>
          <w:shd w:val="clear" w:color="auto" w:fill="FFFF99"/>
          <w:rtl/>
        </w:rPr>
        <w:t>)</w:t>
      </w:r>
    </w:p>
    <w:p w:rsidR="00E80C2B" w:rsidRPr="00C24508" w:rsidRDefault="00E80C2B" w:rsidP="00E80C2B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C24508">
        <w:rPr>
          <w:rFonts w:cs="FrankRuehl" w:hint="cs"/>
          <w:b/>
          <w:bCs/>
          <w:vanish/>
          <w:szCs w:val="20"/>
          <w:shd w:val="clear" w:color="auto" w:fill="FFFF99"/>
          <w:rtl/>
        </w:rPr>
        <w:t>מחיקת הגדרת "פקיד סעד"</w:t>
      </w:r>
    </w:p>
    <w:p w:rsidR="00E80C2B" w:rsidRPr="00C24508" w:rsidRDefault="00E80C2B" w:rsidP="00E80C2B">
      <w:pPr>
        <w:pStyle w:val="P0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C24508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:rsidR="00E80C2B" w:rsidRPr="00634143" w:rsidRDefault="00E80C2B" w:rsidP="00634143">
      <w:pPr>
        <w:pStyle w:val="P00"/>
        <w:spacing w:before="0"/>
        <w:ind w:left="0" w:right="1134"/>
        <w:rPr>
          <w:rStyle w:val="default"/>
          <w:rFonts w:cs="FrankRuehl" w:hint="cs"/>
          <w:strike/>
          <w:sz w:val="2"/>
          <w:szCs w:val="2"/>
          <w:rtl/>
        </w:rPr>
      </w:pPr>
      <w:r w:rsidRPr="00C245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C245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"פקיד סעד" </w:t>
      </w:r>
      <w:r w:rsidRPr="00C24508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C245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כהגדרתו בחוק הנוער (טיפול והשגחה), התש"ך-1960;</w:t>
      </w:r>
      <w:bookmarkEnd w:id="3"/>
    </w:p>
    <w:p w:rsidR="00AB513C" w:rsidRDefault="00AB513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"השר"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שר הרווחה והשירותים החברתיים.</w:t>
      </w:r>
    </w:p>
    <w:p w:rsidR="00AB513C" w:rsidRDefault="00AB513C" w:rsidP="00E80C2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3"/>
      <w:bookmarkEnd w:id="4"/>
      <w:r>
        <w:rPr>
          <w:rFonts w:cs="Miriam"/>
          <w:lang w:val="he-IL"/>
        </w:rPr>
        <w:pict>
          <v:rect id="_x0000_s1217" style="position:absolute;left:0;text-align:left;margin-left:464.35pt;margin-top:7.1pt;width:75.05pt;height:31.3pt;z-index:251655168" o:allowincell="f" filled="f" stroked="f" strokecolor="lime" strokeweight=".25pt">
            <v:textbox style="mso-next-textbox:#_x0000_s1217" inset="0,0,0,0">
              <w:txbxContent>
                <w:p w:rsidR="00AB513C" w:rsidRDefault="00AB513C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סיוע ראשוני לקטין נפגע עבירת מין או אלימות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  <w:t>קטין נפגע עבירת מין או אלימות זכאי לקבל סיוע ראשוני במרכזי סיוע אשר יוחדו לעניין זה.</w:t>
      </w:r>
    </w:p>
    <w:p w:rsidR="00AB513C" w:rsidRDefault="00AB513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במרכזי סיוע יינתן סיוע ראשוני בהתאם לצורכי הקטין בעניינים אלה:</w:t>
      </w:r>
    </w:p>
    <w:p w:rsidR="00AB513C" w:rsidRDefault="00AB513C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אבחון וטיפול רפואי;</w:t>
      </w:r>
    </w:p>
    <w:p w:rsidR="00AB513C" w:rsidRDefault="00AB513C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אבחון וטיפול נפשי;</w:t>
      </w:r>
    </w:p>
    <w:p w:rsidR="00AB513C" w:rsidRDefault="00AB513C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>מילוי צרכים גופניים מידיים, לרבות מזון וביגוד;</w:t>
      </w:r>
    </w:p>
    <w:p w:rsidR="00AB513C" w:rsidRDefault="00634143" w:rsidP="00634143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Fonts w:cs="FrankRuehl" w:hint="cs"/>
          <w:sz w:val="26"/>
          <w:rtl/>
          <w:lang w:eastAsia="en-US"/>
        </w:rPr>
        <w:pict>
          <v:shape id="_x0000_s1271" type="#_x0000_t202" style="position:absolute;left:0;text-align:left;margin-left:470.35pt;margin-top:7.1pt;width:1in;height:18pt;z-index:251660288" filled="f" stroked="f">
            <v:textbox inset="1mm,0,1mm,0">
              <w:txbxContent>
                <w:p w:rsidR="00634143" w:rsidRDefault="00634143" w:rsidP="00634143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1) תשע"א-2010</w:t>
                  </w:r>
                </w:p>
              </w:txbxContent>
            </v:textbox>
            <w10:anchorlock/>
          </v:shape>
        </w:pict>
      </w:r>
      <w:r w:rsidR="00AB513C">
        <w:rPr>
          <w:rStyle w:val="default"/>
          <w:rFonts w:cs="FrankRuehl" w:hint="cs"/>
          <w:rtl/>
        </w:rPr>
        <w:t>(4)</w:t>
      </w:r>
      <w:r w:rsidR="00AB513C">
        <w:rPr>
          <w:rStyle w:val="default"/>
          <w:rFonts w:cs="FrankRuehl" w:hint="cs"/>
          <w:rtl/>
        </w:rPr>
        <w:tab/>
        <w:t xml:space="preserve">פגישה עם חוקר ילדים, חוקר משטרה, </w:t>
      </w:r>
      <w:r>
        <w:rPr>
          <w:rStyle w:val="default"/>
          <w:rFonts w:cs="FrankRuehl" w:hint="cs"/>
          <w:rtl/>
        </w:rPr>
        <w:t>עובד סוציאלי שמונה לפי חוק הנוער (טיפול והשגחה), התש"ך-1960</w:t>
      </w:r>
      <w:r w:rsidR="00AB513C">
        <w:rPr>
          <w:rStyle w:val="default"/>
          <w:rFonts w:cs="FrankRuehl" w:hint="cs"/>
          <w:rtl/>
        </w:rPr>
        <w:t xml:space="preserve"> או גורם מוסמך אחר, לשם הפעלת סמכויות חקירה וטיפול, לפי העניין;</w:t>
      </w:r>
    </w:p>
    <w:p w:rsidR="00AB513C" w:rsidRDefault="00AB513C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 w:hint="cs"/>
          <w:rtl/>
        </w:rPr>
        <w:tab/>
        <w:t>הפניה לשירותי סיוע, בין שהם ניתנים על ידי המדינה ובין שהם ניתנים על ידי גופים לא ממשלתיים, לרבות לשם קבלת ייעוץ משפטי, מדור חירום, ליווי או טיפול ארוך טווח.</w:t>
      </w:r>
    </w:p>
    <w:p w:rsidR="00AB513C" w:rsidRDefault="00AB513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(ג)</w:t>
      </w:r>
      <w:r>
        <w:rPr>
          <w:rStyle w:val="default"/>
          <w:rFonts w:cs="FrankRuehl" w:hint="cs"/>
          <w:rtl/>
        </w:rPr>
        <w:tab/>
        <w:t>סיוע כאמור בסעיף זה יינתן בלי לפגוע בזכויותיהם על פי דין של חשודים, נאשמים ונידונים.</w:t>
      </w:r>
    </w:p>
    <w:p w:rsidR="00634143" w:rsidRPr="00C24508" w:rsidRDefault="00634143" w:rsidP="00240229">
      <w:pPr>
        <w:pStyle w:val="P00"/>
        <w:spacing w:before="0"/>
        <w:ind w:left="1021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5" w:name="Rov8"/>
      <w:r w:rsidRPr="00C24508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9.12.2010</w:t>
      </w:r>
    </w:p>
    <w:p w:rsidR="00634143" w:rsidRPr="00C24508" w:rsidRDefault="00634143" w:rsidP="00240229">
      <w:pPr>
        <w:pStyle w:val="P00"/>
        <w:spacing w:before="0"/>
        <w:ind w:left="1021" w:right="1134"/>
        <w:rPr>
          <w:rFonts w:cs="FrankRuehl" w:hint="cs"/>
          <w:vanish/>
          <w:szCs w:val="20"/>
          <w:shd w:val="clear" w:color="auto" w:fill="FFFF99"/>
          <w:rtl/>
        </w:rPr>
      </w:pPr>
      <w:r w:rsidRPr="00C24508">
        <w:rPr>
          <w:rFonts w:cs="FrankRuehl" w:hint="cs"/>
          <w:b/>
          <w:bCs/>
          <w:vanish/>
          <w:szCs w:val="20"/>
          <w:shd w:val="clear" w:color="auto" w:fill="FFFF99"/>
          <w:rtl/>
        </w:rPr>
        <w:t>תיקון מס' 1</w:t>
      </w:r>
    </w:p>
    <w:p w:rsidR="00634143" w:rsidRPr="00C24508" w:rsidRDefault="00634143" w:rsidP="00240229">
      <w:pPr>
        <w:pStyle w:val="P00"/>
        <w:spacing w:before="0"/>
        <w:ind w:left="1021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1" w:history="1">
        <w:r w:rsidRPr="00C2450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תשע"א מס' 2264</w:t>
        </w:r>
      </w:hyperlink>
      <w:r w:rsidRPr="00C24508">
        <w:rPr>
          <w:rFonts w:cs="FrankRuehl" w:hint="cs"/>
          <w:vanish/>
          <w:szCs w:val="20"/>
          <w:shd w:val="clear" w:color="auto" w:fill="FFFF99"/>
          <w:rtl/>
        </w:rPr>
        <w:t xml:space="preserve"> מיום 9.12.2010 עמ' 8</w:t>
      </w:r>
      <w:r w:rsidR="00240229" w:rsidRPr="00C24508">
        <w:rPr>
          <w:rFonts w:cs="FrankRuehl" w:hint="cs"/>
          <w:vanish/>
          <w:szCs w:val="20"/>
          <w:shd w:val="clear" w:color="auto" w:fill="FFFF99"/>
          <w:rtl/>
        </w:rPr>
        <w:t>6</w:t>
      </w:r>
      <w:r w:rsidRPr="00C24508">
        <w:rPr>
          <w:rFonts w:cs="FrankRuehl" w:hint="cs"/>
          <w:vanish/>
          <w:szCs w:val="20"/>
          <w:shd w:val="clear" w:color="auto" w:fill="FFFF99"/>
          <w:rtl/>
        </w:rPr>
        <w:t xml:space="preserve"> (</w:t>
      </w:r>
      <w:hyperlink r:id="rId12" w:history="1">
        <w:r w:rsidRPr="00C2450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507</w:t>
        </w:r>
      </w:hyperlink>
      <w:r w:rsidRPr="00C24508">
        <w:rPr>
          <w:rFonts w:cs="FrankRuehl" w:hint="cs"/>
          <w:vanish/>
          <w:szCs w:val="20"/>
          <w:shd w:val="clear" w:color="auto" w:fill="FFFF99"/>
          <w:rtl/>
        </w:rPr>
        <w:t>)</w:t>
      </w:r>
    </w:p>
    <w:p w:rsidR="00634143" w:rsidRPr="00240229" w:rsidRDefault="00634143" w:rsidP="00240229">
      <w:pPr>
        <w:pStyle w:val="P00"/>
        <w:ind w:left="1021" w:right="1134"/>
        <w:rPr>
          <w:rStyle w:val="default"/>
          <w:rFonts w:cs="FrankRuehl" w:hint="cs"/>
          <w:sz w:val="2"/>
          <w:szCs w:val="2"/>
          <w:rtl/>
        </w:rPr>
      </w:pPr>
      <w:r w:rsidRPr="00C245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(4)</w:t>
      </w:r>
      <w:r w:rsidRPr="00C245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פגישה עם חוקר ילדים, חוקר משטרה, </w:t>
      </w:r>
      <w:r w:rsidRPr="00C245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פקיד סעד</w:t>
      </w:r>
      <w:r w:rsidRPr="00C245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245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עובד סוציאלי שמונה לפי חוק הנוער (טיפול והשגחה), התש"ך-1960</w:t>
      </w:r>
      <w:r w:rsidRPr="00C245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או גורם מוסמך אחר, לשם הפעלת סמכויות חקירה וטיפול, לפי העניין;</w:t>
      </w:r>
      <w:bookmarkEnd w:id="5"/>
    </w:p>
    <w:p w:rsidR="00AB513C" w:rsidRDefault="00AB513C" w:rsidP="00DF187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6" w:name="Seif4"/>
      <w:bookmarkEnd w:id="6"/>
      <w:r>
        <w:rPr>
          <w:rFonts w:cs="Miriam"/>
          <w:lang w:val="he-IL"/>
        </w:rPr>
        <w:pict>
          <v:rect id="_x0000_s1218" style="position:absolute;left:0;text-align:left;margin-left:464.35pt;margin-top:7.1pt;width:75.05pt;height:15.8pt;z-index:251656192" o:allowincell="f" filled="f" stroked="f" strokecolor="lime" strokeweight=".25pt">
            <v:textbox style="mso-next-textbox:#_x0000_s1218" inset="0,0,0,0">
              <w:txbxContent>
                <w:p w:rsidR="00AB513C" w:rsidRDefault="00AB513C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rtl/>
                    </w:rPr>
                    <w:t>הקמה ומימון פעילות של מרכזי סיוע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4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  <w:t>השר יקים מרכזי סיוע ויקבע הוראות בדבר הפעלתם.</w:t>
      </w:r>
    </w:p>
    <w:p w:rsidR="00AB513C" w:rsidRDefault="00AB513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הפעלת מרכזי סיוע תמומן מתקציב המדינה.</w:t>
      </w:r>
    </w:p>
    <w:p w:rsidR="00AB513C" w:rsidRDefault="00AB513C" w:rsidP="00B70CC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7" w:name="Seif5"/>
      <w:bookmarkEnd w:id="7"/>
      <w:r>
        <w:rPr>
          <w:rFonts w:cs="Miriam"/>
          <w:lang w:val="he-IL"/>
        </w:rPr>
        <w:pict>
          <v:rect id="_x0000_s1219" style="position:absolute;left:0;text-align:left;margin-left:468pt;margin-top:7.1pt;width:71.4pt;height:24.95pt;z-index:251657216" o:allowincell="f" filled="f" stroked="f" strokecolor="lime" strokeweight=".25pt">
            <v:textbox style="mso-next-textbox:#_x0000_s1219" inset="0,0,0,0">
              <w:txbxContent>
                <w:p w:rsidR="00AB513C" w:rsidRDefault="00AB513C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ביצוע ותקנות</w:t>
                  </w:r>
                </w:p>
                <w:p w:rsidR="00B70CCA" w:rsidRDefault="00B70CCA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(תיקון מס' 2) תשע"ב-2012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5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  <w:t xml:space="preserve">השר ממונה על ביצוע חוק זה, והוא רשאי, באישור </w:t>
      </w:r>
      <w:r w:rsidR="00B70CCA">
        <w:rPr>
          <w:rStyle w:val="default"/>
          <w:rFonts w:cs="FrankRuehl" w:hint="cs"/>
          <w:rtl/>
        </w:rPr>
        <w:t>הוועדה</w:t>
      </w:r>
      <w:r>
        <w:rPr>
          <w:rStyle w:val="default"/>
          <w:rFonts w:cs="FrankRuehl" w:hint="cs"/>
          <w:rtl/>
        </w:rPr>
        <w:t>, להתקין תקנות בכל הנוגע לביצועו, לרבות לעניין סיוע ראשוני לפי הוראות סעיף 3.</w:t>
      </w:r>
    </w:p>
    <w:p w:rsidR="00AB513C" w:rsidRDefault="00AB513C">
      <w:pPr>
        <w:pStyle w:val="P00"/>
        <w:spacing w:before="72"/>
        <w:ind w:left="1021" w:right="1134" w:hanging="1021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(1)</w:t>
      </w:r>
      <w:r>
        <w:rPr>
          <w:rStyle w:val="default"/>
          <w:rFonts w:cs="FrankRuehl" w:hint="cs"/>
          <w:rtl/>
        </w:rPr>
        <w:tab/>
        <w:t>תקנות לעניין סעיף 3(ב)(1) ו-(2) יותקנו גם בהתייעצות עם שר הב</w:t>
      </w:r>
      <w:r w:rsidR="00B70CCA">
        <w:rPr>
          <w:rStyle w:val="default"/>
          <w:rFonts w:cs="FrankRuehl" w:hint="cs"/>
          <w:rtl/>
        </w:rPr>
        <w:t>ריאות;</w:t>
      </w:r>
    </w:p>
    <w:p w:rsidR="00AB513C" w:rsidRDefault="00AB513C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תקנות לעניין סעיף 3(ב)(4) יותקנו גם בהסכמת השר לביטחון הפנים.</w:t>
      </w:r>
    </w:p>
    <w:p w:rsidR="00B70CCA" w:rsidRPr="00C24508" w:rsidRDefault="00B70CCA" w:rsidP="00B70CCA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8" w:name="Rov10"/>
      <w:r w:rsidRPr="00C24508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7.8.2012</w:t>
      </w:r>
    </w:p>
    <w:p w:rsidR="00B70CCA" w:rsidRPr="00C24508" w:rsidRDefault="00B70CCA" w:rsidP="00B70CCA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C24508">
        <w:rPr>
          <w:rFonts w:cs="FrankRuehl" w:hint="cs"/>
          <w:b/>
          <w:bCs/>
          <w:vanish/>
          <w:szCs w:val="20"/>
          <w:shd w:val="clear" w:color="auto" w:fill="FFFF99"/>
          <w:rtl/>
        </w:rPr>
        <w:t>תיקון מס' 2</w:t>
      </w:r>
    </w:p>
    <w:p w:rsidR="00B70CCA" w:rsidRPr="00C24508" w:rsidRDefault="00B70CCA" w:rsidP="00B70CCA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3" w:history="1">
        <w:r w:rsidRPr="00C2450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תשע"ב מס' 2379</w:t>
        </w:r>
      </w:hyperlink>
      <w:r w:rsidRPr="00C24508">
        <w:rPr>
          <w:rFonts w:cs="FrankRuehl" w:hint="cs"/>
          <w:vanish/>
          <w:szCs w:val="20"/>
          <w:shd w:val="clear" w:color="auto" w:fill="FFFF99"/>
          <w:rtl/>
        </w:rPr>
        <w:t xml:space="preserve"> מיום 7.8.2012 עמ' 676 (</w:t>
      </w:r>
      <w:hyperlink r:id="rId14" w:history="1">
        <w:r w:rsidRPr="00C2450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645</w:t>
        </w:r>
      </w:hyperlink>
      <w:r w:rsidRPr="00C24508">
        <w:rPr>
          <w:rFonts w:cs="FrankRuehl" w:hint="cs"/>
          <w:vanish/>
          <w:szCs w:val="20"/>
          <w:shd w:val="clear" w:color="auto" w:fill="FFFF99"/>
          <w:rtl/>
        </w:rPr>
        <w:t>)</w:t>
      </w:r>
    </w:p>
    <w:p w:rsidR="00B70CCA" w:rsidRPr="00B70CCA" w:rsidRDefault="00B70CCA" w:rsidP="00B70CCA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C24508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C245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C245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השר ממונה על ביצוע חוק זה, והוא רשאי, באישור </w:t>
      </w:r>
      <w:r w:rsidRPr="00C245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ועדת העבודה הרווחה והבריאות של הכנסת</w:t>
      </w:r>
      <w:r w:rsidRPr="00C245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245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הוועדה</w:t>
      </w:r>
      <w:r w:rsidRPr="00C245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 להתקין תקנות בכל הנוגע לביצועו, לרבות לעניין סיוע ראשוני לפי הוראות סעיף 3.</w:t>
      </w:r>
      <w:bookmarkEnd w:id="8"/>
    </w:p>
    <w:p w:rsidR="00AB513C" w:rsidRDefault="00AB513C" w:rsidP="00B70CC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9" w:name="Seif6"/>
      <w:bookmarkEnd w:id="9"/>
      <w:r>
        <w:rPr>
          <w:rFonts w:cs="Miriam"/>
          <w:lang w:val="he-IL"/>
        </w:rPr>
        <w:pict>
          <v:rect id="_x0000_s1220" style="position:absolute;left:0;text-align:left;margin-left:468pt;margin-top:7.1pt;width:71.4pt;height:38.85pt;z-index:251658240" o:allowincell="f" filled="f" stroked="f" strokecolor="lime" strokeweight=".25pt">
            <v:textbox style="mso-next-textbox:#_x0000_s1220" inset="0,0,0,0">
              <w:txbxContent>
                <w:p w:rsidR="00AB513C" w:rsidRDefault="00AB513C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 והחלה בהדרגה</w:t>
                  </w:r>
                </w:p>
                <w:p w:rsidR="00B70CCA" w:rsidRDefault="00B70CCA" w:rsidP="00B70CCA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(תיקון מס' 2) תשע"ב-2012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6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 xml:space="preserve">הקמה והפעלה של מרכזי סיוע לפי חוק זה תיעשה בהדרגה, כל שבכל שנה מיום תחילתו יוקם ויופעל מרכז סיוע אחד לפחות, </w:t>
      </w:r>
      <w:r w:rsidR="00B70CCA">
        <w:rPr>
          <w:rStyle w:val="default"/>
          <w:rFonts w:cs="FrankRuehl" w:hint="cs"/>
          <w:rtl/>
        </w:rPr>
        <w:t>שעד יום כ' באייר התשע"ג (30 באפריל 2013)</w:t>
      </w:r>
      <w:r>
        <w:rPr>
          <w:rStyle w:val="default"/>
          <w:rFonts w:cs="FrankRuehl" w:hint="cs"/>
          <w:rtl/>
        </w:rPr>
        <w:t xml:space="preserve"> יוקמו ויופעלו </w:t>
      </w:r>
      <w:r>
        <w:rPr>
          <w:rStyle w:val="default"/>
          <w:rFonts w:cs="FrankRuehl" w:hint="cs"/>
          <w:rtl/>
        </w:rPr>
        <w:lastRenderedPageBreak/>
        <w:t>שמונה מרכזי סיוע לפחות בפריסה ארצית המאפשרת יישום מלא של הוראות חוק זה.</w:t>
      </w:r>
    </w:p>
    <w:p w:rsidR="00B70CCA" w:rsidRPr="00C24508" w:rsidRDefault="00B70CCA" w:rsidP="00B70CCA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10" w:name="Rov11"/>
      <w:r w:rsidRPr="00C24508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7.8.2012</w:t>
      </w:r>
    </w:p>
    <w:p w:rsidR="00B70CCA" w:rsidRPr="00C24508" w:rsidRDefault="00B70CCA" w:rsidP="00B70CCA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C24508">
        <w:rPr>
          <w:rFonts w:cs="FrankRuehl" w:hint="cs"/>
          <w:b/>
          <w:bCs/>
          <w:vanish/>
          <w:szCs w:val="20"/>
          <w:shd w:val="clear" w:color="auto" w:fill="FFFF99"/>
          <w:rtl/>
        </w:rPr>
        <w:t>תיקון מס' 2</w:t>
      </w:r>
    </w:p>
    <w:p w:rsidR="00B70CCA" w:rsidRPr="00C24508" w:rsidRDefault="00B70CCA" w:rsidP="00B70CCA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5" w:history="1">
        <w:r w:rsidRPr="00C2450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תשע"ב מס' 2379</w:t>
        </w:r>
      </w:hyperlink>
      <w:r w:rsidRPr="00C24508">
        <w:rPr>
          <w:rFonts w:cs="FrankRuehl" w:hint="cs"/>
          <w:vanish/>
          <w:szCs w:val="20"/>
          <w:shd w:val="clear" w:color="auto" w:fill="FFFF99"/>
          <w:rtl/>
        </w:rPr>
        <w:t xml:space="preserve"> מיום 7.8.2012 עמ' 676 (</w:t>
      </w:r>
      <w:hyperlink r:id="rId16" w:history="1">
        <w:r w:rsidRPr="00C2450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645</w:t>
        </w:r>
      </w:hyperlink>
      <w:r w:rsidRPr="00C24508">
        <w:rPr>
          <w:rFonts w:cs="FrankRuehl" w:hint="cs"/>
          <w:vanish/>
          <w:szCs w:val="20"/>
          <w:shd w:val="clear" w:color="auto" w:fill="FFFF99"/>
          <w:rtl/>
        </w:rPr>
        <w:t>)</w:t>
      </w:r>
    </w:p>
    <w:p w:rsidR="00B70CCA" w:rsidRPr="00C24508" w:rsidRDefault="00B70CCA" w:rsidP="00C24508">
      <w:pPr>
        <w:pStyle w:val="P00"/>
        <w:ind w:left="0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C245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6</w:t>
      </w:r>
      <w:r w:rsidRPr="00C2450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C2450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C245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הקמה והפעלה של מרכזי סיוע לפי חוק זה תיעשה בהדרגה, כל שבכל שנה מיום תחילתו </w:t>
      </w:r>
      <w:r w:rsidRPr="00C245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(להלן </w:t>
      </w:r>
      <w:r w:rsidRPr="00C24508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C245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יום התחילה)</w:t>
      </w:r>
      <w:r w:rsidRPr="00C245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יוקם ויופעל מרכז סיוע אחד לפחות, ובלבד </w:t>
      </w:r>
      <w:r w:rsidRPr="00C24508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שבתוך שלוש שנים מיום התחילה</w:t>
      </w:r>
      <w:r w:rsidRPr="00C245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245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שעד יום כ' באייר התשע"ג (30 באפריל 2013)</w:t>
      </w:r>
      <w:r w:rsidRPr="00C245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יוקמו ויופעלו שמונה מרכזי סיוע לפחות בפריסה ארצית המאפשרת יישום מלא של הוראות חוק זה.</w:t>
      </w:r>
      <w:bookmarkEnd w:id="10"/>
    </w:p>
    <w:p w:rsidR="00B70CCA" w:rsidRDefault="00B70CCA" w:rsidP="00C2450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1" w:name="Seif7"/>
      <w:bookmarkEnd w:id="11"/>
      <w:r>
        <w:rPr>
          <w:rFonts w:cs="Miriam"/>
          <w:lang w:val="he-IL"/>
        </w:rPr>
        <w:pict>
          <v:rect id="_x0000_s1274" style="position:absolute;left:0;text-align:left;margin-left:468pt;margin-top:7.1pt;width:71.4pt;height:23.9pt;z-index:251662336" o:allowincell="f" filled="f" stroked="f" strokecolor="lime" strokeweight=".25pt">
            <v:textbox style="mso-next-textbox:#_x0000_s1274" inset="0,0,0,0">
              <w:txbxContent>
                <w:p w:rsidR="00B70CCA" w:rsidRDefault="00F90EB7" w:rsidP="00B70CCA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דיווח לוועדה</w:t>
                  </w:r>
                </w:p>
                <w:p w:rsidR="00B70CCA" w:rsidRDefault="00B70CCA" w:rsidP="00B70CCA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(תיקון מס' 2) תשע"ב-2012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7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F90EB7">
        <w:rPr>
          <w:rStyle w:val="default"/>
          <w:rFonts w:cs="FrankRuehl" w:hint="cs"/>
          <w:rtl/>
        </w:rPr>
        <w:t>(א)</w:t>
      </w:r>
      <w:r w:rsidR="00F90EB7">
        <w:rPr>
          <w:rStyle w:val="default"/>
          <w:rFonts w:cs="FrankRuehl" w:hint="cs"/>
          <w:rtl/>
        </w:rPr>
        <w:tab/>
        <w:t>בתקופה שמיום תחילתו של חוק סיוע לקטינים נפגעי עבירות מין או אלימות</w:t>
      </w:r>
      <w:r w:rsidR="00164FC8">
        <w:rPr>
          <w:rStyle w:val="default"/>
          <w:rFonts w:cs="FrankRuehl" w:hint="cs"/>
          <w:rtl/>
        </w:rPr>
        <w:t xml:space="preserve"> (תיקון מס' 2), התשע"ב-2012, עד יום כ' באייר התשע"ג (30 באפריל 2013), </w:t>
      </w:r>
      <w:r w:rsidR="00C24508">
        <w:rPr>
          <w:rStyle w:val="default"/>
          <w:rFonts w:cs="FrankRuehl" w:hint="cs"/>
          <w:rtl/>
        </w:rPr>
        <w:t>ידווח השר בכתב לוועדה, אחת לשלושה חודשים, על יישום הוראות חוק זה לעניין מרכזי הסיוע שהוקמו והפעלתם ועל ההיערכות להקמתם של מרכזי סיוע נוספים; לאחר המועד האמור ידווח השר לוועדה, אחת לשנה, על יישום הוראות חוק זה</w:t>
      </w:r>
      <w:r>
        <w:rPr>
          <w:rStyle w:val="default"/>
          <w:rFonts w:cs="FrankRuehl" w:hint="cs"/>
          <w:rtl/>
        </w:rPr>
        <w:t>.</w:t>
      </w:r>
    </w:p>
    <w:p w:rsidR="00C24508" w:rsidRDefault="00C24508" w:rsidP="00C2450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הוועדה תקיים דיון בדיווחים כאמור בסעיף קטן (א).</w:t>
      </w:r>
    </w:p>
    <w:p w:rsidR="00B70CCA" w:rsidRPr="00C24508" w:rsidRDefault="00B70CCA" w:rsidP="00B70CCA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12" w:name="Rov12"/>
      <w:r w:rsidRPr="00C24508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7.8.2012</w:t>
      </w:r>
    </w:p>
    <w:p w:rsidR="00B70CCA" w:rsidRPr="00C24508" w:rsidRDefault="00B70CCA" w:rsidP="00B70CCA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C24508">
        <w:rPr>
          <w:rFonts w:cs="FrankRuehl" w:hint="cs"/>
          <w:b/>
          <w:bCs/>
          <w:vanish/>
          <w:szCs w:val="20"/>
          <w:shd w:val="clear" w:color="auto" w:fill="FFFF99"/>
          <w:rtl/>
        </w:rPr>
        <w:t>תיקון מס' 2</w:t>
      </w:r>
    </w:p>
    <w:p w:rsidR="00B70CCA" w:rsidRPr="00C24508" w:rsidRDefault="00B70CCA" w:rsidP="00B70CCA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7" w:history="1">
        <w:r w:rsidRPr="00C2450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תשע"ב מס' 2379</w:t>
        </w:r>
      </w:hyperlink>
      <w:r w:rsidRPr="00C24508">
        <w:rPr>
          <w:rFonts w:cs="FrankRuehl" w:hint="cs"/>
          <w:vanish/>
          <w:szCs w:val="20"/>
          <w:shd w:val="clear" w:color="auto" w:fill="FFFF99"/>
          <w:rtl/>
        </w:rPr>
        <w:t xml:space="preserve"> מיום 7.8.2012 עמ' 676 (</w:t>
      </w:r>
      <w:hyperlink r:id="rId18" w:history="1">
        <w:r w:rsidRPr="00C2450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645</w:t>
        </w:r>
      </w:hyperlink>
      <w:r w:rsidRPr="00C24508">
        <w:rPr>
          <w:rFonts w:cs="FrankRuehl" w:hint="cs"/>
          <w:vanish/>
          <w:szCs w:val="20"/>
          <w:shd w:val="clear" w:color="auto" w:fill="FFFF99"/>
          <w:rtl/>
        </w:rPr>
        <w:t>)</w:t>
      </w:r>
    </w:p>
    <w:p w:rsidR="007E7D8F" w:rsidRPr="00C24508" w:rsidRDefault="00F90EB7" w:rsidP="00C24508">
      <w:pPr>
        <w:pStyle w:val="P00"/>
        <w:spacing w:before="0"/>
        <w:ind w:left="0" w:right="1134"/>
        <w:rPr>
          <w:rFonts w:cs="FrankRuehl" w:hint="cs"/>
          <w:sz w:val="2"/>
          <w:szCs w:val="2"/>
          <w:shd w:val="clear" w:color="auto" w:fill="FFFF99"/>
          <w:rtl/>
        </w:rPr>
      </w:pPr>
      <w:r w:rsidRPr="00C24508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סעיף 7</w:t>
      </w:r>
      <w:bookmarkEnd w:id="12"/>
    </w:p>
    <w:p w:rsidR="00AB513C" w:rsidRDefault="00AB513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AB513C" w:rsidRDefault="00AB513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AB513C" w:rsidRDefault="00AB513C" w:rsidP="00B4732A">
      <w:pPr>
        <w:pStyle w:val="sig-0"/>
        <w:tabs>
          <w:tab w:val="clear" w:pos="4820"/>
          <w:tab w:val="center" w:pos="1134"/>
          <w:tab w:val="center" w:pos="2835"/>
          <w:tab w:val="center" w:pos="4536"/>
          <w:tab w:val="center" w:pos="6237"/>
        </w:tabs>
        <w:spacing w:before="72"/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ab/>
      </w:r>
      <w:r>
        <w:rPr>
          <w:rFonts w:cs="FrankRuehl" w:hint="cs"/>
          <w:sz w:val="26"/>
          <w:rtl/>
        </w:rPr>
        <w:tab/>
        <w:t>אהוד אולמרט</w:t>
      </w:r>
      <w:r>
        <w:rPr>
          <w:rFonts w:cs="FrankRuehl" w:hint="cs"/>
          <w:sz w:val="26"/>
          <w:rtl/>
        </w:rPr>
        <w:tab/>
      </w:r>
      <w:r>
        <w:rPr>
          <w:rFonts w:cs="FrankRuehl" w:hint="cs"/>
          <w:sz w:val="26"/>
          <w:rtl/>
        </w:rPr>
        <w:tab/>
        <w:t>יצחק הרצוג</w:t>
      </w:r>
    </w:p>
    <w:p w:rsidR="00AB513C" w:rsidRDefault="00AB513C" w:rsidP="00B4732A">
      <w:pPr>
        <w:pStyle w:val="sig-0"/>
        <w:tabs>
          <w:tab w:val="clear" w:pos="4820"/>
          <w:tab w:val="center" w:pos="1134"/>
          <w:tab w:val="center" w:pos="2835"/>
          <w:tab w:val="center" w:pos="4536"/>
          <w:tab w:val="center" w:pos="6237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</w:r>
      <w:r>
        <w:rPr>
          <w:rFonts w:cs="FrankRuehl" w:hint="cs"/>
          <w:sz w:val="22"/>
          <w:szCs w:val="22"/>
          <w:rtl/>
        </w:rPr>
        <w:tab/>
        <w:t>ראש הממשלה</w:t>
      </w:r>
      <w:r>
        <w:rPr>
          <w:rFonts w:cs="FrankRuehl" w:hint="cs"/>
          <w:sz w:val="22"/>
          <w:szCs w:val="22"/>
          <w:rtl/>
        </w:rPr>
        <w:tab/>
      </w:r>
      <w:r>
        <w:rPr>
          <w:rFonts w:cs="FrankRuehl" w:hint="cs"/>
          <w:sz w:val="22"/>
          <w:szCs w:val="22"/>
          <w:rtl/>
        </w:rPr>
        <w:tab/>
        <w:t>שר הרווחה והשירותים החברתיים</w:t>
      </w:r>
    </w:p>
    <w:p w:rsidR="00AB513C" w:rsidRDefault="00AB513C" w:rsidP="00B4732A">
      <w:pPr>
        <w:pStyle w:val="sig-0"/>
        <w:tabs>
          <w:tab w:val="clear" w:pos="4820"/>
          <w:tab w:val="center" w:pos="1134"/>
          <w:tab w:val="center" w:pos="2835"/>
          <w:tab w:val="center" w:pos="4536"/>
          <w:tab w:val="center" w:pos="6237"/>
        </w:tabs>
        <w:spacing w:before="72"/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ab/>
        <w:t>שמעון פרס</w:t>
      </w:r>
      <w:r>
        <w:rPr>
          <w:rFonts w:cs="FrankRuehl" w:hint="cs"/>
          <w:sz w:val="26"/>
          <w:rtl/>
        </w:rPr>
        <w:tab/>
      </w:r>
      <w:r>
        <w:rPr>
          <w:rFonts w:cs="FrankRuehl" w:hint="cs"/>
          <w:sz w:val="26"/>
          <w:rtl/>
        </w:rPr>
        <w:tab/>
        <w:t>דליה איציק</w:t>
      </w:r>
    </w:p>
    <w:p w:rsidR="00AB513C" w:rsidRDefault="00AB513C" w:rsidP="00B4732A">
      <w:pPr>
        <w:pStyle w:val="sig-0"/>
        <w:tabs>
          <w:tab w:val="clear" w:pos="4820"/>
          <w:tab w:val="center" w:pos="1134"/>
          <w:tab w:val="center" w:pos="2835"/>
          <w:tab w:val="center" w:pos="4536"/>
          <w:tab w:val="center" w:pos="6237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  <w:t>נשיא המדינה</w:t>
      </w:r>
      <w:r>
        <w:rPr>
          <w:rFonts w:cs="FrankRuehl" w:hint="cs"/>
          <w:sz w:val="22"/>
          <w:szCs w:val="22"/>
          <w:rtl/>
        </w:rPr>
        <w:tab/>
      </w:r>
      <w:r>
        <w:rPr>
          <w:rFonts w:cs="FrankRuehl" w:hint="cs"/>
          <w:sz w:val="22"/>
          <w:szCs w:val="22"/>
          <w:rtl/>
        </w:rPr>
        <w:tab/>
        <w:t>יושבת ראש הכנסת</w:t>
      </w:r>
    </w:p>
    <w:p w:rsidR="00AB513C" w:rsidRDefault="00AB513C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:rsidR="00AB513C" w:rsidRDefault="00AB513C">
      <w:pPr>
        <w:pStyle w:val="sig-0"/>
        <w:ind w:left="0" w:right="1134"/>
        <w:rPr>
          <w:rFonts w:cs="FrankRuehl" w:hint="cs"/>
          <w:sz w:val="26"/>
          <w:rtl/>
        </w:rPr>
      </w:pPr>
    </w:p>
    <w:p w:rsidR="00780F34" w:rsidRDefault="00780F34">
      <w:pPr>
        <w:pStyle w:val="sig-0"/>
        <w:ind w:left="0" w:right="1134"/>
        <w:rPr>
          <w:rFonts w:cs="FrankRuehl"/>
          <w:sz w:val="26"/>
          <w:rtl/>
        </w:rPr>
      </w:pPr>
    </w:p>
    <w:p w:rsidR="00780F34" w:rsidRDefault="00780F34">
      <w:pPr>
        <w:pStyle w:val="sig-0"/>
        <w:ind w:left="0" w:right="1134"/>
        <w:rPr>
          <w:rFonts w:cs="FrankRuehl"/>
          <w:sz w:val="26"/>
          <w:rtl/>
        </w:rPr>
      </w:pPr>
    </w:p>
    <w:p w:rsidR="00780F34" w:rsidRDefault="00780F34" w:rsidP="00780F34">
      <w:pPr>
        <w:pStyle w:val="sig-0"/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  <w:hyperlink r:id="rId19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AB513C" w:rsidRPr="00780F34" w:rsidRDefault="00AB513C" w:rsidP="00780F34">
      <w:pPr>
        <w:pStyle w:val="sig-0"/>
        <w:ind w:left="0" w:right="1134"/>
        <w:jc w:val="center"/>
        <w:rPr>
          <w:rFonts w:cs="David" w:hint="cs"/>
          <w:color w:val="0000FF"/>
          <w:sz w:val="26"/>
          <w:szCs w:val="24"/>
          <w:u w:val="single"/>
          <w:rtl/>
        </w:rPr>
      </w:pPr>
    </w:p>
    <w:sectPr w:rsidR="00AB513C" w:rsidRPr="00780F34">
      <w:headerReference w:type="even" r:id="rId20"/>
      <w:headerReference w:type="default" r:id="rId21"/>
      <w:footerReference w:type="even" r:id="rId22"/>
      <w:footerReference w:type="default" r:id="rId23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25F8C" w:rsidRDefault="00725F8C">
      <w:r>
        <w:separator/>
      </w:r>
    </w:p>
  </w:endnote>
  <w:endnote w:type="continuationSeparator" w:id="0">
    <w:p w:rsidR="00725F8C" w:rsidRDefault="00725F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B513C" w:rsidRDefault="00AB513C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AB513C" w:rsidRDefault="00AB513C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AB513C" w:rsidRDefault="00AB513C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80F34">
      <w:rPr>
        <w:rFonts w:cs="TopType Jerushalmi"/>
        <w:noProof/>
        <w:color w:val="000000"/>
        <w:sz w:val="14"/>
        <w:szCs w:val="14"/>
      </w:rPr>
      <w:t>Z:\000-law\yael\2012\2012-08-12\999_946.doc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B513C" w:rsidRDefault="00AB513C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780F34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AB513C" w:rsidRDefault="00AB513C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AB513C" w:rsidRDefault="00AB513C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80F34">
      <w:rPr>
        <w:rFonts w:cs="TopType Jerushalmi"/>
        <w:noProof/>
        <w:color w:val="000000"/>
        <w:sz w:val="14"/>
        <w:szCs w:val="14"/>
      </w:rPr>
      <w:t>Z:\000-law\yael\2012\2012-08-12\999_946.doc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25F8C" w:rsidRDefault="00725F8C">
      <w:r>
        <w:separator/>
      </w:r>
    </w:p>
  </w:footnote>
  <w:footnote w:type="continuationSeparator" w:id="0">
    <w:p w:rsidR="00725F8C" w:rsidRDefault="00725F8C">
      <w:r>
        <w:continuationSeparator/>
      </w:r>
    </w:p>
  </w:footnote>
  <w:footnote w:id="1">
    <w:p w:rsidR="00216F9C" w:rsidRDefault="00AB513C" w:rsidP="00216F9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פורסם </w:t>
      </w:r>
      <w:hyperlink r:id="rId1" w:history="1">
        <w:r w:rsidRPr="00216F9C">
          <w:rPr>
            <w:rStyle w:val="Hyperlink"/>
            <w:rFonts w:cs="FrankRuehl" w:hint="cs"/>
            <w:rtl/>
          </w:rPr>
          <w:t>ס"ח תשס"ח מס' 2149</w:t>
        </w:r>
      </w:hyperlink>
      <w:r>
        <w:rPr>
          <w:rFonts w:cs="FrankRuehl" w:hint="cs"/>
          <w:rtl/>
        </w:rPr>
        <w:t xml:space="preserve"> מיום 10.4.2008 עמ' 485 (</w:t>
      </w:r>
      <w:hyperlink r:id="rId2" w:history="1">
        <w:r>
          <w:rPr>
            <w:rStyle w:val="Hyperlink"/>
            <w:rFonts w:cs="FrankRuehl"/>
            <w:rtl/>
          </w:rPr>
          <w:t>ה"ח הכנסת תשס"ז מס' 141</w:t>
        </w:r>
      </w:hyperlink>
      <w:r>
        <w:rPr>
          <w:rFonts w:cs="FrankRuehl" w:hint="cs"/>
          <w:rtl/>
        </w:rPr>
        <w:t xml:space="preserve"> עמ' 130).</w:t>
      </w:r>
    </w:p>
    <w:p w:rsidR="007A781E" w:rsidRDefault="00E80C2B" w:rsidP="007A781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E80C2B">
        <w:rPr>
          <w:rFonts w:cs="FrankRuehl" w:hint="cs"/>
          <w:rtl/>
        </w:rPr>
        <w:t xml:space="preserve">תוקן </w:t>
      </w:r>
      <w:hyperlink r:id="rId3" w:history="1">
        <w:r w:rsidRPr="007A781E">
          <w:rPr>
            <w:rStyle w:val="Hyperlink"/>
            <w:rFonts w:cs="FrankRuehl" w:hint="cs"/>
            <w:rtl/>
          </w:rPr>
          <w:t>ס"ח תשע"א מס' 2264</w:t>
        </w:r>
      </w:hyperlink>
      <w:r w:rsidRPr="00E80C2B">
        <w:rPr>
          <w:rFonts w:cs="FrankRuehl" w:hint="cs"/>
          <w:rtl/>
        </w:rPr>
        <w:t xml:space="preserve"> מיום 9.12.2010 עמ' 86 (</w:t>
      </w:r>
      <w:hyperlink r:id="rId4" w:history="1">
        <w:r w:rsidRPr="00E80C2B">
          <w:rPr>
            <w:rStyle w:val="Hyperlink"/>
            <w:rFonts w:cs="FrankRuehl" w:hint="cs"/>
            <w:rtl/>
          </w:rPr>
          <w:t>ה"ח הממשלה תש"ע מס' 507</w:t>
        </w:r>
      </w:hyperlink>
      <w:r w:rsidRPr="00E80C2B">
        <w:rPr>
          <w:rFonts w:cs="FrankRuehl" w:hint="cs"/>
          <w:rtl/>
        </w:rPr>
        <w:t xml:space="preserve"> עמ' 1058) </w:t>
      </w:r>
      <w:r w:rsidRPr="00E80C2B">
        <w:rPr>
          <w:rFonts w:cs="FrankRuehl"/>
          <w:rtl/>
        </w:rPr>
        <w:t>–</w:t>
      </w:r>
      <w:r w:rsidRPr="00E80C2B">
        <w:rPr>
          <w:rFonts w:cs="FrankRuehl" w:hint="cs"/>
          <w:rtl/>
        </w:rPr>
        <w:t xml:space="preserve"> תיקון מס' 1 בסעיף 2</w:t>
      </w:r>
      <w:r>
        <w:rPr>
          <w:rFonts w:cs="FrankRuehl" w:hint="cs"/>
          <w:rtl/>
        </w:rPr>
        <w:t>9</w:t>
      </w:r>
      <w:r w:rsidRPr="00E80C2B">
        <w:rPr>
          <w:rFonts w:cs="FrankRuehl" w:hint="cs"/>
          <w:rtl/>
        </w:rPr>
        <w:t xml:space="preserve"> לחוק להחלפת המונח פקיד סעד (תיקוני חקיקה), תשע"א-2010.</w:t>
      </w:r>
    </w:p>
    <w:p w:rsidR="00E87D17" w:rsidRPr="00E80C2B" w:rsidRDefault="00E87D17" w:rsidP="00E87D1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5" w:history="1">
        <w:r w:rsidR="005976AA" w:rsidRPr="00E87D17">
          <w:rPr>
            <w:rStyle w:val="Hyperlink"/>
            <w:rFonts w:cs="FrankRuehl" w:hint="cs"/>
            <w:rtl/>
          </w:rPr>
          <w:t>ס"ח תשע"ב מס' 2379</w:t>
        </w:r>
      </w:hyperlink>
      <w:r w:rsidR="005976AA">
        <w:rPr>
          <w:rFonts w:cs="FrankRuehl" w:hint="cs"/>
          <w:rtl/>
        </w:rPr>
        <w:t xml:space="preserve"> מיום 7.8.2012 עמ' 676 (</w:t>
      </w:r>
      <w:hyperlink r:id="rId6" w:history="1">
        <w:r w:rsidR="005976AA" w:rsidRPr="005976AA">
          <w:rPr>
            <w:rStyle w:val="Hyperlink"/>
            <w:rFonts w:cs="FrankRuehl" w:hint="cs"/>
            <w:rtl/>
          </w:rPr>
          <w:t>ה"ח הממשלה תשע"ב מס' 645</w:t>
        </w:r>
      </w:hyperlink>
      <w:r w:rsidR="005976AA">
        <w:rPr>
          <w:rFonts w:cs="FrankRuehl" w:hint="cs"/>
          <w:rtl/>
        </w:rPr>
        <w:t xml:space="preserve"> עמ' 276) </w:t>
      </w:r>
      <w:r w:rsidR="005976AA">
        <w:rPr>
          <w:rFonts w:cs="FrankRuehl"/>
          <w:rtl/>
        </w:rPr>
        <w:t>–</w:t>
      </w:r>
      <w:r w:rsidR="005976AA">
        <w:rPr>
          <w:rFonts w:cs="FrankRuehl" w:hint="cs"/>
          <w:rtl/>
        </w:rPr>
        <w:t xml:space="preserve"> תיקון מס' 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B513C" w:rsidRDefault="00AB513C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AB513C" w:rsidRDefault="00AB513C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AB513C" w:rsidRDefault="00AB513C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B513C" w:rsidRDefault="00AB513C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חוק סיוע לקטינים נפגעי עבירות מין או אלימות, תשס"ח-2008</w:t>
    </w:r>
  </w:p>
  <w:p w:rsidR="00AB513C" w:rsidRDefault="00AB513C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AB513C" w:rsidRDefault="00AB513C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662666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6F9C"/>
    <w:rsid w:val="000466EB"/>
    <w:rsid w:val="000804E3"/>
    <w:rsid w:val="00134D08"/>
    <w:rsid w:val="00164FC8"/>
    <w:rsid w:val="00216F9C"/>
    <w:rsid w:val="00240229"/>
    <w:rsid w:val="0047391E"/>
    <w:rsid w:val="005976AA"/>
    <w:rsid w:val="00603830"/>
    <w:rsid w:val="00634143"/>
    <w:rsid w:val="00725F8C"/>
    <w:rsid w:val="00780F34"/>
    <w:rsid w:val="007A781E"/>
    <w:rsid w:val="007E7D8F"/>
    <w:rsid w:val="00806BC7"/>
    <w:rsid w:val="00827150"/>
    <w:rsid w:val="00AB513C"/>
    <w:rsid w:val="00B4732A"/>
    <w:rsid w:val="00B51F3F"/>
    <w:rsid w:val="00B70CCA"/>
    <w:rsid w:val="00C24508"/>
    <w:rsid w:val="00C87FA1"/>
    <w:rsid w:val="00DF1871"/>
    <w:rsid w:val="00E80C2B"/>
    <w:rsid w:val="00E87D17"/>
    <w:rsid w:val="00F46006"/>
    <w:rsid w:val="00F9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A814A27C-F51A-4CD8-81F9-8EAB53738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a8">
    <w:name w:val="endnote text"/>
    <w:basedOn w:val="a"/>
    <w:semiHidden/>
    <w:rPr>
      <w:sz w:val="20"/>
      <w:szCs w:val="20"/>
    </w:rPr>
  </w:style>
  <w:style w:type="character" w:styleId="a9">
    <w:name w:val="end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15/memshala-645.pdf" TargetMode="External"/><Relationship Id="rId13" Type="http://schemas.openxmlformats.org/officeDocument/2006/relationships/hyperlink" Target="http://www.nevo.co.il/Law_word/law14/law-2379.pdf" TargetMode="External"/><Relationship Id="rId18" Type="http://schemas.openxmlformats.org/officeDocument/2006/relationships/hyperlink" Target="http://www.nevo.co.il/Law_word/law15/memshala-645.pdf" TargetMode="Externa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yperlink" Target="http://www.nevo.co.il/Law_word/law14/law-2379.pdf" TargetMode="External"/><Relationship Id="rId12" Type="http://schemas.openxmlformats.org/officeDocument/2006/relationships/hyperlink" Target="http://www.nevo.co.il/Law_word/law15/memshala-507.pdf" TargetMode="External"/><Relationship Id="rId17" Type="http://schemas.openxmlformats.org/officeDocument/2006/relationships/hyperlink" Target="http://www.nevo.co.il/Law_word/law14/law-2379.pdf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nevo.co.il/Law_word/law15/memshala-645.pdf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_word/law14/law-2264.pdf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nevo.co.il/Law_word/law14/law-2379.pdf" TargetMode="External"/><Relationship Id="rId23" Type="http://schemas.openxmlformats.org/officeDocument/2006/relationships/footer" Target="footer2.xml"/><Relationship Id="rId10" Type="http://schemas.openxmlformats.org/officeDocument/2006/relationships/hyperlink" Target="http://www.nevo.co.il/Law_word/law15/memshala-507.pdf" TargetMode="External"/><Relationship Id="rId19" Type="http://schemas.openxmlformats.org/officeDocument/2006/relationships/hyperlink" Target="http://www.nevo.co.il/advertisements/nevo-100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_word/law14/law-2264.pdf" TargetMode="External"/><Relationship Id="rId14" Type="http://schemas.openxmlformats.org/officeDocument/2006/relationships/hyperlink" Target="http://www.nevo.co.il/Law_word/law15/memshala-645.pdf" TargetMode="External"/><Relationship Id="rId22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14/law-2264.pdf" TargetMode="External"/><Relationship Id="rId2" Type="http://schemas.openxmlformats.org/officeDocument/2006/relationships/hyperlink" Target="http://www.nevo.co.il/Law_word/law16/knesset-141.pdf" TargetMode="External"/><Relationship Id="rId1" Type="http://schemas.openxmlformats.org/officeDocument/2006/relationships/hyperlink" Target="http://www.nevo.co.il/Law_word/law14/LAW-2149.pdf" TargetMode="External"/><Relationship Id="rId6" Type="http://schemas.openxmlformats.org/officeDocument/2006/relationships/hyperlink" Target="http://www.nevo.co.il/Law_word/law15/memshala-645.pdf" TargetMode="External"/><Relationship Id="rId5" Type="http://schemas.openxmlformats.org/officeDocument/2006/relationships/hyperlink" Target="http://www.nevo.co.il/Law_word/law14/LAW-2379.pdf" TargetMode="External"/><Relationship Id="rId4" Type="http://schemas.openxmlformats.org/officeDocument/2006/relationships/hyperlink" Target="http://www.nevo.co.il/Law_word/law15/memshala-50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828</Words>
  <Characters>4722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5539</CharactersWithSpaces>
  <SharedDoc>false</SharedDoc>
  <HLinks>
    <vt:vector size="156" baseType="variant">
      <vt:variant>
        <vt:i4>393283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7864400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http://www.nevo.co.il/Law_word/law15/memshala-645.pdf</vt:lpwstr>
      </vt:variant>
      <vt:variant>
        <vt:lpwstr/>
      </vt:variant>
      <vt:variant>
        <vt:i4>7995395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http://www.nevo.co.il/Law_word/law14/law-2379.pdf</vt:lpwstr>
      </vt:variant>
      <vt:variant>
        <vt:lpwstr/>
      </vt:variant>
      <vt:variant>
        <vt:i4>7864400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http://www.nevo.co.il/Law_word/law15/memshala-645.pdf</vt:lpwstr>
      </vt:variant>
      <vt:variant>
        <vt:lpwstr/>
      </vt:variant>
      <vt:variant>
        <vt:i4>7995395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http://www.nevo.co.il/Law_word/law14/law-2379.pdf</vt:lpwstr>
      </vt:variant>
      <vt:variant>
        <vt:lpwstr/>
      </vt:variant>
      <vt:variant>
        <vt:i4>7864400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http://www.nevo.co.il/Law_word/law15/memshala-645.pdf</vt:lpwstr>
      </vt:variant>
      <vt:variant>
        <vt:lpwstr/>
      </vt:variant>
      <vt:variant>
        <vt:i4>7995395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http://www.nevo.co.il/Law_word/law14/law-2379.pdf</vt:lpwstr>
      </vt:variant>
      <vt:variant>
        <vt:lpwstr/>
      </vt:variant>
      <vt:variant>
        <vt:i4>8126545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http://www.nevo.co.il/Law_word/law15/memshala-507.pdf</vt:lpwstr>
      </vt:variant>
      <vt:variant>
        <vt:lpwstr/>
      </vt:variant>
      <vt:variant>
        <vt:i4>8060943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http://www.nevo.co.il/Law_word/law14/law-2264.pdf</vt:lpwstr>
      </vt:variant>
      <vt:variant>
        <vt:lpwstr/>
      </vt:variant>
      <vt:variant>
        <vt:i4>8126545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http://www.nevo.co.il/Law_word/law15/memshala-507.pdf</vt:lpwstr>
      </vt:variant>
      <vt:variant>
        <vt:lpwstr/>
      </vt:variant>
      <vt:variant>
        <vt:i4>8060943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http://www.nevo.co.il/Law_word/law14/law-2264.pdf</vt:lpwstr>
      </vt:variant>
      <vt:variant>
        <vt:lpwstr/>
      </vt:variant>
      <vt:variant>
        <vt:i4>7864400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http://www.nevo.co.il/Law_word/law15/memshala-645.pdf</vt:lpwstr>
      </vt:variant>
      <vt:variant>
        <vt:lpwstr/>
      </vt:variant>
      <vt:variant>
        <vt:i4>7995395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http://www.nevo.co.il/Law_word/law14/law-2379.pdf</vt:lpwstr>
      </vt:variant>
      <vt:variant>
        <vt:lpwstr/>
      </vt:variant>
      <vt:variant>
        <vt:i4>196634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7864400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http://www.nevo.co.il/Law_word/law15/memshala-645.pdf</vt:lpwstr>
      </vt:variant>
      <vt:variant>
        <vt:lpwstr/>
      </vt:variant>
      <vt:variant>
        <vt:i4>7995395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http://www.nevo.co.il/Law_word/law14/LAW-2379.pdf</vt:lpwstr>
      </vt:variant>
      <vt:variant>
        <vt:lpwstr/>
      </vt:variant>
      <vt:variant>
        <vt:i4>8126545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http://www.nevo.co.il/Law_word/law15/memshala-507.pdf</vt:lpwstr>
      </vt:variant>
      <vt:variant>
        <vt:lpwstr/>
      </vt:variant>
      <vt:variant>
        <vt:i4>8060943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http://www.nevo.co.il/Law_word/law14/law-2264.pdf</vt:lpwstr>
      </vt:variant>
      <vt:variant>
        <vt:lpwstr/>
      </vt:variant>
      <vt:variant>
        <vt:i4>3342366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http://www.nevo.co.il/Law_word/law16/knesset-141.pdf</vt:lpwstr>
      </vt:variant>
      <vt:variant>
        <vt:lpwstr/>
      </vt:variant>
      <vt:variant>
        <vt:i4>7929857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http://www.nevo.co.il/Law_word/law14/LAW-2149.pdf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orit</dc:creator>
  <cp:keywords/>
  <dc:description/>
  <cp:lastModifiedBy>Shimon Doodkin</cp:lastModifiedBy>
  <cp:revision>2</cp:revision>
  <dcterms:created xsi:type="dcterms:W3CDTF">2023-06-05T19:05:00Z</dcterms:created>
  <dcterms:modified xsi:type="dcterms:W3CDTF">2023-06-05T19:05:00Z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חוק סיוע לקטינים נפגעי עבירות מין או אלימות, תשס"ח-2008</vt:lpwstr>
  </property>
  <property fmtid="{D5CDD505-2E9C-101B-9397-08002B2CF9AE}" pid="4" name="LAWNUMBER">
    <vt:lpwstr>0946</vt:lpwstr>
  </property>
  <property fmtid="{D5CDD505-2E9C-101B-9397-08002B2CF9AE}" pid="5" name="TYPE">
    <vt:lpwstr>01</vt:lpwstr>
  </property>
  <property fmtid="{D5CDD505-2E9C-101B-9397-08002B2CF9AE}" pid="6" name="CHNAME">
    <vt:lpwstr>רווחה</vt:lpwstr>
  </property>
  <property fmtid="{D5CDD505-2E9C-101B-9397-08002B2CF9AE}" pid="7" name="LINKK2">
    <vt:lpwstr>http://www.nevo.co.il/Law_word/law14/law-2264.pdf;‎רשומות - ספר חוקים##תוקן ס"ח תשע"א ‏מס' 2264 #מיום 9.12.2010 עמ' 86  – תיקון מס' 1 בסעיף 29 לחוק להחלפת המונח פקיד סעד (תיקוני חקיקה), ‏תשע"א-2010‏</vt:lpwstr>
  </property>
  <property fmtid="{D5CDD505-2E9C-101B-9397-08002B2CF9AE}" pid="8" name="LINKK3">
    <vt:lpwstr>http://www.nevo.co.il/Law_word/law14/LAW-2379.pdf;רשומות - ספר חוקים#ס"ח תשע"ב מס' 2379 #מיום 7.8.2012 עמ' 676  – תיקון מס' 2</vt:lpwstr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LINKK1">
    <vt:lpwstr>http://www.nevo.co.il/Law_word/law14/LAW-2149.pdf;רשומות - ספר חוקים#פורסם ס"ח תשס"ח מס' 2149 #מיום 10.4.2008 עמ' 485</vt:lpwstr>
  </property>
  <property fmtid="{D5CDD505-2E9C-101B-9397-08002B2CF9AE}" pid="22" name="NOSE11">
    <vt:lpwstr>עונשין ומשפט פלילי</vt:lpwstr>
  </property>
  <property fmtid="{D5CDD505-2E9C-101B-9397-08002B2CF9AE}" pid="23" name="NOSE21">
    <vt:lpwstr>סיוע לנפגע עברה</vt:lpwstr>
  </property>
  <property fmtid="{D5CDD505-2E9C-101B-9397-08002B2CF9AE}" pid="24" name="NOSE31">
    <vt:lpwstr>עבירות מין</vt:lpwstr>
  </property>
  <property fmtid="{D5CDD505-2E9C-101B-9397-08002B2CF9AE}" pid="25" name="NOSE41">
    <vt:lpwstr>קטינים</vt:lpwstr>
  </property>
  <property fmtid="{D5CDD505-2E9C-101B-9397-08002B2CF9AE}" pid="26" name="NOSE12">
    <vt:lpwstr>עונשין ומשפט פלילי</vt:lpwstr>
  </property>
  <property fmtid="{D5CDD505-2E9C-101B-9397-08002B2CF9AE}" pid="27" name="NOSE22">
    <vt:lpwstr>עבירות</vt:lpwstr>
  </property>
  <property fmtid="{D5CDD505-2E9C-101B-9397-08002B2CF9AE}" pid="28" name="NOSE32">
    <vt:lpwstr>עברייני מין</vt:lpwstr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SAMCHUT">
    <vt:lpwstr/>
  </property>
</Properties>
</file>