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1EEA1" w14:textId="77777777" w:rsidR="00BB2E6C" w:rsidRDefault="00BB2E6C">
      <w:pPr>
        <w:pStyle w:val="big-header"/>
        <w:ind w:left="0" w:right="1134"/>
        <w:rPr>
          <w:rFonts w:cs="FrankRuehl"/>
          <w:sz w:val="32"/>
        </w:rPr>
      </w:pPr>
      <w:r>
        <w:rPr>
          <w:rFonts w:cs="FrankRuehl" w:hint="cs"/>
          <w:sz w:val="32"/>
          <w:rtl/>
        </w:rPr>
        <w:t>חוק ספנות חופית (היתר לכלי שיט זר), תשס"ו-2005</w:t>
      </w:r>
    </w:p>
    <w:p w14:paraId="4F4C6D68" w14:textId="77777777" w:rsidR="007A3ADB" w:rsidRPr="007A3ADB" w:rsidRDefault="007A3ADB" w:rsidP="007A3ADB">
      <w:pPr>
        <w:spacing w:line="320" w:lineRule="auto"/>
        <w:rPr>
          <w:rFonts w:cs="FrankRuehl"/>
          <w:szCs w:val="26"/>
          <w:rtl/>
        </w:rPr>
      </w:pPr>
    </w:p>
    <w:p w14:paraId="420DFD3B" w14:textId="77777777" w:rsidR="007A3ADB" w:rsidRDefault="007A3ADB" w:rsidP="007A3ADB">
      <w:pPr>
        <w:spacing w:line="320" w:lineRule="auto"/>
        <w:rPr>
          <w:rtl/>
        </w:rPr>
      </w:pPr>
    </w:p>
    <w:p w14:paraId="2DB8A118" w14:textId="77777777" w:rsidR="007A3ADB" w:rsidRPr="007A3ADB" w:rsidRDefault="007A3ADB" w:rsidP="007A3ADB">
      <w:pPr>
        <w:spacing w:line="320" w:lineRule="auto"/>
        <w:rPr>
          <w:rFonts w:cs="Miriam"/>
          <w:szCs w:val="22"/>
          <w:rtl/>
        </w:rPr>
      </w:pPr>
      <w:r w:rsidRPr="007A3ADB">
        <w:rPr>
          <w:rFonts w:cs="Miriam"/>
          <w:szCs w:val="22"/>
          <w:rtl/>
        </w:rPr>
        <w:t>רשויות ומשפט מנהלי</w:t>
      </w:r>
      <w:r w:rsidRPr="007A3ADB">
        <w:rPr>
          <w:rFonts w:cs="FrankRuehl"/>
          <w:szCs w:val="26"/>
          <w:rtl/>
        </w:rPr>
        <w:t xml:space="preserve"> – תשתיות – ספנות ונמלים – כלי שיט</w:t>
      </w:r>
    </w:p>
    <w:p w14:paraId="1F08D556" w14:textId="77777777" w:rsidR="00BB2E6C" w:rsidRDefault="00BB2E6C">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B2E6C" w14:paraId="4EF14723" w14:textId="77777777">
        <w:tblPrEx>
          <w:tblCellMar>
            <w:top w:w="0" w:type="dxa"/>
            <w:bottom w:w="0" w:type="dxa"/>
          </w:tblCellMar>
        </w:tblPrEx>
        <w:trPr>
          <w:jc w:val="right"/>
        </w:trPr>
        <w:tc>
          <w:tcPr>
            <w:tcW w:w="850" w:type="dxa"/>
          </w:tcPr>
          <w:p w14:paraId="30ECFFE3" w14:textId="77777777" w:rsidR="00BB2E6C" w:rsidRDefault="00BB2E6C">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14:paraId="0F21716C" w14:textId="77777777" w:rsidR="00BB2E6C" w:rsidRDefault="00BB2E6C">
            <w:hyperlink w:anchor="Seif0" w:tooltip="הגדרות" w:history="1">
              <w:r>
                <w:rPr>
                  <w:rStyle w:val="Hyperlink"/>
                </w:rPr>
                <w:t>Go</w:t>
              </w:r>
            </w:hyperlink>
          </w:p>
        </w:tc>
        <w:tc>
          <w:tcPr>
            <w:tcW w:w="5669" w:type="dxa"/>
          </w:tcPr>
          <w:p w14:paraId="1108FA6E" w14:textId="77777777" w:rsidR="00BB2E6C" w:rsidRDefault="00BB2E6C">
            <w:pPr>
              <w:rPr>
                <w:rtl/>
              </w:rPr>
            </w:pPr>
            <w:r>
              <w:rPr>
                <w:rtl/>
              </w:rPr>
              <w:t>הגדרות</w:t>
            </w:r>
          </w:p>
        </w:tc>
        <w:tc>
          <w:tcPr>
            <w:tcW w:w="1247" w:type="dxa"/>
          </w:tcPr>
          <w:p w14:paraId="207BF84C" w14:textId="77777777" w:rsidR="00BB2E6C" w:rsidRDefault="00BB2E6C">
            <w:r>
              <w:rPr>
                <w:rtl/>
              </w:rPr>
              <w:t xml:space="preserve">סעיף 1 </w:t>
            </w:r>
          </w:p>
        </w:tc>
      </w:tr>
      <w:tr w:rsidR="00BB2E6C" w14:paraId="70669956" w14:textId="77777777">
        <w:tblPrEx>
          <w:tblCellMar>
            <w:top w:w="0" w:type="dxa"/>
            <w:bottom w:w="0" w:type="dxa"/>
          </w:tblCellMar>
        </w:tblPrEx>
        <w:trPr>
          <w:jc w:val="right"/>
        </w:trPr>
        <w:tc>
          <w:tcPr>
            <w:tcW w:w="850" w:type="dxa"/>
          </w:tcPr>
          <w:p w14:paraId="1942E727" w14:textId="77777777" w:rsidR="00BB2E6C" w:rsidRDefault="00BB2E6C">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3</w:t>
            </w:r>
            <w:r>
              <w:rPr>
                <w:rtl/>
              </w:rPr>
              <w:fldChar w:fldCharType="end"/>
            </w:r>
          </w:p>
        </w:tc>
        <w:tc>
          <w:tcPr>
            <w:tcW w:w="567" w:type="dxa"/>
          </w:tcPr>
          <w:p w14:paraId="36AA8A0D" w14:textId="77777777" w:rsidR="00BB2E6C" w:rsidRDefault="00BB2E6C">
            <w:hyperlink w:anchor="Seif1" w:tooltip="היתר לספנות חופית" w:history="1">
              <w:r>
                <w:rPr>
                  <w:rStyle w:val="Hyperlink"/>
                </w:rPr>
                <w:t>Go</w:t>
              </w:r>
            </w:hyperlink>
          </w:p>
        </w:tc>
        <w:tc>
          <w:tcPr>
            <w:tcW w:w="5669" w:type="dxa"/>
          </w:tcPr>
          <w:p w14:paraId="477EE81E" w14:textId="77777777" w:rsidR="00BB2E6C" w:rsidRDefault="00BB2E6C">
            <w:pPr>
              <w:rPr>
                <w:rtl/>
              </w:rPr>
            </w:pPr>
            <w:r>
              <w:rPr>
                <w:rtl/>
              </w:rPr>
              <w:t>היתר לספנות חופית</w:t>
            </w:r>
          </w:p>
        </w:tc>
        <w:tc>
          <w:tcPr>
            <w:tcW w:w="1247" w:type="dxa"/>
          </w:tcPr>
          <w:p w14:paraId="6A9BA71B" w14:textId="77777777" w:rsidR="00BB2E6C" w:rsidRDefault="00BB2E6C">
            <w:r>
              <w:rPr>
                <w:rtl/>
              </w:rPr>
              <w:t xml:space="preserve">סעיף 2 </w:t>
            </w:r>
          </w:p>
        </w:tc>
      </w:tr>
      <w:tr w:rsidR="00BB2E6C" w14:paraId="0A5277FB" w14:textId="77777777">
        <w:tblPrEx>
          <w:tblCellMar>
            <w:top w:w="0" w:type="dxa"/>
            <w:bottom w:w="0" w:type="dxa"/>
          </w:tblCellMar>
        </w:tblPrEx>
        <w:trPr>
          <w:jc w:val="right"/>
        </w:trPr>
        <w:tc>
          <w:tcPr>
            <w:tcW w:w="850" w:type="dxa"/>
          </w:tcPr>
          <w:p w14:paraId="2B1572FA" w14:textId="77777777" w:rsidR="00BB2E6C" w:rsidRDefault="00BB2E6C">
            <w:r>
              <w:rPr>
                <w:rtl/>
              </w:rPr>
              <w:fldChar w:fldCharType="begin"/>
            </w:r>
            <w:r>
              <w:rPr>
                <w:rtl/>
              </w:rPr>
              <w:instrText xml:space="preserve"> </w:instrText>
            </w:r>
            <w:r>
              <w:instrText>PAGEREF Seif9</w:instrText>
            </w:r>
            <w:r>
              <w:rPr>
                <w:rtl/>
              </w:rPr>
              <w:instrText xml:space="preserve"> </w:instrText>
            </w:r>
            <w:r>
              <w:rPr>
                <w:rtl/>
              </w:rPr>
              <w:fldChar w:fldCharType="separate"/>
            </w:r>
            <w:r>
              <w:rPr>
                <w:rtl/>
              </w:rPr>
              <w:t>3</w:t>
            </w:r>
            <w:r>
              <w:rPr>
                <w:rtl/>
              </w:rPr>
              <w:fldChar w:fldCharType="end"/>
            </w:r>
          </w:p>
        </w:tc>
        <w:tc>
          <w:tcPr>
            <w:tcW w:w="567" w:type="dxa"/>
          </w:tcPr>
          <w:p w14:paraId="70E8A8AD" w14:textId="77777777" w:rsidR="00BB2E6C" w:rsidRDefault="00BB2E6C">
            <w:hyperlink w:anchor="Seif9" w:tooltip="איסור העברת היתר לספנות חופית" w:history="1">
              <w:r>
                <w:rPr>
                  <w:rStyle w:val="Hyperlink"/>
                </w:rPr>
                <w:t>Go</w:t>
              </w:r>
            </w:hyperlink>
          </w:p>
        </w:tc>
        <w:tc>
          <w:tcPr>
            <w:tcW w:w="5669" w:type="dxa"/>
          </w:tcPr>
          <w:p w14:paraId="289BD61B" w14:textId="77777777" w:rsidR="00BB2E6C" w:rsidRDefault="00BB2E6C">
            <w:pPr>
              <w:rPr>
                <w:rtl/>
              </w:rPr>
            </w:pPr>
            <w:r>
              <w:rPr>
                <w:rtl/>
              </w:rPr>
              <w:t>איסור העברת היתר לספנות חופית</w:t>
            </w:r>
          </w:p>
        </w:tc>
        <w:tc>
          <w:tcPr>
            <w:tcW w:w="1247" w:type="dxa"/>
          </w:tcPr>
          <w:p w14:paraId="7D719AF4" w14:textId="77777777" w:rsidR="00BB2E6C" w:rsidRDefault="00BB2E6C">
            <w:r>
              <w:rPr>
                <w:rtl/>
              </w:rPr>
              <w:t xml:space="preserve">סעיף 3 </w:t>
            </w:r>
          </w:p>
        </w:tc>
      </w:tr>
      <w:tr w:rsidR="00BB2E6C" w14:paraId="55FB8047" w14:textId="77777777">
        <w:tblPrEx>
          <w:tblCellMar>
            <w:top w:w="0" w:type="dxa"/>
            <w:bottom w:w="0" w:type="dxa"/>
          </w:tblCellMar>
        </w:tblPrEx>
        <w:trPr>
          <w:jc w:val="right"/>
        </w:trPr>
        <w:tc>
          <w:tcPr>
            <w:tcW w:w="850" w:type="dxa"/>
          </w:tcPr>
          <w:p w14:paraId="18D19D0C" w14:textId="77777777" w:rsidR="00BB2E6C" w:rsidRDefault="00BB2E6C">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3</w:t>
            </w:r>
            <w:r>
              <w:rPr>
                <w:rtl/>
              </w:rPr>
              <w:fldChar w:fldCharType="end"/>
            </w:r>
          </w:p>
        </w:tc>
        <w:tc>
          <w:tcPr>
            <w:tcW w:w="567" w:type="dxa"/>
          </w:tcPr>
          <w:p w14:paraId="3C828610" w14:textId="77777777" w:rsidR="00BB2E6C" w:rsidRDefault="00BB2E6C">
            <w:hyperlink w:anchor="Seif2" w:tooltip="תנאים למתן היתר לספנות חופית" w:history="1">
              <w:r>
                <w:rPr>
                  <w:rStyle w:val="Hyperlink"/>
                </w:rPr>
                <w:t>Go</w:t>
              </w:r>
            </w:hyperlink>
          </w:p>
        </w:tc>
        <w:tc>
          <w:tcPr>
            <w:tcW w:w="5669" w:type="dxa"/>
          </w:tcPr>
          <w:p w14:paraId="765DF032" w14:textId="77777777" w:rsidR="00BB2E6C" w:rsidRDefault="00BB2E6C">
            <w:pPr>
              <w:rPr>
                <w:rtl/>
              </w:rPr>
            </w:pPr>
            <w:r>
              <w:rPr>
                <w:rtl/>
              </w:rPr>
              <w:t>תנאים למתן היתר לספנות חופית</w:t>
            </w:r>
          </w:p>
        </w:tc>
        <w:tc>
          <w:tcPr>
            <w:tcW w:w="1247" w:type="dxa"/>
          </w:tcPr>
          <w:p w14:paraId="0CD4ACF2" w14:textId="77777777" w:rsidR="00BB2E6C" w:rsidRDefault="00BB2E6C">
            <w:r>
              <w:rPr>
                <w:rtl/>
              </w:rPr>
              <w:t xml:space="preserve">סעיף 4 </w:t>
            </w:r>
          </w:p>
        </w:tc>
      </w:tr>
      <w:tr w:rsidR="00BB2E6C" w14:paraId="16902C91" w14:textId="77777777">
        <w:tblPrEx>
          <w:tblCellMar>
            <w:top w:w="0" w:type="dxa"/>
            <w:bottom w:w="0" w:type="dxa"/>
          </w:tblCellMar>
        </w:tblPrEx>
        <w:trPr>
          <w:jc w:val="right"/>
        </w:trPr>
        <w:tc>
          <w:tcPr>
            <w:tcW w:w="850" w:type="dxa"/>
          </w:tcPr>
          <w:p w14:paraId="2C74FEC2" w14:textId="77777777" w:rsidR="00BB2E6C" w:rsidRDefault="00BB2E6C">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3</w:t>
            </w:r>
            <w:r>
              <w:rPr>
                <w:rtl/>
              </w:rPr>
              <w:fldChar w:fldCharType="end"/>
            </w:r>
          </w:p>
        </w:tc>
        <w:tc>
          <w:tcPr>
            <w:tcW w:w="567" w:type="dxa"/>
          </w:tcPr>
          <w:p w14:paraId="1F5E1F96" w14:textId="77777777" w:rsidR="00BB2E6C" w:rsidRDefault="00BB2E6C">
            <w:hyperlink w:anchor="Seif3" w:tooltip="קביעת אנשי צוות ישראליים" w:history="1">
              <w:r>
                <w:rPr>
                  <w:rStyle w:val="Hyperlink"/>
                </w:rPr>
                <w:t>Go</w:t>
              </w:r>
            </w:hyperlink>
          </w:p>
        </w:tc>
        <w:tc>
          <w:tcPr>
            <w:tcW w:w="5669" w:type="dxa"/>
          </w:tcPr>
          <w:p w14:paraId="78EE7F6D" w14:textId="77777777" w:rsidR="00BB2E6C" w:rsidRDefault="00BB2E6C">
            <w:pPr>
              <w:rPr>
                <w:rtl/>
              </w:rPr>
            </w:pPr>
            <w:r>
              <w:rPr>
                <w:rtl/>
              </w:rPr>
              <w:t>קביעת אנשי צוות ישראליים</w:t>
            </w:r>
          </w:p>
        </w:tc>
        <w:tc>
          <w:tcPr>
            <w:tcW w:w="1247" w:type="dxa"/>
          </w:tcPr>
          <w:p w14:paraId="709B72CE" w14:textId="77777777" w:rsidR="00BB2E6C" w:rsidRDefault="00BB2E6C">
            <w:r>
              <w:rPr>
                <w:rtl/>
              </w:rPr>
              <w:t xml:space="preserve">סעיף 5 </w:t>
            </w:r>
          </w:p>
        </w:tc>
      </w:tr>
      <w:tr w:rsidR="00BB2E6C" w14:paraId="7434722E" w14:textId="77777777">
        <w:tblPrEx>
          <w:tblCellMar>
            <w:top w:w="0" w:type="dxa"/>
            <w:bottom w:w="0" w:type="dxa"/>
          </w:tblCellMar>
        </w:tblPrEx>
        <w:trPr>
          <w:jc w:val="right"/>
        </w:trPr>
        <w:tc>
          <w:tcPr>
            <w:tcW w:w="850" w:type="dxa"/>
          </w:tcPr>
          <w:p w14:paraId="340A8786" w14:textId="77777777" w:rsidR="00BB2E6C" w:rsidRDefault="00BB2E6C">
            <w:r>
              <w:rPr>
                <w:rtl/>
              </w:rPr>
              <w:fldChar w:fldCharType="begin"/>
            </w:r>
            <w:r>
              <w:rPr>
                <w:rtl/>
              </w:rPr>
              <w:instrText xml:space="preserve"> </w:instrText>
            </w:r>
            <w:r>
              <w:instrText>PAGEREF Seif4</w:instrText>
            </w:r>
            <w:r>
              <w:rPr>
                <w:rtl/>
              </w:rPr>
              <w:instrText xml:space="preserve"> </w:instrText>
            </w:r>
            <w:r>
              <w:rPr>
                <w:rtl/>
              </w:rPr>
              <w:fldChar w:fldCharType="separate"/>
            </w:r>
            <w:r>
              <w:rPr>
                <w:rtl/>
              </w:rPr>
              <w:t>4</w:t>
            </w:r>
            <w:r>
              <w:rPr>
                <w:rtl/>
              </w:rPr>
              <w:fldChar w:fldCharType="end"/>
            </w:r>
          </w:p>
        </w:tc>
        <w:tc>
          <w:tcPr>
            <w:tcW w:w="567" w:type="dxa"/>
          </w:tcPr>
          <w:p w14:paraId="12FDF926" w14:textId="77777777" w:rsidR="00BB2E6C" w:rsidRDefault="00BB2E6C">
            <w:hyperlink w:anchor="Seif4" w:tooltip="סירוב למתן היתר לספנות חופית מנימוקים הקשורים לבעל כלי השיט הזר" w:history="1">
              <w:r>
                <w:rPr>
                  <w:rStyle w:val="Hyperlink"/>
                </w:rPr>
                <w:t>Go</w:t>
              </w:r>
            </w:hyperlink>
          </w:p>
        </w:tc>
        <w:tc>
          <w:tcPr>
            <w:tcW w:w="5669" w:type="dxa"/>
          </w:tcPr>
          <w:p w14:paraId="344BD5A3" w14:textId="77777777" w:rsidR="00BB2E6C" w:rsidRDefault="00BB2E6C">
            <w:pPr>
              <w:rPr>
                <w:rtl/>
              </w:rPr>
            </w:pPr>
            <w:r>
              <w:rPr>
                <w:rtl/>
              </w:rPr>
              <w:t>סירוב למתן היתר לספנות חופית מנימוקים הקשורים לבעל כלי השיט הזר</w:t>
            </w:r>
          </w:p>
        </w:tc>
        <w:tc>
          <w:tcPr>
            <w:tcW w:w="1247" w:type="dxa"/>
          </w:tcPr>
          <w:p w14:paraId="5C4F95D8" w14:textId="77777777" w:rsidR="00BB2E6C" w:rsidRDefault="00BB2E6C">
            <w:r>
              <w:rPr>
                <w:rtl/>
              </w:rPr>
              <w:t xml:space="preserve">סעיף 6 </w:t>
            </w:r>
          </w:p>
        </w:tc>
      </w:tr>
      <w:tr w:rsidR="00BB2E6C" w14:paraId="11520C7D" w14:textId="77777777">
        <w:tblPrEx>
          <w:tblCellMar>
            <w:top w:w="0" w:type="dxa"/>
            <w:bottom w:w="0" w:type="dxa"/>
          </w:tblCellMar>
        </w:tblPrEx>
        <w:trPr>
          <w:jc w:val="right"/>
        </w:trPr>
        <w:tc>
          <w:tcPr>
            <w:tcW w:w="850" w:type="dxa"/>
          </w:tcPr>
          <w:p w14:paraId="1B0D5270" w14:textId="77777777" w:rsidR="00BB2E6C" w:rsidRDefault="00BB2E6C">
            <w:r>
              <w:rPr>
                <w:rtl/>
              </w:rPr>
              <w:fldChar w:fldCharType="begin"/>
            </w:r>
            <w:r>
              <w:rPr>
                <w:rtl/>
              </w:rPr>
              <w:instrText xml:space="preserve"> </w:instrText>
            </w:r>
            <w:r>
              <w:instrText>PAGEREF Seif5</w:instrText>
            </w:r>
            <w:r>
              <w:rPr>
                <w:rtl/>
              </w:rPr>
              <w:instrText xml:space="preserve"> </w:instrText>
            </w:r>
            <w:r>
              <w:rPr>
                <w:rtl/>
              </w:rPr>
              <w:fldChar w:fldCharType="separate"/>
            </w:r>
            <w:r>
              <w:rPr>
                <w:rtl/>
              </w:rPr>
              <w:t>4</w:t>
            </w:r>
            <w:r>
              <w:rPr>
                <w:rtl/>
              </w:rPr>
              <w:fldChar w:fldCharType="end"/>
            </w:r>
          </w:p>
        </w:tc>
        <w:tc>
          <w:tcPr>
            <w:tcW w:w="567" w:type="dxa"/>
          </w:tcPr>
          <w:p w14:paraId="692052C0" w14:textId="77777777" w:rsidR="00BB2E6C" w:rsidRDefault="00BB2E6C">
            <w:hyperlink w:anchor="Seif5" w:tooltip="סירוב למתן היתר לספנות חופית מנימוקים אחרים" w:history="1">
              <w:r>
                <w:rPr>
                  <w:rStyle w:val="Hyperlink"/>
                </w:rPr>
                <w:t>Go</w:t>
              </w:r>
            </w:hyperlink>
          </w:p>
        </w:tc>
        <w:tc>
          <w:tcPr>
            <w:tcW w:w="5669" w:type="dxa"/>
          </w:tcPr>
          <w:p w14:paraId="18137535" w14:textId="77777777" w:rsidR="00BB2E6C" w:rsidRDefault="00BB2E6C">
            <w:pPr>
              <w:rPr>
                <w:rtl/>
              </w:rPr>
            </w:pPr>
            <w:r>
              <w:rPr>
                <w:rtl/>
              </w:rPr>
              <w:t>סירוב למתן היתר לספנות חופית מנימוקים אחרים</w:t>
            </w:r>
          </w:p>
        </w:tc>
        <w:tc>
          <w:tcPr>
            <w:tcW w:w="1247" w:type="dxa"/>
          </w:tcPr>
          <w:p w14:paraId="3D84237B" w14:textId="77777777" w:rsidR="00BB2E6C" w:rsidRDefault="00BB2E6C">
            <w:r>
              <w:rPr>
                <w:rtl/>
              </w:rPr>
              <w:t xml:space="preserve">סעיף 7 </w:t>
            </w:r>
          </w:p>
        </w:tc>
      </w:tr>
      <w:tr w:rsidR="00BB2E6C" w14:paraId="3E1B22E0" w14:textId="77777777">
        <w:tblPrEx>
          <w:tblCellMar>
            <w:top w:w="0" w:type="dxa"/>
            <w:bottom w:w="0" w:type="dxa"/>
          </w:tblCellMar>
        </w:tblPrEx>
        <w:trPr>
          <w:jc w:val="right"/>
        </w:trPr>
        <w:tc>
          <w:tcPr>
            <w:tcW w:w="850" w:type="dxa"/>
          </w:tcPr>
          <w:p w14:paraId="13B5D2FB" w14:textId="77777777" w:rsidR="00BB2E6C" w:rsidRDefault="00BB2E6C">
            <w:r>
              <w:rPr>
                <w:rtl/>
              </w:rPr>
              <w:fldChar w:fldCharType="begin"/>
            </w:r>
            <w:r>
              <w:rPr>
                <w:rtl/>
              </w:rPr>
              <w:instrText xml:space="preserve"> </w:instrText>
            </w:r>
            <w:r>
              <w:instrText>PAGEREF Seif6</w:instrText>
            </w:r>
            <w:r>
              <w:rPr>
                <w:rtl/>
              </w:rPr>
              <w:instrText xml:space="preserve"> </w:instrText>
            </w:r>
            <w:r>
              <w:rPr>
                <w:rtl/>
              </w:rPr>
              <w:fldChar w:fldCharType="separate"/>
            </w:r>
            <w:r>
              <w:rPr>
                <w:rtl/>
              </w:rPr>
              <w:t>4</w:t>
            </w:r>
            <w:r>
              <w:rPr>
                <w:rtl/>
              </w:rPr>
              <w:fldChar w:fldCharType="end"/>
            </w:r>
          </w:p>
        </w:tc>
        <w:tc>
          <w:tcPr>
            <w:tcW w:w="567" w:type="dxa"/>
          </w:tcPr>
          <w:p w14:paraId="416BAA2B" w14:textId="77777777" w:rsidR="00BB2E6C" w:rsidRDefault="00BB2E6C">
            <w:hyperlink w:anchor="Seif6" w:tooltip="מסירת פרטים למנהל" w:history="1">
              <w:r>
                <w:rPr>
                  <w:rStyle w:val="Hyperlink"/>
                </w:rPr>
                <w:t>Go</w:t>
              </w:r>
            </w:hyperlink>
          </w:p>
        </w:tc>
        <w:tc>
          <w:tcPr>
            <w:tcW w:w="5669" w:type="dxa"/>
          </w:tcPr>
          <w:p w14:paraId="5A6C1C4B" w14:textId="77777777" w:rsidR="00BB2E6C" w:rsidRDefault="00BB2E6C">
            <w:pPr>
              <w:rPr>
                <w:rtl/>
              </w:rPr>
            </w:pPr>
            <w:r>
              <w:rPr>
                <w:rtl/>
              </w:rPr>
              <w:t>מסירת פרטים למנהל</w:t>
            </w:r>
          </w:p>
        </w:tc>
        <w:tc>
          <w:tcPr>
            <w:tcW w:w="1247" w:type="dxa"/>
          </w:tcPr>
          <w:p w14:paraId="00865FF0" w14:textId="77777777" w:rsidR="00BB2E6C" w:rsidRDefault="00BB2E6C">
            <w:r>
              <w:rPr>
                <w:rtl/>
              </w:rPr>
              <w:t xml:space="preserve">סעיף 8 </w:t>
            </w:r>
          </w:p>
        </w:tc>
      </w:tr>
      <w:tr w:rsidR="00BB2E6C" w14:paraId="44B05FE2" w14:textId="77777777">
        <w:tblPrEx>
          <w:tblCellMar>
            <w:top w:w="0" w:type="dxa"/>
            <w:bottom w:w="0" w:type="dxa"/>
          </w:tblCellMar>
        </w:tblPrEx>
        <w:trPr>
          <w:jc w:val="right"/>
        </w:trPr>
        <w:tc>
          <w:tcPr>
            <w:tcW w:w="850" w:type="dxa"/>
          </w:tcPr>
          <w:p w14:paraId="3215B70E" w14:textId="77777777" w:rsidR="00BB2E6C" w:rsidRDefault="00BB2E6C">
            <w:r>
              <w:rPr>
                <w:rtl/>
              </w:rPr>
              <w:fldChar w:fldCharType="begin"/>
            </w:r>
            <w:r>
              <w:rPr>
                <w:rtl/>
              </w:rPr>
              <w:instrText xml:space="preserve"> </w:instrText>
            </w:r>
            <w:r>
              <w:instrText>PAGEREF Seif7</w:instrText>
            </w:r>
            <w:r>
              <w:rPr>
                <w:rtl/>
              </w:rPr>
              <w:instrText xml:space="preserve"> </w:instrText>
            </w:r>
            <w:r>
              <w:rPr>
                <w:rtl/>
              </w:rPr>
              <w:fldChar w:fldCharType="separate"/>
            </w:r>
            <w:r>
              <w:rPr>
                <w:rtl/>
              </w:rPr>
              <w:t>4</w:t>
            </w:r>
            <w:r>
              <w:rPr>
                <w:rtl/>
              </w:rPr>
              <w:fldChar w:fldCharType="end"/>
            </w:r>
          </w:p>
        </w:tc>
        <w:tc>
          <w:tcPr>
            <w:tcW w:w="567" w:type="dxa"/>
          </w:tcPr>
          <w:p w14:paraId="061C6490" w14:textId="77777777" w:rsidR="00BB2E6C" w:rsidRDefault="00BB2E6C">
            <w:hyperlink w:anchor="Seif7" w:tooltip="ביטול היתר לספנות חופית, התלייתו או סירוב לחדשו" w:history="1">
              <w:r>
                <w:rPr>
                  <w:rStyle w:val="Hyperlink"/>
                </w:rPr>
                <w:t>Go</w:t>
              </w:r>
            </w:hyperlink>
          </w:p>
        </w:tc>
        <w:tc>
          <w:tcPr>
            <w:tcW w:w="5669" w:type="dxa"/>
          </w:tcPr>
          <w:p w14:paraId="0A4A9EF0" w14:textId="77777777" w:rsidR="00BB2E6C" w:rsidRDefault="00BB2E6C">
            <w:pPr>
              <w:rPr>
                <w:rtl/>
              </w:rPr>
            </w:pPr>
            <w:r>
              <w:rPr>
                <w:rtl/>
              </w:rPr>
              <w:t>ביטול היתר לספנות חופית, התלייתו או סירוב לחדשו</w:t>
            </w:r>
          </w:p>
        </w:tc>
        <w:tc>
          <w:tcPr>
            <w:tcW w:w="1247" w:type="dxa"/>
          </w:tcPr>
          <w:p w14:paraId="6BC0209F" w14:textId="77777777" w:rsidR="00BB2E6C" w:rsidRDefault="00BB2E6C">
            <w:r>
              <w:rPr>
                <w:rtl/>
              </w:rPr>
              <w:t xml:space="preserve">סעיף 9 </w:t>
            </w:r>
          </w:p>
        </w:tc>
      </w:tr>
      <w:tr w:rsidR="00BB2E6C" w14:paraId="4E5860FC" w14:textId="77777777">
        <w:tblPrEx>
          <w:tblCellMar>
            <w:top w:w="0" w:type="dxa"/>
            <w:bottom w:w="0" w:type="dxa"/>
          </w:tblCellMar>
        </w:tblPrEx>
        <w:trPr>
          <w:jc w:val="right"/>
        </w:trPr>
        <w:tc>
          <w:tcPr>
            <w:tcW w:w="850" w:type="dxa"/>
          </w:tcPr>
          <w:p w14:paraId="3D5B3F23" w14:textId="77777777" w:rsidR="00BB2E6C" w:rsidRDefault="00BB2E6C">
            <w:r>
              <w:rPr>
                <w:rtl/>
              </w:rPr>
              <w:fldChar w:fldCharType="begin"/>
            </w:r>
            <w:r>
              <w:rPr>
                <w:rtl/>
              </w:rPr>
              <w:instrText xml:space="preserve"> </w:instrText>
            </w:r>
            <w:r>
              <w:instrText>PAGEREF Seif8</w:instrText>
            </w:r>
            <w:r>
              <w:rPr>
                <w:rtl/>
              </w:rPr>
              <w:instrText xml:space="preserve"> </w:instrText>
            </w:r>
            <w:r>
              <w:rPr>
                <w:rtl/>
              </w:rPr>
              <w:fldChar w:fldCharType="separate"/>
            </w:r>
            <w:r>
              <w:rPr>
                <w:rtl/>
              </w:rPr>
              <w:t>4</w:t>
            </w:r>
            <w:r>
              <w:rPr>
                <w:rtl/>
              </w:rPr>
              <w:fldChar w:fldCharType="end"/>
            </w:r>
          </w:p>
        </w:tc>
        <w:tc>
          <w:tcPr>
            <w:tcW w:w="567" w:type="dxa"/>
          </w:tcPr>
          <w:p w14:paraId="7091F9FA" w14:textId="77777777" w:rsidR="00BB2E6C" w:rsidRDefault="00BB2E6C">
            <w:hyperlink w:anchor="Seif8" w:tooltip="מינוי מפקחים וסמכויותיהם" w:history="1">
              <w:r>
                <w:rPr>
                  <w:rStyle w:val="Hyperlink"/>
                </w:rPr>
                <w:t>Go</w:t>
              </w:r>
            </w:hyperlink>
          </w:p>
        </w:tc>
        <w:tc>
          <w:tcPr>
            <w:tcW w:w="5669" w:type="dxa"/>
          </w:tcPr>
          <w:p w14:paraId="2B2FEAFA" w14:textId="77777777" w:rsidR="00BB2E6C" w:rsidRDefault="00BB2E6C">
            <w:pPr>
              <w:rPr>
                <w:rtl/>
              </w:rPr>
            </w:pPr>
            <w:r>
              <w:rPr>
                <w:rtl/>
              </w:rPr>
              <w:t>מינוי מפקחים וסמכויותיהם</w:t>
            </w:r>
          </w:p>
        </w:tc>
        <w:tc>
          <w:tcPr>
            <w:tcW w:w="1247" w:type="dxa"/>
          </w:tcPr>
          <w:p w14:paraId="685635BC" w14:textId="77777777" w:rsidR="00BB2E6C" w:rsidRDefault="00BB2E6C">
            <w:r>
              <w:rPr>
                <w:rtl/>
              </w:rPr>
              <w:t xml:space="preserve">סעיף 10 </w:t>
            </w:r>
          </w:p>
        </w:tc>
      </w:tr>
      <w:tr w:rsidR="00BB2E6C" w14:paraId="07EDAF22" w14:textId="77777777">
        <w:tblPrEx>
          <w:tblCellMar>
            <w:top w:w="0" w:type="dxa"/>
            <w:bottom w:w="0" w:type="dxa"/>
          </w:tblCellMar>
        </w:tblPrEx>
        <w:trPr>
          <w:jc w:val="right"/>
        </w:trPr>
        <w:tc>
          <w:tcPr>
            <w:tcW w:w="850" w:type="dxa"/>
          </w:tcPr>
          <w:p w14:paraId="2F8D8EC5" w14:textId="77777777" w:rsidR="00BB2E6C" w:rsidRDefault="00BB2E6C">
            <w:r>
              <w:rPr>
                <w:rtl/>
              </w:rPr>
              <w:fldChar w:fldCharType="begin"/>
            </w:r>
            <w:r>
              <w:rPr>
                <w:rtl/>
              </w:rPr>
              <w:instrText xml:space="preserve"> </w:instrText>
            </w:r>
            <w:r>
              <w:instrText>PAGEREF Seif10</w:instrText>
            </w:r>
            <w:r>
              <w:rPr>
                <w:rtl/>
              </w:rPr>
              <w:instrText xml:space="preserve"> </w:instrText>
            </w:r>
            <w:r>
              <w:rPr>
                <w:rtl/>
              </w:rPr>
              <w:fldChar w:fldCharType="separate"/>
            </w:r>
            <w:r>
              <w:rPr>
                <w:rtl/>
              </w:rPr>
              <w:t>5</w:t>
            </w:r>
            <w:r>
              <w:rPr>
                <w:rtl/>
              </w:rPr>
              <w:fldChar w:fldCharType="end"/>
            </w:r>
          </w:p>
        </w:tc>
        <w:tc>
          <w:tcPr>
            <w:tcW w:w="567" w:type="dxa"/>
          </w:tcPr>
          <w:p w14:paraId="64AAF2A2" w14:textId="77777777" w:rsidR="00BB2E6C" w:rsidRDefault="00BB2E6C">
            <w:hyperlink w:anchor="Seif10" w:tooltip="עונשין" w:history="1">
              <w:r>
                <w:rPr>
                  <w:rStyle w:val="Hyperlink"/>
                </w:rPr>
                <w:t>Go</w:t>
              </w:r>
            </w:hyperlink>
          </w:p>
        </w:tc>
        <w:tc>
          <w:tcPr>
            <w:tcW w:w="5669" w:type="dxa"/>
          </w:tcPr>
          <w:p w14:paraId="0D2B0D3E" w14:textId="77777777" w:rsidR="00BB2E6C" w:rsidRDefault="00BB2E6C">
            <w:pPr>
              <w:rPr>
                <w:rtl/>
              </w:rPr>
            </w:pPr>
            <w:r>
              <w:rPr>
                <w:rtl/>
              </w:rPr>
              <w:t>עונשין</w:t>
            </w:r>
          </w:p>
        </w:tc>
        <w:tc>
          <w:tcPr>
            <w:tcW w:w="1247" w:type="dxa"/>
          </w:tcPr>
          <w:p w14:paraId="47A7B593" w14:textId="77777777" w:rsidR="00BB2E6C" w:rsidRDefault="00BB2E6C">
            <w:r>
              <w:rPr>
                <w:rtl/>
              </w:rPr>
              <w:t xml:space="preserve">סעיף 11 </w:t>
            </w:r>
          </w:p>
        </w:tc>
      </w:tr>
      <w:tr w:rsidR="00BB2E6C" w14:paraId="6059A462" w14:textId="77777777">
        <w:tblPrEx>
          <w:tblCellMar>
            <w:top w:w="0" w:type="dxa"/>
            <w:bottom w:w="0" w:type="dxa"/>
          </w:tblCellMar>
        </w:tblPrEx>
        <w:trPr>
          <w:jc w:val="right"/>
        </w:trPr>
        <w:tc>
          <w:tcPr>
            <w:tcW w:w="850" w:type="dxa"/>
          </w:tcPr>
          <w:p w14:paraId="44645FF4" w14:textId="77777777" w:rsidR="00BB2E6C" w:rsidRDefault="00BB2E6C">
            <w:r>
              <w:rPr>
                <w:rtl/>
              </w:rPr>
              <w:fldChar w:fldCharType="begin"/>
            </w:r>
            <w:r>
              <w:rPr>
                <w:rtl/>
              </w:rPr>
              <w:instrText xml:space="preserve"> </w:instrText>
            </w:r>
            <w:r>
              <w:instrText>PAGEREF Seif11</w:instrText>
            </w:r>
            <w:r>
              <w:rPr>
                <w:rtl/>
              </w:rPr>
              <w:instrText xml:space="preserve"> </w:instrText>
            </w:r>
            <w:r>
              <w:rPr>
                <w:rtl/>
              </w:rPr>
              <w:fldChar w:fldCharType="separate"/>
            </w:r>
            <w:r>
              <w:rPr>
                <w:rtl/>
              </w:rPr>
              <w:t>5</w:t>
            </w:r>
            <w:r>
              <w:rPr>
                <w:rtl/>
              </w:rPr>
              <w:fldChar w:fldCharType="end"/>
            </w:r>
          </w:p>
        </w:tc>
        <w:tc>
          <w:tcPr>
            <w:tcW w:w="567" w:type="dxa"/>
          </w:tcPr>
          <w:p w14:paraId="59C1DABF" w14:textId="77777777" w:rsidR="00BB2E6C" w:rsidRDefault="00BB2E6C">
            <w:hyperlink w:anchor="Seif11" w:tooltip="פטור" w:history="1">
              <w:r>
                <w:rPr>
                  <w:rStyle w:val="Hyperlink"/>
                </w:rPr>
                <w:t>Go</w:t>
              </w:r>
            </w:hyperlink>
          </w:p>
        </w:tc>
        <w:tc>
          <w:tcPr>
            <w:tcW w:w="5669" w:type="dxa"/>
          </w:tcPr>
          <w:p w14:paraId="7CF1B9AF" w14:textId="77777777" w:rsidR="00BB2E6C" w:rsidRDefault="00BB2E6C">
            <w:pPr>
              <w:rPr>
                <w:rtl/>
              </w:rPr>
            </w:pPr>
            <w:r>
              <w:rPr>
                <w:rtl/>
              </w:rPr>
              <w:t>פטור</w:t>
            </w:r>
          </w:p>
        </w:tc>
        <w:tc>
          <w:tcPr>
            <w:tcW w:w="1247" w:type="dxa"/>
          </w:tcPr>
          <w:p w14:paraId="606D68C8" w14:textId="77777777" w:rsidR="00BB2E6C" w:rsidRDefault="00BB2E6C">
            <w:r>
              <w:rPr>
                <w:rtl/>
              </w:rPr>
              <w:t xml:space="preserve">סעיף 12 </w:t>
            </w:r>
          </w:p>
        </w:tc>
      </w:tr>
      <w:tr w:rsidR="00BB2E6C" w14:paraId="73D1C03A" w14:textId="77777777">
        <w:tblPrEx>
          <w:tblCellMar>
            <w:top w:w="0" w:type="dxa"/>
            <w:bottom w:w="0" w:type="dxa"/>
          </w:tblCellMar>
        </w:tblPrEx>
        <w:trPr>
          <w:jc w:val="right"/>
        </w:trPr>
        <w:tc>
          <w:tcPr>
            <w:tcW w:w="850" w:type="dxa"/>
          </w:tcPr>
          <w:p w14:paraId="6A043ABC" w14:textId="77777777" w:rsidR="00BB2E6C" w:rsidRDefault="00BB2E6C">
            <w:r>
              <w:rPr>
                <w:rtl/>
              </w:rPr>
              <w:fldChar w:fldCharType="begin"/>
            </w:r>
            <w:r>
              <w:rPr>
                <w:rtl/>
              </w:rPr>
              <w:instrText xml:space="preserve"> </w:instrText>
            </w:r>
            <w:r>
              <w:instrText>PAGEREF Seif12</w:instrText>
            </w:r>
            <w:r>
              <w:rPr>
                <w:rtl/>
              </w:rPr>
              <w:instrText xml:space="preserve"> </w:instrText>
            </w:r>
            <w:r>
              <w:rPr>
                <w:rtl/>
              </w:rPr>
              <w:fldChar w:fldCharType="separate"/>
            </w:r>
            <w:r>
              <w:rPr>
                <w:rtl/>
              </w:rPr>
              <w:t>5</w:t>
            </w:r>
            <w:r>
              <w:rPr>
                <w:rtl/>
              </w:rPr>
              <w:fldChar w:fldCharType="end"/>
            </w:r>
          </w:p>
        </w:tc>
        <w:tc>
          <w:tcPr>
            <w:tcW w:w="567" w:type="dxa"/>
          </w:tcPr>
          <w:p w14:paraId="3F4E3728" w14:textId="77777777" w:rsidR="00BB2E6C" w:rsidRDefault="00BB2E6C">
            <w:hyperlink w:anchor="Seif12" w:tooltip="אגרות" w:history="1">
              <w:r>
                <w:rPr>
                  <w:rStyle w:val="Hyperlink"/>
                </w:rPr>
                <w:t>Go</w:t>
              </w:r>
            </w:hyperlink>
          </w:p>
        </w:tc>
        <w:tc>
          <w:tcPr>
            <w:tcW w:w="5669" w:type="dxa"/>
          </w:tcPr>
          <w:p w14:paraId="36A6D2D9" w14:textId="77777777" w:rsidR="00BB2E6C" w:rsidRDefault="00BB2E6C">
            <w:pPr>
              <w:rPr>
                <w:rtl/>
              </w:rPr>
            </w:pPr>
            <w:r>
              <w:rPr>
                <w:rtl/>
              </w:rPr>
              <w:t>אגרות</w:t>
            </w:r>
          </w:p>
        </w:tc>
        <w:tc>
          <w:tcPr>
            <w:tcW w:w="1247" w:type="dxa"/>
          </w:tcPr>
          <w:p w14:paraId="38F39617" w14:textId="77777777" w:rsidR="00BB2E6C" w:rsidRDefault="00BB2E6C">
            <w:r>
              <w:rPr>
                <w:rtl/>
              </w:rPr>
              <w:t xml:space="preserve">סעיף 13 </w:t>
            </w:r>
          </w:p>
        </w:tc>
      </w:tr>
      <w:tr w:rsidR="00BB2E6C" w14:paraId="2D386AF1" w14:textId="77777777">
        <w:tblPrEx>
          <w:tblCellMar>
            <w:top w:w="0" w:type="dxa"/>
            <w:bottom w:w="0" w:type="dxa"/>
          </w:tblCellMar>
        </w:tblPrEx>
        <w:trPr>
          <w:jc w:val="right"/>
        </w:trPr>
        <w:tc>
          <w:tcPr>
            <w:tcW w:w="850" w:type="dxa"/>
          </w:tcPr>
          <w:p w14:paraId="50C86309" w14:textId="77777777" w:rsidR="00BB2E6C" w:rsidRDefault="00BB2E6C">
            <w:r>
              <w:rPr>
                <w:rtl/>
              </w:rPr>
              <w:fldChar w:fldCharType="begin"/>
            </w:r>
            <w:r>
              <w:rPr>
                <w:rtl/>
              </w:rPr>
              <w:instrText xml:space="preserve"> </w:instrText>
            </w:r>
            <w:r>
              <w:instrText>PAGEREF Seif13</w:instrText>
            </w:r>
            <w:r>
              <w:rPr>
                <w:rtl/>
              </w:rPr>
              <w:instrText xml:space="preserve"> </w:instrText>
            </w:r>
            <w:r>
              <w:rPr>
                <w:rtl/>
              </w:rPr>
              <w:fldChar w:fldCharType="separate"/>
            </w:r>
            <w:r>
              <w:rPr>
                <w:rtl/>
              </w:rPr>
              <w:t>5</w:t>
            </w:r>
            <w:r>
              <w:rPr>
                <w:rtl/>
              </w:rPr>
              <w:fldChar w:fldCharType="end"/>
            </w:r>
          </w:p>
        </w:tc>
        <w:tc>
          <w:tcPr>
            <w:tcW w:w="567" w:type="dxa"/>
          </w:tcPr>
          <w:p w14:paraId="328C34C0" w14:textId="77777777" w:rsidR="00BB2E6C" w:rsidRDefault="00BB2E6C">
            <w:hyperlink w:anchor="Seif13" w:tooltip="ביצוע ותקנות" w:history="1">
              <w:r>
                <w:rPr>
                  <w:rStyle w:val="Hyperlink"/>
                </w:rPr>
                <w:t>Go</w:t>
              </w:r>
            </w:hyperlink>
          </w:p>
        </w:tc>
        <w:tc>
          <w:tcPr>
            <w:tcW w:w="5669" w:type="dxa"/>
          </w:tcPr>
          <w:p w14:paraId="47D0737B" w14:textId="77777777" w:rsidR="00BB2E6C" w:rsidRDefault="00BB2E6C">
            <w:pPr>
              <w:rPr>
                <w:rtl/>
              </w:rPr>
            </w:pPr>
            <w:r>
              <w:rPr>
                <w:rtl/>
              </w:rPr>
              <w:t>ביצוע ותקנות</w:t>
            </w:r>
          </w:p>
        </w:tc>
        <w:tc>
          <w:tcPr>
            <w:tcW w:w="1247" w:type="dxa"/>
          </w:tcPr>
          <w:p w14:paraId="22EB0556" w14:textId="77777777" w:rsidR="00BB2E6C" w:rsidRDefault="00BB2E6C">
            <w:r>
              <w:rPr>
                <w:rtl/>
              </w:rPr>
              <w:t xml:space="preserve">סעיף 14 </w:t>
            </w:r>
          </w:p>
        </w:tc>
      </w:tr>
      <w:tr w:rsidR="00BB2E6C" w14:paraId="06FF3746" w14:textId="77777777">
        <w:tblPrEx>
          <w:tblCellMar>
            <w:top w:w="0" w:type="dxa"/>
            <w:bottom w:w="0" w:type="dxa"/>
          </w:tblCellMar>
        </w:tblPrEx>
        <w:trPr>
          <w:jc w:val="right"/>
        </w:trPr>
        <w:tc>
          <w:tcPr>
            <w:tcW w:w="850" w:type="dxa"/>
          </w:tcPr>
          <w:p w14:paraId="686B69F4" w14:textId="77777777" w:rsidR="00BB2E6C" w:rsidRDefault="00BB2E6C">
            <w:r>
              <w:rPr>
                <w:rtl/>
              </w:rPr>
              <w:fldChar w:fldCharType="begin"/>
            </w:r>
            <w:r>
              <w:rPr>
                <w:rtl/>
              </w:rPr>
              <w:instrText xml:space="preserve"> </w:instrText>
            </w:r>
            <w:r>
              <w:instrText>PAGEREF Seif14</w:instrText>
            </w:r>
            <w:r>
              <w:rPr>
                <w:rtl/>
              </w:rPr>
              <w:instrText xml:space="preserve"> </w:instrText>
            </w:r>
            <w:r>
              <w:rPr>
                <w:rtl/>
              </w:rPr>
              <w:fldChar w:fldCharType="separate"/>
            </w:r>
            <w:r>
              <w:rPr>
                <w:rtl/>
              </w:rPr>
              <w:t>5</w:t>
            </w:r>
            <w:r>
              <w:rPr>
                <w:rtl/>
              </w:rPr>
              <w:fldChar w:fldCharType="end"/>
            </w:r>
          </w:p>
        </w:tc>
        <w:tc>
          <w:tcPr>
            <w:tcW w:w="567" w:type="dxa"/>
          </w:tcPr>
          <w:p w14:paraId="7BCC9DA3" w14:textId="77777777" w:rsidR="00BB2E6C" w:rsidRDefault="00BB2E6C">
            <w:hyperlink w:anchor="Seif14" w:tooltip="שמירת דינים" w:history="1">
              <w:r>
                <w:rPr>
                  <w:rStyle w:val="Hyperlink"/>
                </w:rPr>
                <w:t>Go</w:t>
              </w:r>
            </w:hyperlink>
          </w:p>
        </w:tc>
        <w:tc>
          <w:tcPr>
            <w:tcW w:w="5669" w:type="dxa"/>
          </w:tcPr>
          <w:p w14:paraId="73C87AE9" w14:textId="77777777" w:rsidR="00BB2E6C" w:rsidRDefault="00BB2E6C">
            <w:pPr>
              <w:rPr>
                <w:rtl/>
              </w:rPr>
            </w:pPr>
            <w:r>
              <w:rPr>
                <w:rtl/>
              </w:rPr>
              <w:t>שמירת דינים</w:t>
            </w:r>
          </w:p>
        </w:tc>
        <w:tc>
          <w:tcPr>
            <w:tcW w:w="1247" w:type="dxa"/>
          </w:tcPr>
          <w:p w14:paraId="6D2030DB" w14:textId="77777777" w:rsidR="00BB2E6C" w:rsidRDefault="00BB2E6C">
            <w:r>
              <w:rPr>
                <w:rtl/>
              </w:rPr>
              <w:t xml:space="preserve">סעיף 15 </w:t>
            </w:r>
          </w:p>
        </w:tc>
      </w:tr>
      <w:tr w:rsidR="00BB2E6C" w14:paraId="70354AFF" w14:textId="77777777">
        <w:tblPrEx>
          <w:tblCellMar>
            <w:top w:w="0" w:type="dxa"/>
            <w:bottom w:w="0" w:type="dxa"/>
          </w:tblCellMar>
        </w:tblPrEx>
        <w:trPr>
          <w:jc w:val="right"/>
        </w:trPr>
        <w:tc>
          <w:tcPr>
            <w:tcW w:w="850" w:type="dxa"/>
          </w:tcPr>
          <w:p w14:paraId="07F839B2" w14:textId="77777777" w:rsidR="00BB2E6C" w:rsidRDefault="00BB2E6C">
            <w:r>
              <w:rPr>
                <w:rtl/>
              </w:rPr>
              <w:fldChar w:fldCharType="begin"/>
            </w:r>
            <w:r>
              <w:rPr>
                <w:rtl/>
              </w:rPr>
              <w:instrText xml:space="preserve"> </w:instrText>
            </w:r>
            <w:r>
              <w:instrText>PAGEREF Seif15</w:instrText>
            </w:r>
            <w:r>
              <w:rPr>
                <w:rtl/>
              </w:rPr>
              <w:instrText xml:space="preserve"> </w:instrText>
            </w:r>
            <w:r>
              <w:rPr>
                <w:rtl/>
              </w:rPr>
              <w:fldChar w:fldCharType="separate"/>
            </w:r>
            <w:r>
              <w:rPr>
                <w:rtl/>
              </w:rPr>
              <w:t>5</w:t>
            </w:r>
            <w:r>
              <w:rPr>
                <w:rtl/>
              </w:rPr>
              <w:fldChar w:fldCharType="end"/>
            </w:r>
          </w:p>
        </w:tc>
        <w:tc>
          <w:tcPr>
            <w:tcW w:w="567" w:type="dxa"/>
          </w:tcPr>
          <w:p w14:paraId="58CA1D28" w14:textId="77777777" w:rsidR="00BB2E6C" w:rsidRDefault="00BB2E6C">
            <w:hyperlink w:anchor="Seif15" w:tooltip="תיקון חוק בתי משפט לענינים מינהליים   מס 20" w:history="1">
              <w:r>
                <w:rPr>
                  <w:rStyle w:val="Hyperlink"/>
                </w:rPr>
                <w:t>Go</w:t>
              </w:r>
            </w:hyperlink>
          </w:p>
        </w:tc>
        <w:tc>
          <w:tcPr>
            <w:tcW w:w="5669" w:type="dxa"/>
          </w:tcPr>
          <w:p w14:paraId="5CCD69E9" w14:textId="77777777" w:rsidR="00BB2E6C" w:rsidRDefault="00BB2E6C">
            <w:pPr>
              <w:rPr>
                <w:rtl/>
              </w:rPr>
            </w:pPr>
            <w:r>
              <w:rPr>
                <w:rtl/>
              </w:rPr>
              <w:t>תיקון חוק בתי משפט לענינים מינהליים   מס 20</w:t>
            </w:r>
          </w:p>
        </w:tc>
        <w:tc>
          <w:tcPr>
            <w:tcW w:w="1247" w:type="dxa"/>
          </w:tcPr>
          <w:p w14:paraId="4F64FC71" w14:textId="77777777" w:rsidR="00BB2E6C" w:rsidRDefault="00BB2E6C">
            <w:r>
              <w:rPr>
                <w:rtl/>
              </w:rPr>
              <w:t xml:space="preserve">סעיף 16 </w:t>
            </w:r>
          </w:p>
        </w:tc>
      </w:tr>
      <w:tr w:rsidR="00BB2E6C" w14:paraId="31E91CD7" w14:textId="77777777">
        <w:tblPrEx>
          <w:tblCellMar>
            <w:top w:w="0" w:type="dxa"/>
            <w:bottom w:w="0" w:type="dxa"/>
          </w:tblCellMar>
        </w:tblPrEx>
        <w:trPr>
          <w:jc w:val="right"/>
        </w:trPr>
        <w:tc>
          <w:tcPr>
            <w:tcW w:w="850" w:type="dxa"/>
          </w:tcPr>
          <w:p w14:paraId="478B1192" w14:textId="77777777" w:rsidR="00BB2E6C" w:rsidRDefault="00BB2E6C">
            <w:r>
              <w:rPr>
                <w:rtl/>
              </w:rPr>
              <w:fldChar w:fldCharType="begin"/>
            </w:r>
            <w:r>
              <w:rPr>
                <w:rtl/>
              </w:rPr>
              <w:instrText xml:space="preserve"> </w:instrText>
            </w:r>
            <w:r>
              <w:instrText>PAGEREF Seif16</w:instrText>
            </w:r>
            <w:r>
              <w:rPr>
                <w:rtl/>
              </w:rPr>
              <w:instrText xml:space="preserve"> </w:instrText>
            </w:r>
            <w:r>
              <w:rPr>
                <w:rtl/>
              </w:rPr>
              <w:fldChar w:fldCharType="separate"/>
            </w:r>
            <w:r>
              <w:rPr>
                <w:rtl/>
              </w:rPr>
              <w:t>5</w:t>
            </w:r>
            <w:r>
              <w:rPr>
                <w:rtl/>
              </w:rPr>
              <w:fldChar w:fldCharType="end"/>
            </w:r>
          </w:p>
        </w:tc>
        <w:tc>
          <w:tcPr>
            <w:tcW w:w="567" w:type="dxa"/>
          </w:tcPr>
          <w:p w14:paraId="3D2DEE79" w14:textId="77777777" w:rsidR="00BB2E6C" w:rsidRDefault="00BB2E6C">
            <w:hyperlink w:anchor="Seif16" w:tooltip="הוראת מעבר" w:history="1">
              <w:r>
                <w:rPr>
                  <w:rStyle w:val="Hyperlink"/>
                </w:rPr>
                <w:t>Go</w:t>
              </w:r>
            </w:hyperlink>
          </w:p>
        </w:tc>
        <w:tc>
          <w:tcPr>
            <w:tcW w:w="5669" w:type="dxa"/>
          </w:tcPr>
          <w:p w14:paraId="26226908" w14:textId="77777777" w:rsidR="00BB2E6C" w:rsidRDefault="00BB2E6C">
            <w:pPr>
              <w:rPr>
                <w:rtl/>
              </w:rPr>
            </w:pPr>
            <w:r>
              <w:rPr>
                <w:rtl/>
              </w:rPr>
              <w:t>הוראת מעבר</w:t>
            </w:r>
          </w:p>
        </w:tc>
        <w:tc>
          <w:tcPr>
            <w:tcW w:w="1247" w:type="dxa"/>
          </w:tcPr>
          <w:p w14:paraId="11241FEA" w14:textId="77777777" w:rsidR="00BB2E6C" w:rsidRDefault="00BB2E6C">
            <w:r>
              <w:rPr>
                <w:rtl/>
              </w:rPr>
              <w:t xml:space="preserve">סעיף 17 </w:t>
            </w:r>
          </w:p>
        </w:tc>
      </w:tr>
    </w:tbl>
    <w:p w14:paraId="57042CDC" w14:textId="77777777" w:rsidR="00BB2E6C" w:rsidRDefault="00BB2E6C" w:rsidP="007A3ADB">
      <w:pPr>
        <w:pStyle w:val="big-header"/>
        <w:ind w:left="0" w:right="1134"/>
        <w:rPr>
          <w:rFonts w:cs="FrankRuehl" w:hint="cs"/>
          <w:sz w:val="32"/>
          <w:rtl/>
        </w:rPr>
      </w:pPr>
      <w:r>
        <w:rPr>
          <w:rFonts w:cs="FrankRuehl"/>
          <w:sz w:val="32"/>
          <w:rtl/>
        </w:rPr>
        <w:br w:type="page"/>
      </w:r>
      <w:r>
        <w:rPr>
          <w:rFonts w:cs="FrankRuehl" w:hint="cs"/>
          <w:sz w:val="32"/>
          <w:rtl/>
        </w:rPr>
        <w:lastRenderedPageBreak/>
        <w:t>חוק ספנות חופית (היתר לכלי שיט זר), תשס"ו-2005</w:t>
      </w:r>
      <w:r>
        <w:rPr>
          <w:rStyle w:val="default"/>
          <w:sz w:val="22"/>
          <w:szCs w:val="22"/>
          <w:rtl/>
        </w:rPr>
        <w:footnoteReference w:customMarkFollows="1" w:id="1"/>
        <w:t>*</w:t>
      </w:r>
    </w:p>
    <w:p w14:paraId="5639DC12" w14:textId="77777777" w:rsidR="00BB2E6C" w:rsidRDefault="00BB2E6C">
      <w:pPr>
        <w:pStyle w:val="P00"/>
        <w:spacing w:before="72"/>
        <w:ind w:left="0" w:right="1134"/>
        <w:rPr>
          <w:rStyle w:val="big-number"/>
          <w:rFonts w:cs="FrankRuehl" w:hint="cs"/>
          <w:sz w:val="26"/>
          <w:szCs w:val="26"/>
          <w:rtl/>
        </w:rPr>
      </w:pPr>
      <w:bookmarkStart w:id="0" w:name="Seif0"/>
      <w:bookmarkEnd w:id="0"/>
      <w:r>
        <w:rPr>
          <w:rFonts w:cs="Miriam"/>
          <w:lang w:val="he-IL"/>
        </w:rPr>
        <w:pict w14:anchorId="40EF0122">
          <v:rect id="_x0000_s1026" style="position:absolute;left:0;text-align:left;margin-left:464.5pt;margin-top:8.05pt;width:75.05pt;height:8.95pt;z-index:251649536" o:allowincell="f" filled="f" stroked="f" strokecolor="lime" strokeweight=".25pt">
            <v:textbox inset="0,0,0,0">
              <w:txbxContent>
                <w:p w14:paraId="41D7D382" w14:textId="77777777" w:rsidR="00BB2E6C" w:rsidRDefault="00BB2E6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בחוק זה </w:t>
      </w:r>
      <w:r>
        <w:rPr>
          <w:rStyle w:val="big-number"/>
          <w:rFonts w:cs="FrankRuehl"/>
          <w:sz w:val="26"/>
          <w:szCs w:val="26"/>
          <w:rtl/>
        </w:rPr>
        <w:t>–</w:t>
      </w:r>
    </w:p>
    <w:p w14:paraId="04BC8AD0" w14:textId="77777777" w:rsidR="00BB2E6C" w:rsidRDefault="00BB2E6C">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"איש צוות" – אדם הממלא תפקיד בכלי שיט, הדרוש לתפעולו של כלי השיט בזמן הפלגה, למעט נתב;</w:t>
      </w:r>
    </w:p>
    <w:p w14:paraId="50261318" w14:textId="77777777" w:rsidR="00BB2E6C" w:rsidRDefault="00BB2E6C">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"בעל היתר" – מי שקיבל היתר לספנות חופית לפי חוק זה;</w:t>
      </w:r>
    </w:p>
    <w:p w14:paraId="5FB76F23" w14:textId="77777777" w:rsidR="00BB2E6C" w:rsidRDefault="00BB2E6C">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"בעל כלי שיט זר" – הבעל הרשום של כלי שיט זר לפי דין המדינה שבה נרשם, וכן מי שבידו השליטה על כלי השיט הזר ועל אנשי הצוות שלו;</w:t>
      </w:r>
    </w:p>
    <w:p w14:paraId="1B2F6F61" w14:textId="77777777" w:rsidR="00BB2E6C" w:rsidRDefault="00BB2E6C">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"גרור" – רכב שאינו רכב מנועי, המיועד לפי מבנהו להיגרר על ידי רכב מנועי מאחוריו, והמשמש או המיועד לשמש להובלת מכולות או טובין;</w:t>
      </w:r>
    </w:p>
    <w:p w14:paraId="05D091AB" w14:textId="77777777" w:rsidR="00BB2E6C" w:rsidRDefault="00BB2E6C">
      <w:pPr>
        <w:pStyle w:val="P00"/>
        <w:spacing w:before="72"/>
        <w:ind w:left="0" w:right="1134"/>
        <w:rPr>
          <w:rStyle w:val="big-number"/>
          <w:rFonts w:cs="FrankRuehl"/>
          <w:sz w:val="26"/>
          <w:szCs w:val="26"/>
          <w:rtl/>
        </w:rPr>
      </w:pPr>
      <w:r>
        <w:rPr>
          <w:rStyle w:val="big-number"/>
          <w:rFonts w:cs="FrankRuehl" w:hint="cs"/>
          <w:sz w:val="26"/>
          <w:szCs w:val="26"/>
          <w:rtl/>
        </w:rPr>
        <w:tab/>
      </w:r>
      <w:r>
        <w:rPr>
          <w:rStyle w:val="big-number"/>
          <w:rFonts w:cs="FrankRuehl"/>
          <w:sz w:val="26"/>
          <w:szCs w:val="26"/>
          <w:rtl/>
        </w:rPr>
        <w:t>"האזור הימי" – המים שמעל לשטחים התת</w:t>
      </w:r>
      <w:r>
        <w:rPr>
          <w:rStyle w:val="big-number"/>
          <w:rFonts w:cs="FrankRuehl" w:hint="cs"/>
          <w:sz w:val="26"/>
          <w:szCs w:val="26"/>
          <w:rtl/>
        </w:rPr>
        <w:t>-</w:t>
      </w:r>
      <w:r>
        <w:rPr>
          <w:rStyle w:val="big-number"/>
          <w:rFonts w:cs="FrankRuehl"/>
          <w:sz w:val="26"/>
          <w:szCs w:val="26"/>
          <w:rtl/>
        </w:rPr>
        <w:t xml:space="preserve">ימיים הנכללים בשטח מדינת ישראל לפי חוק </w:t>
      </w:r>
    </w:p>
    <w:p w14:paraId="2D70EDCB" w14:textId="77777777" w:rsidR="00BB2E6C" w:rsidRDefault="00BB2E6C">
      <w:pPr>
        <w:pStyle w:val="P00"/>
        <w:spacing w:before="72"/>
        <w:ind w:left="0" w:right="1134"/>
        <w:rPr>
          <w:rStyle w:val="big-number"/>
          <w:rFonts w:cs="FrankRuehl" w:hint="cs"/>
          <w:sz w:val="26"/>
          <w:szCs w:val="26"/>
          <w:rtl/>
        </w:rPr>
      </w:pPr>
      <w:r>
        <w:rPr>
          <w:rStyle w:val="big-number"/>
          <w:rFonts w:cs="FrankRuehl"/>
          <w:sz w:val="26"/>
          <w:szCs w:val="26"/>
          <w:rtl/>
        </w:rPr>
        <w:t>השטחים התת</w:t>
      </w:r>
      <w:r>
        <w:rPr>
          <w:rStyle w:val="big-number"/>
          <w:rFonts w:cs="FrankRuehl" w:hint="cs"/>
          <w:sz w:val="26"/>
          <w:szCs w:val="26"/>
          <w:rtl/>
        </w:rPr>
        <w:t>-</w:t>
      </w:r>
      <w:r>
        <w:rPr>
          <w:rStyle w:val="big-number"/>
          <w:rFonts w:cs="FrankRuehl"/>
          <w:sz w:val="26"/>
          <w:szCs w:val="26"/>
          <w:rtl/>
        </w:rPr>
        <w:t>ימיים, התשי"ג</w:t>
      </w:r>
      <w:r>
        <w:rPr>
          <w:rStyle w:val="big-number"/>
          <w:rFonts w:cs="FrankRuehl" w:hint="cs"/>
          <w:sz w:val="26"/>
          <w:szCs w:val="26"/>
          <w:rtl/>
        </w:rPr>
        <w:t>-1953</w:t>
      </w:r>
      <w:r>
        <w:rPr>
          <w:rStyle w:val="big-number"/>
          <w:rFonts w:cs="FrankRuehl"/>
          <w:sz w:val="26"/>
          <w:szCs w:val="26"/>
          <w:rtl/>
        </w:rPr>
        <w:t>;</w:t>
      </w:r>
    </w:p>
    <w:p w14:paraId="605F3FB7" w14:textId="77777777" w:rsidR="00BB2E6C" w:rsidRDefault="00BB2E6C">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"היתר לספנות חופית" – היתר שניתן בהתאם להוראות חוק זה;</w:t>
      </w:r>
    </w:p>
    <w:p w14:paraId="411C2772" w14:textId="77777777" w:rsidR="00BB2E6C" w:rsidRDefault="00BB2E6C">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"המנהל" – כהגדרתו בחוק רשות הספנות והנמלים, התשס"ד</w:t>
      </w:r>
      <w:r>
        <w:rPr>
          <w:rStyle w:val="big-number"/>
          <w:rFonts w:cs="FrankRuehl" w:hint="cs"/>
          <w:sz w:val="26"/>
          <w:szCs w:val="26"/>
          <w:rtl/>
        </w:rPr>
        <w:t>-2004</w:t>
      </w:r>
      <w:r>
        <w:rPr>
          <w:rStyle w:val="big-number"/>
          <w:rFonts w:cs="FrankRuehl"/>
          <w:sz w:val="26"/>
          <w:szCs w:val="26"/>
          <w:rtl/>
        </w:rPr>
        <w:t>, או מי שהוא הסמיך לענין חוק זה, כולו או מקצתו;</w:t>
      </w:r>
    </w:p>
    <w:p w14:paraId="702223B1" w14:textId="77777777" w:rsidR="00BB2E6C" w:rsidRDefault="00BB2E6C">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 הספנות (כלי שיט)" – חוק הספנות (כלי שיט), התש"ך</w:t>
      </w:r>
      <w:r>
        <w:rPr>
          <w:rStyle w:val="big-number"/>
          <w:rFonts w:cs="FrankRuehl" w:hint="cs"/>
          <w:sz w:val="26"/>
          <w:szCs w:val="26"/>
          <w:rtl/>
        </w:rPr>
        <w:t>-1960</w:t>
      </w:r>
      <w:r>
        <w:rPr>
          <w:rStyle w:val="big-number"/>
          <w:rFonts w:cs="FrankRuehl"/>
          <w:sz w:val="26"/>
          <w:szCs w:val="26"/>
          <w:rtl/>
        </w:rPr>
        <w:t>;</w:t>
      </w:r>
    </w:p>
    <w:p w14:paraId="68C030FD" w14:textId="77777777" w:rsidR="00BB2E6C" w:rsidRDefault="00BB2E6C">
      <w:pPr>
        <w:pStyle w:val="P00"/>
        <w:spacing w:before="72"/>
        <w:ind w:left="0" w:right="1134"/>
        <w:rPr>
          <w:rStyle w:val="big-number"/>
          <w:rFonts w:cs="FrankRuehl" w:hint="cs"/>
          <w:sz w:val="26"/>
          <w:szCs w:val="26"/>
          <w:rtl/>
        </w:rPr>
      </w:pPr>
      <w:r>
        <w:rPr>
          <w:rStyle w:val="big-number"/>
          <w:rFonts w:cs="FrankRuehl" w:hint="cs"/>
          <w:sz w:val="26"/>
          <w:szCs w:val="26"/>
          <w:rtl/>
        </w:rPr>
        <w:tab/>
        <w:t>"</w:t>
      </w:r>
      <w:r>
        <w:rPr>
          <w:rStyle w:val="big-number"/>
          <w:rFonts w:cs="FrankRuehl"/>
          <w:sz w:val="26"/>
          <w:szCs w:val="26"/>
          <w:rtl/>
        </w:rPr>
        <w:t>חוק החברות" – חוק החברות, התשנ"ט</w:t>
      </w:r>
      <w:r>
        <w:rPr>
          <w:rStyle w:val="big-number"/>
          <w:rFonts w:cs="FrankRuehl" w:hint="cs"/>
          <w:sz w:val="26"/>
          <w:szCs w:val="26"/>
          <w:rtl/>
        </w:rPr>
        <w:t>-1999</w:t>
      </w:r>
      <w:r>
        <w:rPr>
          <w:rStyle w:val="big-number"/>
          <w:rFonts w:cs="FrankRuehl"/>
          <w:sz w:val="26"/>
          <w:szCs w:val="26"/>
          <w:rtl/>
        </w:rPr>
        <w:t>;</w:t>
      </w:r>
    </w:p>
    <w:p w14:paraId="30244522" w14:textId="77777777" w:rsidR="00BB2E6C" w:rsidRDefault="00BB2E6C">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 העונשין" – חוק העונשין, התשל"ז</w:t>
      </w:r>
      <w:r>
        <w:rPr>
          <w:rStyle w:val="big-number"/>
          <w:rFonts w:cs="FrankRuehl" w:hint="cs"/>
          <w:sz w:val="26"/>
          <w:szCs w:val="26"/>
          <w:rtl/>
        </w:rPr>
        <w:t>-1977</w:t>
      </w:r>
      <w:r>
        <w:rPr>
          <w:rStyle w:val="big-number"/>
          <w:rFonts w:cs="FrankRuehl"/>
          <w:sz w:val="26"/>
          <w:szCs w:val="26"/>
          <w:rtl/>
        </w:rPr>
        <w:t>;</w:t>
      </w:r>
    </w:p>
    <w:p w14:paraId="7A7D006A" w14:textId="77777777" w:rsidR="00BB2E6C" w:rsidRDefault="00BB2E6C">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"כלי שיט" – כהגדרתו בחוק הספנות (כלי שיט), למעט כלי שיט צבאי וכלי שיט המשמש בתפקידי עזר לכלי שיט צבאי;</w:t>
      </w:r>
    </w:p>
    <w:p w14:paraId="2885E542" w14:textId="77777777" w:rsidR="00BB2E6C" w:rsidRDefault="00BB2E6C">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"כלי שיט ישראלי" – כהגדרתו בחוק הספנות (כלי שיט);</w:t>
      </w:r>
    </w:p>
    <w:p w14:paraId="33B8ED78" w14:textId="77777777" w:rsidR="00BB2E6C" w:rsidRDefault="00BB2E6C">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"כלי שיט זר" – כלי שיט שאינו כלי שיט ישראלי</w:t>
      </w:r>
      <w:r>
        <w:rPr>
          <w:rStyle w:val="big-number"/>
          <w:rFonts w:cs="FrankRuehl" w:hint="cs"/>
          <w:sz w:val="26"/>
          <w:szCs w:val="26"/>
          <w:rtl/>
        </w:rPr>
        <w:t>;</w:t>
      </w:r>
    </w:p>
    <w:p w14:paraId="587ADBED" w14:textId="77777777" w:rsidR="00BB2E6C" w:rsidRDefault="00BB2E6C">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"מנהל נמל", "נמל" – כהגדרתם בפקודת הנמלים;</w:t>
      </w:r>
    </w:p>
    <w:p w14:paraId="7C53E9F0" w14:textId="77777777" w:rsidR="00BB2E6C" w:rsidRDefault="00BB2E6C">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"מפקח" – מי שהשר מינהו למפקח לפי הוראות סעיף 10;</w:t>
      </w:r>
    </w:p>
    <w:p w14:paraId="3A428A08" w14:textId="77777777" w:rsidR="00BB2E6C" w:rsidRDefault="00BB2E6C">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"מקום מוצא", לענין הובלת טובין או נוסעים – המקום שבו הוטענו הטובין או הועלו הנוסעים על כלי שיט;</w:t>
      </w:r>
    </w:p>
    <w:p w14:paraId="25B639D6" w14:textId="77777777" w:rsidR="00BB2E6C" w:rsidRDefault="00BB2E6C">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"מקום סיום", לענין הובלת טובין או נוסעים – המקום שבו נפרקו הטובין או הורדו הנוסעים מכלי שיט;</w:t>
      </w:r>
    </w:p>
    <w:p w14:paraId="5AD593EB" w14:textId="77777777" w:rsidR="00BB2E6C" w:rsidRDefault="00BB2E6C">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"ספנות חופית" – פעילות מסחרית כמפורט להלן, המתבצעת באמצעות כלי שיט:</w:t>
      </w:r>
    </w:p>
    <w:p w14:paraId="4E987BA8" w14:textId="77777777" w:rsidR="00BB2E6C" w:rsidRDefault="00BB2E6C">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הובלה של טובין או של נוסעים, שמקום המוצא שלה ומקום הסיום שלה הם נמל,</w:t>
      </w:r>
      <w:r>
        <w:rPr>
          <w:rStyle w:val="big-number"/>
          <w:rFonts w:cs="FrankRuehl" w:hint="cs"/>
          <w:sz w:val="26"/>
          <w:szCs w:val="26"/>
          <w:rtl/>
        </w:rPr>
        <w:t xml:space="preserve"> </w:t>
      </w:r>
      <w:r>
        <w:rPr>
          <w:rStyle w:val="big-number"/>
          <w:rFonts w:cs="FrankRuehl"/>
          <w:sz w:val="26"/>
          <w:szCs w:val="26"/>
          <w:rtl/>
        </w:rPr>
        <w:t>כלי שיט, מיתקן או מבנה אחר המצוי במימי החופין או במים הפנימיים של ישראל,</w:t>
      </w:r>
      <w:r>
        <w:rPr>
          <w:rStyle w:val="big-number"/>
          <w:rFonts w:cs="FrankRuehl" w:hint="cs"/>
          <w:sz w:val="26"/>
          <w:szCs w:val="26"/>
          <w:rtl/>
        </w:rPr>
        <w:t xml:space="preserve"> </w:t>
      </w:r>
      <w:r>
        <w:rPr>
          <w:rStyle w:val="big-number"/>
          <w:rFonts w:cs="FrankRuehl"/>
          <w:sz w:val="26"/>
          <w:szCs w:val="26"/>
          <w:rtl/>
        </w:rPr>
        <w:t>או באזור הימי, והכל בלי לפקוד נמל מחוץ לישראל, ולמעט הובלת מכולות ריקות או גרורים ריקים המשמשים את בעל כלי השיט להובלת טובין;</w:t>
      </w:r>
    </w:p>
    <w:p w14:paraId="4ACCBB57" w14:textId="77777777" w:rsidR="00BB2E6C" w:rsidRDefault="00BB2E6C">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פעילות אחרת המתבצעת במימי החופין או במים הפנימיים של ישראל, או באזור</w:t>
      </w:r>
      <w:r>
        <w:rPr>
          <w:rStyle w:val="big-number"/>
          <w:rFonts w:cs="FrankRuehl" w:hint="cs"/>
          <w:sz w:val="26"/>
          <w:szCs w:val="26"/>
          <w:rtl/>
        </w:rPr>
        <w:t xml:space="preserve"> </w:t>
      </w:r>
      <w:r>
        <w:rPr>
          <w:rStyle w:val="big-number"/>
          <w:rFonts w:cs="FrankRuehl"/>
          <w:sz w:val="26"/>
          <w:szCs w:val="26"/>
          <w:rtl/>
        </w:rPr>
        <w:t>הימי, למעט דיג, הפקה וקידוח של נפט או גז טבעי והנחת צינורות להולכת נפט או גז</w:t>
      </w:r>
      <w:r>
        <w:rPr>
          <w:rStyle w:val="big-number"/>
          <w:rFonts w:cs="FrankRuehl" w:hint="cs"/>
          <w:sz w:val="26"/>
          <w:szCs w:val="26"/>
          <w:rtl/>
        </w:rPr>
        <w:t xml:space="preserve"> </w:t>
      </w:r>
      <w:r>
        <w:rPr>
          <w:rStyle w:val="big-number"/>
          <w:rFonts w:cs="FrankRuehl"/>
          <w:sz w:val="26"/>
          <w:szCs w:val="26"/>
          <w:rtl/>
        </w:rPr>
        <w:t>טבעי על קרקע הים או בתת קרקע הים, ולגבי פעילות המתבצעת באזור הימי – גם למעט הנחת כבלים או צינורות על קרקע הים או בתת קרקע הים;</w:t>
      </w:r>
    </w:p>
    <w:p w14:paraId="2B3BD43F" w14:textId="77777777" w:rsidR="00BB2E6C" w:rsidRDefault="00BB2E6C">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"פקודת הנמלים" – פקודת הנמלים [נוסח חדש], התשל"א</w:t>
      </w:r>
      <w:r>
        <w:rPr>
          <w:rStyle w:val="big-number"/>
          <w:rFonts w:cs="FrankRuehl" w:hint="cs"/>
          <w:sz w:val="26"/>
          <w:szCs w:val="26"/>
          <w:rtl/>
        </w:rPr>
        <w:t>-1971</w:t>
      </w:r>
      <w:r>
        <w:rPr>
          <w:rStyle w:val="big-number"/>
          <w:rFonts w:cs="FrankRuehl"/>
          <w:sz w:val="26"/>
          <w:szCs w:val="26"/>
          <w:rtl/>
        </w:rPr>
        <w:t>;</w:t>
      </w:r>
    </w:p>
    <w:p w14:paraId="314A2DFC" w14:textId="77777777" w:rsidR="00BB2E6C" w:rsidRDefault="00BB2E6C">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"קברניט" – איש צוות שבידו הפיקוד על כלי שיט;</w:t>
      </w:r>
    </w:p>
    <w:p w14:paraId="05D2DFC3" w14:textId="77777777" w:rsidR="00BB2E6C" w:rsidRDefault="00BB2E6C">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"השר" – שר התחבורה.</w:t>
      </w:r>
    </w:p>
    <w:p w14:paraId="05DEECB2" w14:textId="77777777" w:rsidR="00BB2E6C" w:rsidRDefault="00BB2E6C">
      <w:pPr>
        <w:pStyle w:val="P00"/>
        <w:spacing w:before="72"/>
        <w:ind w:left="0" w:right="1134"/>
        <w:rPr>
          <w:rStyle w:val="default"/>
          <w:rFonts w:cs="FrankRuehl" w:hint="cs"/>
          <w:rtl/>
        </w:rPr>
      </w:pPr>
      <w:bookmarkStart w:id="1" w:name="Seif1"/>
      <w:bookmarkEnd w:id="1"/>
      <w:r>
        <w:rPr>
          <w:rFonts w:cs="Miriam"/>
          <w:lang w:val="he-IL"/>
        </w:rPr>
        <w:pict w14:anchorId="2C0B4F31">
          <v:rect id="_x0000_s1061" style="position:absolute;left:0;text-align:left;margin-left:464.5pt;margin-top:8.05pt;width:75.05pt;height:8.95pt;z-index:251650560" o:allowincell="f" filled="f" stroked="f" strokecolor="lime" strokeweight=".25pt">
            <v:textbox inset="0,0,0,0">
              <w:txbxContent>
                <w:p w14:paraId="2F865071" w14:textId="77777777" w:rsidR="00BB2E6C" w:rsidRDefault="00BB2E6C">
                  <w:pPr>
                    <w:spacing w:line="160" w:lineRule="exact"/>
                    <w:rPr>
                      <w:rFonts w:cs="Miriam" w:hint="cs"/>
                      <w:noProof/>
                      <w:sz w:val="18"/>
                      <w:szCs w:val="18"/>
                      <w:rtl/>
                    </w:rPr>
                  </w:pPr>
                  <w:r>
                    <w:rPr>
                      <w:rFonts w:cs="Miriam" w:hint="cs"/>
                      <w:sz w:val="18"/>
                      <w:szCs w:val="18"/>
                      <w:rtl/>
                    </w:rPr>
                    <w:t>היתר לספנות חופית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לא יבצע אדם, בעצמו או באמצעות אחר, ספנות חופית באמצעות כלי שיט זר,</w:t>
      </w:r>
      <w:r>
        <w:rPr>
          <w:rStyle w:val="default"/>
          <w:rFonts w:cs="FrankRuehl" w:hint="cs"/>
          <w:rtl/>
        </w:rPr>
        <w:t xml:space="preserve"> </w:t>
      </w:r>
      <w:r>
        <w:rPr>
          <w:rStyle w:val="default"/>
          <w:rFonts w:cs="FrankRuehl"/>
          <w:rtl/>
        </w:rPr>
        <w:t xml:space="preserve">אלא </w:t>
      </w:r>
      <w:r>
        <w:rPr>
          <w:rStyle w:val="default"/>
          <w:rFonts w:cs="FrankRuehl"/>
          <w:rtl/>
        </w:rPr>
        <w:lastRenderedPageBreak/>
        <w:t>אם כן ברשותו היתר בכתב מאת המנהל, שניתן לבעל כלי השיט הזר בעבור אותו כלי שיט להפעלתו בספנות חופית ובהתאם לתנאי ההיתר.</w:t>
      </w:r>
    </w:p>
    <w:p w14:paraId="542B2CA0" w14:textId="77777777" w:rsidR="00BB2E6C" w:rsidRDefault="00BB2E6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היתר לספנות חופית יינתן בעבור כלי שיט זר להפעלתו בסוג פעילות של ספנות חופית או במספר סוגי פעילויות כאמור, והכל כפי שיקבע המנהל בהיתר.</w:t>
      </w:r>
    </w:p>
    <w:p w14:paraId="175BC64D" w14:textId="77777777" w:rsidR="00BB2E6C" w:rsidRDefault="00BB2E6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המנהל רשאי לקבוע בהיתר לספנות חופית תנאים שעל בעל ההיתר לקיימם במהלך תקופת תוקפו.</w:t>
      </w:r>
    </w:p>
    <w:p w14:paraId="36D33916" w14:textId="77777777" w:rsidR="00BB2E6C" w:rsidRDefault="00BB2E6C">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המנהל יקבע בהיתר לספנות חופית את תקופת תוקפו, ובלבד שלא יינתן היתר בעבור כלי שיט זר לתקופה העולה על 30 ימים, אלא אם כן התקיים המפורט בפסקאות (1) או (2) שלהלן, לפי הענין:</w:t>
      </w:r>
    </w:p>
    <w:p w14:paraId="6041D4E9" w14:textId="77777777" w:rsidR="00BB2E6C" w:rsidRDefault="00BB2E6C">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לגבי בעל כלי שיט זר שהוא חברת חוץ – הוא מילא אחר הדרישות הקבועות</w:t>
      </w:r>
      <w:r>
        <w:rPr>
          <w:rStyle w:val="default"/>
          <w:rFonts w:cs="FrankRuehl" w:hint="cs"/>
          <w:rtl/>
        </w:rPr>
        <w:t xml:space="preserve"> </w:t>
      </w:r>
      <w:r>
        <w:rPr>
          <w:rStyle w:val="default"/>
          <w:rFonts w:cs="FrankRuehl"/>
          <w:rtl/>
        </w:rPr>
        <w:t>בפרק השני בחלק התשיעי לחוק החברות לענין חברת חוץ המקיימת מקום עסקים בישראל;</w:t>
      </w:r>
    </w:p>
    <w:p w14:paraId="5891D944" w14:textId="77777777" w:rsidR="00BB2E6C" w:rsidRDefault="00BB2E6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לגבי בעל כלי שיט זר שאינו חברת חוץ – הוא מינה נציג, לרבות סוכן אניה,</w:t>
      </w:r>
      <w:r>
        <w:rPr>
          <w:rStyle w:val="default"/>
          <w:rFonts w:cs="FrankRuehl" w:hint="cs"/>
          <w:rtl/>
        </w:rPr>
        <w:t xml:space="preserve"> </w:t>
      </w:r>
      <w:r>
        <w:rPr>
          <w:rStyle w:val="default"/>
          <w:rFonts w:cs="FrankRuehl"/>
          <w:rtl/>
        </w:rPr>
        <w:t>שמקום מגוריו הקבוע הוא בישראל, המורשה לפעול בשם בעל כלי השיט בישראל בענין ההליכים לפי חוק זה, והגיש למנהל את הסכמתו של הנציג בכתב.</w:t>
      </w:r>
    </w:p>
    <w:p w14:paraId="6E48F1BF" w14:textId="77777777" w:rsidR="00BB2E6C" w:rsidRDefault="00BB2E6C">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בסעיף זה, "חברת חוץ" – כהגדרתה בחוק החברות.</w:t>
      </w:r>
    </w:p>
    <w:p w14:paraId="7F6F29BD" w14:textId="77777777" w:rsidR="00BB2E6C" w:rsidRDefault="00BB2E6C">
      <w:pPr>
        <w:pStyle w:val="P00"/>
        <w:spacing w:before="72"/>
        <w:ind w:left="0" w:right="1134"/>
        <w:rPr>
          <w:rStyle w:val="default"/>
          <w:rFonts w:cs="FrankRuehl" w:hint="cs"/>
          <w:rtl/>
        </w:rPr>
      </w:pPr>
      <w:bookmarkStart w:id="2" w:name="Seif9"/>
      <w:bookmarkEnd w:id="2"/>
      <w:r>
        <w:rPr>
          <w:rFonts w:cs="Miriam"/>
          <w:lang w:val="he-IL"/>
        </w:rPr>
        <w:pict w14:anchorId="48E9DC79">
          <v:rect id="_x0000_s1073" style="position:absolute;left:0;text-align:left;margin-left:464.5pt;margin-top:8.05pt;width:75.05pt;height:17.15pt;z-index:251658752" o:allowincell="f" filled="f" stroked="f" strokecolor="lime" strokeweight=".25pt">
            <v:textbox style="mso-next-textbox:#_x0000_s1073" inset="0,0,0,0">
              <w:txbxContent>
                <w:p w14:paraId="0E19AE65" w14:textId="77777777" w:rsidR="00BB2E6C" w:rsidRDefault="00BB2E6C">
                  <w:pPr>
                    <w:pStyle w:val="a7"/>
                    <w:rPr>
                      <w:rFonts w:hint="cs"/>
                      <w:noProof/>
                      <w:rtl/>
                    </w:rPr>
                  </w:pPr>
                  <w:r>
                    <w:rPr>
                      <w:rFonts w:hint="cs"/>
                      <w:rtl/>
                    </w:rPr>
                    <w:t>איסור העברת היתר לספנות חופית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היתר לספנות חופית אינו ניתן להעברה לאדם אחר או לגבי כלי שיט אחר.</w:t>
      </w:r>
    </w:p>
    <w:p w14:paraId="66A13384" w14:textId="77777777" w:rsidR="00BB2E6C" w:rsidRDefault="00BB2E6C">
      <w:pPr>
        <w:pStyle w:val="P00"/>
        <w:spacing w:before="72"/>
        <w:ind w:left="0" w:right="1134"/>
        <w:rPr>
          <w:rStyle w:val="default"/>
          <w:rFonts w:cs="FrankRuehl" w:hint="cs"/>
          <w:rtl/>
        </w:rPr>
      </w:pPr>
      <w:bookmarkStart w:id="3" w:name="Seif2"/>
      <w:bookmarkEnd w:id="3"/>
      <w:r>
        <w:rPr>
          <w:rFonts w:cs="Miriam"/>
          <w:lang w:val="he-IL"/>
        </w:rPr>
        <w:pict w14:anchorId="4EBBE759">
          <v:rect id="_x0000_s1062" style="position:absolute;left:0;text-align:left;margin-left:464.5pt;margin-top:8.05pt;width:75.05pt;height:17.15pt;z-index:251651584" o:allowincell="f" filled="f" stroked="f" strokecolor="lime" strokeweight=".25pt">
            <v:textbox style="mso-next-textbox:#_x0000_s1062" inset="0,0,0,0">
              <w:txbxContent>
                <w:p w14:paraId="02F09697" w14:textId="77777777" w:rsidR="00BB2E6C" w:rsidRDefault="00BB2E6C">
                  <w:pPr>
                    <w:pStyle w:val="a7"/>
                    <w:rPr>
                      <w:rFonts w:hint="cs"/>
                      <w:noProof/>
                      <w:rtl/>
                    </w:rPr>
                  </w:pPr>
                  <w:r>
                    <w:rPr>
                      <w:rFonts w:hint="cs"/>
                      <w:rtl/>
                    </w:rPr>
                    <w:t>תנאים למתן היתר לספנות חופית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השר, באישור ועדת הכלכלה של הכנסת, יקבע תנאים למתן היתר לספנות חופית,</w:t>
      </w:r>
      <w:r>
        <w:rPr>
          <w:rStyle w:val="default"/>
          <w:rFonts w:cs="FrankRuehl" w:hint="cs"/>
          <w:rtl/>
        </w:rPr>
        <w:t xml:space="preserve"> </w:t>
      </w:r>
      <w:r>
        <w:rPr>
          <w:rStyle w:val="default"/>
          <w:rFonts w:cs="FrankRuehl"/>
          <w:rtl/>
        </w:rPr>
        <w:t>שיש לקיימם לפני מתן ההיתר או במהלך תקופת תוקפו, ככל הדרוש לדעתו להבטחת המטרות</w:t>
      </w:r>
      <w:r>
        <w:rPr>
          <w:rStyle w:val="default"/>
          <w:rFonts w:cs="FrankRuehl" w:hint="cs"/>
          <w:rtl/>
        </w:rPr>
        <w:t xml:space="preserve"> </w:t>
      </w:r>
      <w:r>
        <w:rPr>
          <w:rStyle w:val="default"/>
          <w:rFonts w:cs="FrankRuehl"/>
          <w:rtl/>
        </w:rPr>
        <w:t>המפורטות בסעיף קטן (ב), לרבות לענין מבנה כלי השיט ותחזוקתו, המערכות, המיתקנים</w:t>
      </w:r>
      <w:r>
        <w:rPr>
          <w:rStyle w:val="default"/>
          <w:rFonts w:cs="FrankRuehl" w:hint="cs"/>
          <w:rtl/>
        </w:rPr>
        <w:t xml:space="preserve"> </w:t>
      </w:r>
      <w:r>
        <w:rPr>
          <w:rStyle w:val="default"/>
          <w:rFonts w:cs="FrankRuehl"/>
          <w:rtl/>
        </w:rPr>
        <w:t>והציוד הנדרשים לתפעולו התקין של כלי השיט, תעודות, נהלים ומסמכים אחרים שחייבים להימצא בכלי השיט ותקן אנשי הצוות הדרוש לשם הבטחת בטיחות השיט.</w:t>
      </w:r>
    </w:p>
    <w:p w14:paraId="51423288" w14:textId="77777777" w:rsidR="00BB2E6C" w:rsidRDefault="00BB2E6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תנאים לפי סעיף קטן (א) ייקבעו על ידי השר כדי להבטיח את אלה:</w:t>
      </w:r>
    </w:p>
    <w:p w14:paraId="7399749A" w14:textId="77777777" w:rsidR="00BB2E6C" w:rsidRDefault="00BB2E6C">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המשך קיומה של ספנות חופית המתבצעת באמצעות כלי שיט ישראליים, ומניעת פגיעה בה;</w:t>
      </w:r>
    </w:p>
    <w:p w14:paraId="611B390C" w14:textId="77777777" w:rsidR="00BB2E6C" w:rsidRDefault="00BB2E6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שמירה על רמה נאותה של בטיחות השיט ועל שלומם של בני אדם שבכלי השיט או בקרבתו;</w:t>
      </w:r>
    </w:p>
    <w:p w14:paraId="6C6859FF" w14:textId="77777777" w:rsidR="00BB2E6C" w:rsidRDefault="00BB2E6C">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מניעת זיהום הסביבה הימית מכלי שיט;</w:t>
      </w:r>
    </w:p>
    <w:p w14:paraId="7A518744" w14:textId="77777777" w:rsidR="00BB2E6C" w:rsidRDefault="00BB2E6C">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מילוי אחר דרישות כל אמנה בין</w:t>
      </w:r>
      <w:r>
        <w:rPr>
          <w:rStyle w:val="default"/>
          <w:rFonts w:cs="FrankRuehl" w:hint="cs"/>
          <w:rtl/>
        </w:rPr>
        <w:t>-</w:t>
      </w:r>
      <w:r>
        <w:rPr>
          <w:rStyle w:val="default"/>
          <w:rFonts w:cs="FrankRuehl"/>
          <w:rtl/>
        </w:rPr>
        <w:t>לאומית בעניני ספנות שישראל צד לה;</w:t>
      </w:r>
    </w:p>
    <w:p w14:paraId="24BF30D1" w14:textId="77777777" w:rsidR="00BB2E6C" w:rsidRDefault="00BB2E6C">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תשלום פיצויים על ידי בעל כלי שיט זר בעד נזק שייגרם עקב הפעלת כלי</w:t>
      </w:r>
      <w:r>
        <w:rPr>
          <w:rStyle w:val="default"/>
          <w:rFonts w:cs="FrankRuehl" w:hint="cs"/>
          <w:rtl/>
        </w:rPr>
        <w:t xml:space="preserve"> </w:t>
      </w:r>
      <w:r>
        <w:rPr>
          <w:rStyle w:val="default"/>
          <w:rFonts w:cs="FrankRuehl"/>
          <w:rtl/>
        </w:rPr>
        <w:t>השיט הזר בספנות חופית, לרבות נזק לצד שלישי, נזק לסביבה הימית ונזק הנובע מטביעת כלי השיט;</w:t>
      </w:r>
    </w:p>
    <w:p w14:paraId="55C0982B" w14:textId="77777777" w:rsidR="00BB2E6C" w:rsidRDefault="00BB2E6C">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שמירה על ביטחון המדינה ושלום הציבור.</w:t>
      </w:r>
    </w:p>
    <w:p w14:paraId="589A8615" w14:textId="77777777" w:rsidR="00BB2E6C" w:rsidRDefault="00BB2E6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תנאים שמטרתם להבטיח מניעת זיהום הסביבה הימית מכלי שיט, כאמור בסעיף קטן (ב)(3), ייקבעו בהתייעצות עם השר לאיכות הסביבה.</w:t>
      </w:r>
    </w:p>
    <w:p w14:paraId="3B16B303" w14:textId="77777777" w:rsidR="00BB2E6C" w:rsidRDefault="00BB2E6C">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בתקנות לפי סעיף זה, רשאי השר לקבוע תנאים שונים לפי סוגים של כלי שיט, של ספנות חופית או של הפלגות.</w:t>
      </w:r>
    </w:p>
    <w:p w14:paraId="70DE5CB1" w14:textId="77777777" w:rsidR="00BB2E6C" w:rsidRDefault="00BB2E6C">
      <w:pPr>
        <w:pStyle w:val="P00"/>
        <w:spacing w:before="72"/>
        <w:ind w:left="0" w:right="1134"/>
        <w:rPr>
          <w:rStyle w:val="default"/>
          <w:rFonts w:cs="FrankRuehl" w:hint="cs"/>
          <w:rtl/>
        </w:rPr>
      </w:pPr>
      <w:bookmarkStart w:id="4" w:name="Seif3"/>
      <w:bookmarkEnd w:id="4"/>
      <w:r>
        <w:rPr>
          <w:rFonts w:cs="Miriam"/>
          <w:lang w:val="he-IL"/>
        </w:rPr>
        <w:pict w14:anchorId="19A70F8F">
          <v:rect id="_x0000_s1066" style="position:absolute;left:0;text-align:left;margin-left:464.5pt;margin-top:8.05pt;width:75.05pt;height:17.15pt;z-index:251652608" o:allowincell="f" filled="f" stroked="f" strokecolor="lime" strokeweight=".25pt">
            <v:textbox style="mso-next-textbox:#_x0000_s1066" inset="0,0,0,0">
              <w:txbxContent>
                <w:p w14:paraId="7FB1E94C" w14:textId="77777777" w:rsidR="00BB2E6C" w:rsidRDefault="00BB2E6C">
                  <w:pPr>
                    <w:pStyle w:val="a7"/>
                    <w:rPr>
                      <w:rFonts w:hint="cs"/>
                      <w:noProof/>
                      <w:rtl/>
                    </w:rPr>
                  </w:pPr>
                  <w:r>
                    <w:rPr>
                      <w:rFonts w:hint="cs"/>
                      <w:rtl/>
                    </w:rPr>
                    <w:t>קביעת אנשי צוות ישראליים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w:t>
      </w:r>
      <w:r>
        <w:rPr>
          <w:rStyle w:val="default"/>
          <w:rFonts w:cs="FrankRuehl"/>
          <w:rtl/>
        </w:rPr>
        <w:t>א)</w:t>
      </w:r>
      <w:r>
        <w:rPr>
          <w:rStyle w:val="default"/>
          <w:rFonts w:cs="FrankRuehl" w:hint="cs"/>
          <w:rtl/>
        </w:rPr>
        <w:tab/>
      </w:r>
      <w:r>
        <w:rPr>
          <w:rStyle w:val="default"/>
          <w:rFonts w:cs="FrankRuehl"/>
          <w:rtl/>
        </w:rPr>
        <w:t>השר, בהתייעצות עם שר האוצר ובאישור ועדת הכלכלה של הכנסת, רשאי לקבוע</w:t>
      </w:r>
      <w:r>
        <w:rPr>
          <w:rStyle w:val="default"/>
          <w:rFonts w:cs="FrankRuehl" w:hint="cs"/>
          <w:rtl/>
        </w:rPr>
        <w:t xml:space="preserve"> </w:t>
      </w:r>
      <w:r>
        <w:rPr>
          <w:rStyle w:val="default"/>
          <w:rFonts w:cs="FrankRuehl"/>
          <w:rtl/>
        </w:rPr>
        <w:t>כי בכלי שיט זר שניתן לו היתר לספנות חופית ישרתו, בעת הפעלתו בספנות חופית, אנשי</w:t>
      </w:r>
      <w:r>
        <w:rPr>
          <w:rStyle w:val="default"/>
          <w:rFonts w:cs="FrankRuehl" w:hint="cs"/>
          <w:rtl/>
        </w:rPr>
        <w:t xml:space="preserve"> </w:t>
      </w:r>
      <w:r>
        <w:rPr>
          <w:rStyle w:val="default"/>
          <w:rFonts w:cs="FrankRuehl"/>
          <w:rtl/>
        </w:rPr>
        <w:t>צוות ישראליים כפי שיקבע, ורשאי הוא לקבוע תפקידים בכלי שיט שישרתו בהם אנשי צוות ישראליים, ככל הדרוש להבטחת מטרות אלה:</w:t>
      </w:r>
    </w:p>
    <w:p w14:paraId="1D96F401" w14:textId="77777777" w:rsidR="00BB2E6C" w:rsidRDefault="00BB2E6C">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שמירה על רמה נאותה של בטיחות השיט ועל שלומם של בני אדם שבכלי השיט או בקרבתו;</w:t>
      </w:r>
    </w:p>
    <w:p w14:paraId="431B8E06" w14:textId="77777777" w:rsidR="00BB2E6C" w:rsidRDefault="00BB2E6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מניעת זיהום הסביבה הימית מכלי שיט.</w:t>
      </w:r>
    </w:p>
    <w:p w14:paraId="132456D9" w14:textId="77777777" w:rsidR="00BB2E6C" w:rsidRDefault="00BB2E6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היה בקיום הוראות שקבע השר לפי סעיף קטן (א), כדי לסתור הוראה לענין אזרחותם או תושבותם של אנשי הצוות לפי חוק המדינה שבה רשום כלי השיט הזר שניתן לו היתר לספנות חופית, הוראת אותה מדינה עדיפה, והטוען לעדיפות זו – עליו הראיה.</w:t>
      </w:r>
    </w:p>
    <w:p w14:paraId="74246E10" w14:textId="77777777" w:rsidR="00BB2E6C" w:rsidRDefault="00BB2E6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בתקנות לפי סעיף זה, רשאי השר לקבוע תנאים שונים לפי סוגים של כלי שיט, של ספנות חופית או של הפלגות.</w:t>
      </w:r>
    </w:p>
    <w:p w14:paraId="349F5499" w14:textId="77777777" w:rsidR="00BB2E6C" w:rsidRDefault="00BB2E6C">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בסעיף זה, "איש צוות ישראלי" – איש צוות שהוא אזרח ישראלי או תושב קבוע בישראל, שהוסמך למקצוע ימי או לתפקיד בכלי שיט שהם טעוני הסמכה לפי הוראות חוק הספנות (ימאים), התשל"ג</w:t>
      </w:r>
      <w:r>
        <w:rPr>
          <w:rStyle w:val="default"/>
          <w:rFonts w:cs="FrankRuehl" w:hint="cs"/>
          <w:rtl/>
        </w:rPr>
        <w:t>-1973</w:t>
      </w:r>
      <w:r>
        <w:rPr>
          <w:rStyle w:val="default"/>
          <w:rFonts w:cs="FrankRuehl"/>
          <w:rtl/>
        </w:rPr>
        <w:t>.</w:t>
      </w:r>
    </w:p>
    <w:p w14:paraId="5F7D43ED" w14:textId="77777777" w:rsidR="00BB2E6C" w:rsidRDefault="00BB2E6C">
      <w:pPr>
        <w:pStyle w:val="P00"/>
        <w:spacing w:before="72"/>
        <w:ind w:left="0" w:right="1134"/>
        <w:rPr>
          <w:rStyle w:val="default"/>
          <w:rFonts w:cs="FrankRuehl" w:hint="cs"/>
          <w:rtl/>
        </w:rPr>
      </w:pPr>
      <w:bookmarkStart w:id="5" w:name="Seif4"/>
      <w:bookmarkEnd w:id="5"/>
      <w:r>
        <w:rPr>
          <w:rFonts w:cs="Miriam"/>
          <w:lang w:val="he-IL"/>
        </w:rPr>
        <w:pict w14:anchorId="390CACB4">
          <v:rect id="_x0000_s1067" style="position:absolute;left:0;text-align:left;margin-left:464.5pt;margin-top:8.05pt;width:75.05pt;height:33.8pt;z-index:251653632" o:allowincell="f" filled="f" stroked="f" strokecolor="lime" strokeweight=".25pt">
            <v:textbox style="mso-next-textbox:#_x0000_s1067" inset="0,0,0,0">
              <w:txbxContent>
                <w:p w14:paraId="6E4B62BE" w14:textId="77777777" w:rsidR="00BB2E6C" w:rsidRDefault="00BB2E6C">
                  <w:pPr>
                    <w:pStyle w:val="a7"/>
                    <w:rPr>
                      <w:rFonts w:hint="cs"/>
                      <w:noProof/>
                      <w:rtl/>
                    </w:rPr>
                  </w:pPr>
                  <w:r>
                    <w:rPr>
                      <w:rFonts w:hint="cs"/>
                      <w:rtl/>
                    </w:rPr>
                    <w:t>סירוב למתן היתר לספנות חופית מנימוקים הקשורים לבעל כלי השיט הזר</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המנהל רשאי לסרב לתת היתר לספנות חופית לבעל כלי שיט זר בעבור כלי השיט</w:t>
      </w:r>
      <w:r>
        <w:rPr>
          <w:rStyle w:val="default"/>
          <w:rFonts w:cs="FrankRuehl" w:hint="cs"/>
          <w:rtl/>
        </w:rPr>
        <w:t xml:space="preserve"> </w:t>
      </w:r>
      <w:r>
        <w:rPr>
          <w:rStyle w:val="default"/>
          <w:rFonts w:cs="FrankRuehl"/>
          <w:rtl/>
        </w:rPr>
        <w:t>הזר, אף אם מתקיימים התנאים למתן היתר שנקבעו לפי הוראות סעיף 4, אם בעל כלי השיט</w:t>
      </w:r>
      <w:r>
        <w:rPr>
          <w:rStyle w:val="default"/>
          <w:rFonts w:cs="FrankRuehl" w:hint="cs"/>
          <w:rtl/>
        </w:rPr>
        <w:t xml:space="preserve"> </w:t>
      </w:r>
      <w:r>
        <w:rPr>
          <w:rStyle w:val="default"/>
          <w:rFonts w:cs="FrankRuehl"/>
          <w:rtl/>
        </w:rPr>
        <w:t>הזר, ואם הוא תאגיד – הוא או בעל שליטה בו, הורשע, בישראל או מחוץ לישראל, בעבירה</w:t>
      </w:r>
      <w:r>
        <w:rPr>
          <w:rStyle w:val="default"/>
          <w:rFonts w:cs="FrankRuehl" w:hint="cs"/>
          <w:rtl/>
        </w:rPr>
        <w:t xml:space="preserve"> </w:t>
      </w:r>
      <w:r>
        <w:rPr>
          <w:rStyle w:val="default"/>
          <w:rFonts w:cs="FrankRuehl"/>
          <w:rtl/>
        </w:rPr>
        <w:t>מסוג פשע, או בעבירה שאילו נעברה בישראל היתה עבירה מסוג פשע, שמפאת מהותה,</w:t>
      </w:r>
      <w:r>
        <w:rPr>
          <w:rStyle w:val="default"/>
          <w:rFonts w:cs="FrankRuehl" w:hint="cs"/>
          <w:rtl/>
        </w:rPr>
        <w:t xml:space="preserve"> </w:t>
      </w:r>
      <w:r>
        <w:rPr>
          <w:rStyle w:val="default"/>
          <w:rFonts w:cs="FrankRuehl"/>
          <w:rtl/>
        </w:rPr>
        <w:t>חומרתה או נסיבותיה אין בעל כלי השיט הזר ראוי, לדעת המנהל, לקבל היתר לספנות</w:t>
      </w:r>
      <w:r>
        <w:rPr>
          <w:rStyle w:val="default"/>
          <w:rFonts w:cs="FrankRuehl" w:hint="cs"/>
          <w:rtl/>
        </w:rPr>
        <w:t xml:space="preserve"> </w:t>
      </w:r>
      <w:r>
        <w:rPr>
          <w:rStyle w:val="default"/>
          <w:rFonts w:cs="FrankRuehl"/>
          <w:rtl/>
        </w:rPr>
        <w:t>חופית, או אם הוגש נגד בעל כלי השיט הזר או בעל השליטה בו, לפי הענין, כתב אישום, בישראל או מחוץ לישראל, בשל עבירה כאמור וטרם ניתן בו פסק דין סופי.</w:t>
      </w:r>
    </w:p>
    <w:p w14:paraId="63A3CCD6" w14:textId="77777777" w:rsidR="00BB2E6C" w:rsidRDefault="00BB2E6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בסעיף זה, "שליטה" – כהגדרתה בחוק התקשורת (בזק ושידורים), התשמ"ב</w:t>
      </w:r>
      <w:r>
        <w:rPr>
          <w:rStyle w:val="default"/>
          <w:rFonts w:cs="FrankRuehl" w:hint="cs"/>
          <w:rtl/>
        </w:rPr>
        <w:t>-1982.</w:t>
      </w:r>
      <w:r>
        <w:rPr>
          <w:rStyle w:val="default"/>
          <w:rFonts w:cs="FrankRuehl"/>
          <w:rtl/>
        </w:rPr>
        <w:t xml:space="preserve"> </w:t>
      </w:r>
    </w:p>
    <w:p w14:paraId="1DF6239B" w14:textId="77777777" w:rsidR="00BB2E6C" w:rsidRDefault="00BB2E6C">
      <w:pPr>
        <w:pStyle w:val="P00"/>
        <w:spacing w:before="72"/>
        <w:ind w:left="0" w:right="1134"/>
        <w:rPr>
          <w:rStyle w:val="default"/>
          <w:rFonts w:cs="FrankRuehl" w:hint="cs"/>
          <w:rtl/>
        </w:rPr>
      </w:pPr>
      <w:bookmarkStart w:id="6" w:name="Seif5"/>
      <w:bookmarkEnd w:id="6"/>
      <w:r>
        <w:rPr>
          <w:rFonts w:cs="Miriam"/>
          <w:lang w:val="he-IL"/>
        </w:rPr>
        <w:pict w14:anchorId="364A415E">
          <v:rect id="_x0000_s1068" style="position:absolute;left:0;text-align:left;margin-left:464.5pt;margin-top:8.05pt;width:75.05pt;height:27.3pt;z-index:251654656" o:allowincell="f" filled="f" stroked="f" strokecolor="lime" strokeweight=".25pt">
            <v:textbox style="mso-next-textbox:#_x0000_s1068" inset="0,0,0,0">
              <w:txbxContent>
                <w:p w14:paraId="54CF86D6" w14:textId="77777777" w:rsidR="00BB2E6C" w:rsidRDefault="00BB2E6C">
                  <w:pPr>
                    <w:pStyle w:val="a7"/>
                    <w:rPr>
                      <w:rFonts w:hint="cs"/>
                      <w:noProof/>
                      <w:rtl/>
                    </w:rPr>
                  </w:pPr>
                  <w:r>
                    <w:rPr>
                      <w:rFonts w:hint="cs"/>
                      <w:rtl/>
                    </w:rPr>
                    <w:t>סירוב למתן היתר לספנות חופית מנימוקים אחרים</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המנהל רשאי לסרב לתת היתר לספנות חופית, אף אם מתקיימים התנאים למתן ההיתר שנקבעו לפי סעיף 4, בהתקיים אחד מאלה:</w:t>
      </w:r>
    </w:p>
    <w:p w14:paraId="06C0C070" w14:textId="77777777" w:rsidR="00BB2E6C" w:rsidRDefault="00BB2E6C">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קיימת, להנחת דעתו, חלופה סבירה לביצוע הפעילות של ספנות חופית שלגביה מתבקש ההיתר, באמצעות כלי שיט ישראלי;</w:t>
      </w:r>
    </w:p>
    <w:p w14:paraId="2BA334F9" w14:textId="77777777" w:rsidR="00BB2E6C" w:rsidRDefault="00BB2E6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המדינה שבה רשום כלי השיט הזר שלגביו מבוקש ההיתר אינה מאפשרת לכלי שיט ישראליים ביצוע פעילות של ספנות חופית בתחום אותה מדינה.</w:t>
      </w:r>
    </w:p>
    <w:p w14:paraId="2F33F559" w14:textId="77777777" w:rsidR="00BB2E6C" w:rsidRDefault="00BB2E6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החלטת המנהל לסרב לתת היתר לספנות חופית לפי סעיף קטן (א)(1), טעונה את הסכמת הממונה על התקציבים במשרד האוצר.</w:t>
      </w:r>
    </w:p>
    <w:p w14:paraId="77581658" w14:textId="77777777" w:rsidR="00BB2E6C" w:rsidRDefault="00BB2E6C">
      <w:pPr>
        <w:pStyle w:val="P00"/>
        <w:spacing w:before="72"/>
        <w:ind w:left="0" w:right="1134"/>
        <w:rPr>
          <w:rStyle w:val="default"/>
          <w:rFonts w:cs="FrankRuehl" w:hint="cs"/>
          <w:rtl/>
        </w:rPr>
      </w:pPr>
      <w:bookmarkStart w:id="7" w:name="Seif6"/>
      <w:bookmarkEnd w:id="7"/>
      <w:r>
        <w:rPr>
          <w:rFonts w:cs="Miriam"/>
          <w:lang w:val="he-IL"/>
        </w:rPr>
        <w:pict w14:anchorId="59BA9408">
          <v:rect id="_x0000_s1069" style="position:absolute;left:0;text-align:left;margin-left:464.5pt;margin-top:8.05pt;width:75.05pt;height:8.95pt;z-index:251655680" o:allowincell="f" filled="f" stroked="f" strokecolor="lime" strokeweight=".25pt">
            <v:textbox style="mso-next-textbox:#_x0000_s1069" inset="0,0,0,0">
              <w:txbxContent>
                <w:p w14:paraId="6442CE4E" w14:textId="77777777" w:rsidR="00BB2E6C" w:rsidRDefault="00BB2E6C">
                  <w:pPr>
                    <w:pStyle w:val="a7"/>
                    <w:rPr>
                      <w:rFonts w:hint="cs"/>
                      <w:noProof/>
                      <w:rtl/>
                    </w:rPr>
                  </w:pPr>
                  <w:r>
                    <w:rPr>
                      <w:rFonts w:hint="cs"/>
                      <w:rtl/>
                    </w:rPr>
                    <w:t>מסירת פרטים למנהל</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המנהל רשאי לדרוש ממבקש היתר לספנות חופית למסור לו פרטים בדבר כלי השיט או</w:t>
      </w:r>
      <w:r>
        <w:rPr>
          <w:rStyle w:val="default"/>
          <w:rFonts w:cs="FrankRuehl" w:hint="cs"/>
          <w:rtl/>
        </w:rPr>
        <w:t xml:space="preserve"> </w:t>
      </w:r>
      <w:r>
        <w:rPr>
          <w:rStyle w:val="default"/>
          <w:rFonts w:cs="FrankRuehl"/>
          <w:rtl/>
        </w:rPr>
        <w:t>בדבר סוג הפעילות של ספנות חופית שלגביהם מבוקש ההיתר, וכן כל פרט אחר הדרוש לו</w:t>
      </w:r>
      <w:r>
        <w:rPr>
          <w:rStyle w:val="default"/>
          <w:rFonts w:cs="FrankRuehl" w:hint="cs"/>
          <w:rtl/>
        </w:rPr>
        <w:t xml:space="preserve"> </w:t>
      </w:r>
      <w:r>
        <w:rPr>
          <w:rStyle w:val="default"/>
          <w:rFonts w:cs="FrankRuehl"/>
          <w:rtl/>
        </w:rPr>
        <w:t>כדי להחליט בבקשה; מבקש ההיתר לספנות חופית ימסור למנהל כל פרט שדרש לפי סעיף זה; לא מסר המבקש פרט כאמור, רשאי המנהל שלא לתת לו היתר לספנות חופית.</w:t>
      </w:r>
    </w:p>
    <w:p w14:paraId="095E24F5" w14:textId="77777777" w:rsidR="00BB2E6C" w:rsidRDefault="00BB2E6C">
      <w:pPr>
        <w:pStyle w:val="P00"/>
        <w:spacing w:before="72"/>
        <w:ind w:left="0" w:right="1134"/>
        <w:rPr>
          <w:rStyle w:val="default"/>
          <w:rFonts w:cs="FrankRuehl" w:hint="cs"/>
          <w:rtl/>
        </w:rPr>
      </w:pPr>
      <w:bookmarkStart w:id="8" w:name="Seif7"/>
      <w:bookmarkEnd w:id="8"/>
      <w:r>
        <w:rPr>
          <w:rFonts w:cs="Miriam"/>
          <w:lang w:val="he-IL"/>
        </w:rPr>
        <w:pict w14:anchorId="65CDCB6C">
          <v:rect id="_x0000_s1070" style="position:absolute;left:0;text-align:left;margin-left:464.5pt;margin-top:8.05pt;width:75.05pt;height:26.65pt;z-index:251656704" o:allowincell="f" filled="f" stroked="f" strokecolor="lime" strokeweight=".25pt">
            <v:textbox style="mso-next-textbox:#_x0000_s1070" inset="0,0,0,0">
              <w:txbxContent>
                <w:p w14:paraId="257D3760" w14:textId="77777777" w:rsidR="00BB2E6C" w:rsidRDefault="00BB2E6C">
                  <w:pPr>
                    <w:pStyle w:val="a7"/>
                    <w:rPr>
                      <w:rFonts w:hint="cs"/>
                      <w:noProof/>
                      <w:rtl/>
                    </w:rPr>
                  </w:pPr>
                  <w:r>
                    <w:rPr>
                      <w:rFonts w:hint="cs"/>
                      <w:rtl/>
                    </w:rPr>
                    <w:t>ביטול היתר לספנות חופית, התלייתו או סירוב לחדשו</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rtl/>
        </w:rPr>
        <w:t>המנהל רשאי להתלות היתר לספנות חופית לתקופה ובתנאים שיראה לנכון, לבטלו או</w:t>
      </w:r>
      <w:r>
        <w:rPr>
          <w:rStyle w:val="default"/>
          <w:rFonts w:cs="FrankRuehl" w:hint="cs"/>
          <w:rtl/>
        </w:rPr>
        <w:t xml:space="preserve"> </w:t>
      </w:r>
      <w:r>
        <w:rPr>
          <w:rStyle w:val="default"/>
          <w:rFonts w:cs="FrankRuehl"/>
          <w:rtl/>
        </w:rPr>
        <w:t>לסרב לחדשו, לאחר שנתן לבעל ההיתר הזדמנות לטעון את טענותיו, בהתקיים אחד מאלה:</w:t>
      </w:r>
    </w:p>
    <w:p w14:paraId="7BBC8F8F" w14:textId="77777777" w:rsidR="00BB2E6C" w:rsidRDefault="00BB2E6C">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ההיתר ניתן על יסוד מידע כוזב או שגוי;</w:t>
      </w:r>
    </w:p>
    <w:p w14:paraId="0BDC68DF" w14:textId="77777777" w:rsidR="00BB2E6C" w:rsidRDefault="00BB2E6C">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הופר תנאי מתנאי ההיתר שקבע המנהל לפי סעיף 2, או חדל להתקיים, או הופר,</w:t>
      </w:r>
      <w:r>
        <w:rPr>
          <w:rStyle w:val="default"/>
          <w:rFonts w:cs="FrankRuehl" w:hint="cs"/>
          <w:rtl/>
        </w:rPr>
        <w:t xml:space="preserve"> </w:t>
      </w:r>
      <w:r>
        <w:rPr>
          <w:rStyle w:val="default"/>
          <w:rFonts w:cs="FrankRuehl"/>
          <w:rtl/>
        </w:rPr>
        <w:t>תנאי מהתנאים שקבע השר לפי סעיפים 4 או 5, ובלבד שניתנה לבעל ההיתר התראה</w:t>
      </w:r>
      <w:r>
        <w:rPr>
          <w:rStyle w:val="default"/>
          <w:rFonts w:cs="FrankRuehl" w:hint="cs"/>
          <w:rtl/>
        </w:rPr>
        <w:t xml:space="preserve"> </w:t>
      </w:r>
      <w:r>
        <w:rPr>
          <w:rStyle w:val="default"/>
          <w:rFonts w:cs="FrankRuehl"/>
          <w:rtl/>
        </w:rPr>
        <w:t>בכתב, והוא לא תיקן את ההפרה או לא קיים את התנאי, לפי הענין, בתוך התקופה שנקבעה בהתראה;</w:t>
      </w:r>
    </w:p>
    <w:p w14:paraId="21AFF9AC" w14:textId="77777777" w:rsidR="00BB2E6C" w:rsidRDefault="00BB2E6C">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התקיים סייג מהסייגים הקבועים בסעיף 6</w:t>
      </w:r>
      <w:r>
        <w:rPr>
          <w:rStyle w:val="default"/>
          <w:rFonts w:cs="FrankRuehl" w:hint="cs"/>
          <w:rtl/>
        </w:rPr>
        <w:t>;</w:t>
      </w:r>
    </w:p>
    <w:p w14:paraId="7709F9F9" w14:textId="77777777" w:rsidR="00BB2E6C" w:rsidRDefault="00BB2E6C">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בעל ההיתר הפר הוראה מהוראות חוק זה.</w:t>
      </w:r>
    </w:p>
    <w:p w14:paraId="54C7B207" w14:textId="77777777" w:rsidR="00BB2E6C" w:rsidRDefault="00BB2E6C">
      <w:pPr>
        <w:pStyle w:val="P00"/>
        <w:spacing w:before="72"/>
        <w:ind w:left="0" w:right="1134"/>
        <w:rPr>
          <w:rStyle w:val="default"/>
          <w:rFonts w:cs="FrankRuehl" w:hint="cs"/>
          <w:rtl/>
        </w:rPr>
      </w:pPr>
      <w:bookmarkStart w:id="9" w:name="Seif8"/>
      <w:bookmarkEnd w:id="9"/>
      <w:r>
        <w:rPr>
          <w:rFonts w:cs="Miriam"/>
          <w:lang w:val="he-IL"/>
        </w:rPr>
        <w:pict w14:anchorId="2301EA3E">
          <v:rect id="_x0000_s1071" style="position:absolute;left:0;text-align:left;margin-left:464.5pt;margin-top:8.05pt;width:75.05pt;height:17.15pt;z-index:251657728" o:allowincell="f" filled="f" stroked="f" strokecolor="lime" strokeweight=".25pt">
            <v:textbox style="mso-next-textbox:#_x0000_s1071" inset="0,0,0,0">
              <w:txbxContent>
                <w:p w14:paraId="6E2F2F54" w14:textId="77777777" w:rsidR="00BB2E6C" w:rsidRDefault="00BB2E6C">
                  <w:pPr>
                    <w:pStyle w:val="a7"/>
                    <w:rPr>
                      <w:rFonts w:hint="cs"/>
                      <w:noProof/>
                      <w:rtl/>
                    </w:rPr>
                  </w:pPr>
                  <w:r>
                    <w:rPr>
                      <w:rFonts w:hint="cs"/>
                      <w:rtl/>
                    </w:rPr>
                    <w:t>מינוי מפקחים וסמכויותיהם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השר רשאי למנות מפקחים, מבין עובדי משרדו, לשם פיקוח על ביצוע הוראות לפי חוק זה; הודעה על מינוי מפקח תפורסם ברשומות.</w:t>
      </w:r>
    </w:p>
    <w:p w14:paraId="0C059807" w14:textId="77777777" w:rsidR="00BB2E6C" w:rsidRDefault="00BB2E6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לשם פיקוח על ביצוע הוראות לפי חוק זה, רשאי מפקח או שוטר –</w:t>
      </w:r>
    </w:p>
    <w:p w14:paraId="4DA60415" w14:textId="77777777" w:rsidR="00BB2E6C" w:rsidRDefault="00BB2E6C">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להיכנס, בכל עת סבירה, לכלי שיט זר שיש לו חשד סביר שמתבצעת בו</w:t>
      </w:r>
      <w:r>
        <w:rPr>
          <w:rStyle w:val="default"/>
          <w:rFonts w:cs="FrankRuehl" w:hint="cs"/>
          <w:rtl/>
        </w:rPr>
        <w:t xml:space="preserve"> </w:t>
      </w:r>
      <w:r>
        <w:rPr>
          <w:rStyle w:val="default"/>
          <w:rFonts w:cs="FrankRuehl"/>
          <w:rtl/>
        </w:rPr>
        <w:t>עבירה על הוראות לפי חוק זה, ובלבד שלא ייכנס למקום המשמש למגורים בלבד, אלא לפי צו של בית משפט;</w:t>
      </w:r>
    </w:p>
    <w:p w14:paraId="74F774AA" w14:textId="77777777" w:rsidR="00BB2E6C" w:rsidRDefault="00BB2E6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לדרוש מבעל כלי השיט הזר שלגביו ניתן ההיתר לספנות חופית, או מאיש</w:t>
      </w:r>
      <w:r>
        <w:rPr>
          <w:rStyle w:val="default"/>
          <w:rFonts w:cs="FrankRuehl" w:hint="cs"/>
          <w:rtl/>
        </w:rPr>
        <w:t xml:space="preserve"> </w:t>
      </w:r>
      <w:r>
        <w:rPr>
          <w:rStyle w:val="default"/>
          <w:rFonts w:cs="FrankRuehl"/>
          <w:rtl/>
        </w:rPr>
        <w:t>צוות שבו, להזדהות בפניו ולהציג בפניו את ההיתר כאמור וכל מסמך אחר הקשור במתן ההיתר או בפעילות כלי השיט.</w:t>
      </w:r>
    </w:p>
    <w:p w14:paraId="54439232" w14:textId="77777777" w:rsidR="00BB2E6C" w:rsidRDefault="00BB2E6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לשם גילוי עבירה לפי חוק זה יהיו למפקח סמכויות חקירה המסורות לקצין משטרה לפי סעיפים 2 ו</w:t>
      </w:r>
      <w:r>
        <w:rPr>
          <w:rStyle w:val="default"/>
          <w:rFonts w:cs="FrankRuehl" w:hint="cs"/>
          <w:rtl/>
        </w:rPr>
        <w:t>-</w:t>
      </w:r>
      <w:r>
        <w:rPr>
          <w:rStyle w:val="default"/>
          <w:rFonts w:cs="FrankRuehl"/>
          <w:rtl/>
        </w:rPr>
        <w:t xml:space="preserve">3 לפקודת הפרוצדורה הפלילית (עדות), </w:t>
      </w:r>
      <w:r>
        <w:rPr>
          <w:rStyle w:val="default"/>
          <w:rFonts w:cs="FrankRuehl" w:hint="cs"/>
          <w:rtl/>
        </w:rPr>
        <w:t>1927</w:t>
      </w:r>
      <w:r>
        <w:rPr>
          <w:rStyle w:val="default"/>
          <w:rFonts w:cs="FrankRuehl"/>
          <w:rtl/>
        </w:rPr>
        <w:t>, וכן סמכויות של שוטר לבקש</w:t>
      </w:r>
      <w:r>
        <w:rPr>
          <w:rStyle w:val="default"/>
          <w:rFonts w:cs="FrankRuehl" w:hint="cs"/>
          <w:rtl/>
        </w:rPr>
        <w:t xml:space="preserve"> </w:t>
      </w:r>
      <w:r>
        <w:rPr>
          <w:rStyle w:val="default"/>
          <w:rFonts w:cs="FrankRuehl"/>
          <w:rtl/>
        </w:rPr>
        <w:t>מבית משפט צו חיפוש ולבצעו לפי סעיפים 23 ו</w:t>
      </w:r>
      <w:r>
        <w:rPr>
          <w:rStyle w:val="default"/>
          <w:rFonts w:cs="FrankRuehl" w:hint="cs"/>
          <w:rtl/>
        </w:rPr>
        <w:t>-</w:t>
      </w:r>
      <w:r>
        <w:rPr>
          <w:rStyle w:val="default"/>
          <w:rFonts w:cs="FrankRuehl"/>
          <w:rtl/>
        </w:rPr>
        <w:t>24(א)(1) לפקודת סדר הדין הפלילי (מעצר</w:t>
      </w:r>
      <w:r>
        <w:rPr>
          <w:rStyle w:val="default"/>
          <w:rFonts w:cs="FrankRuehl" w:hint="cs"/>
          <w:rtl/>
        </w:rPr>
        <w:t xml:space="preserve"> </w:t>
      </w:r>
      <w:r>
        <w:rPr>
          <w:rStyle w:val="default"/>
          <w:rFonts w:cs="FrankRuehl"/>
          <w:rtl/>
        </w:rPr>
        <w:t>וחיפוש) [נוסח חדש], התשכ"ט</w:t>
      </w:r>
      <w:r>
        <w:rPr>
          <w:rStyle w:val="default"/>
          <w:rFonts w:cs="FrankRuehl" w:hint="cs"/>
          <w:rtl/>
        </w:rPr>
        <w:t>-1969</w:t>
      </w:r>
      <w:r>
        <w:rPr>
          <w:rStyle w:val="default"/>
          <w:rFonts w:cs="FrankRuehl"/>
          <w:rtl/>
        </w:rPr>
        <w:t>; הוראות חיקוקים אלה יחולו על חקירה, חיפוש ותפיסת חפצים כאילו נערכו בידי קצין משטרה או שוטר, לפי הענין.</w:t>
      </w:r>
    </w:p>
    <w:p w14:paraId="3F4C6C7E" w14:textId="77777777" w:rsidR="00BB2E6C" w:rsidRDefault="00BB2E6C">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בלי לגרוע מהוראות סעיף קטן (ג), חיפוש שנערך על ידי מפקח לפי הוראות הסעיף הקטן האמור, ייעשה בנוכחות שוטר.</w:t>
      </w:r>
    </w:p>
    <w:p w14:paraId="71EAFFED" w14:textId="77777777" w:rsidR="00BB2E6C" w:rsidRDefault="00BB2E6C">
      <w:pPr>
        <w:pStyle w:val="P00"/>
        <w:spacing w:before="72"/>
        <w:ind w:left="0" w:right="1134"/>
        <w:rPr>
          <w:rStyle w:val="default"/>
          <w:rFonts w:cs="FrankRuehl" w:hint="cs"/>
          <w:rtl/>
        </w:rPr>
      </w:pPr>
      <w:bookmarkStart w:id="10" w:name="Seif10"/>
      <w:bookmarkEnd w:id="10"/>
      <w:r>
        <w:rPr>
          <w:rFonts w:cs="Miriam"/>
          <w:lang w:val="he-IL"/>
        </w:rPr>
        <w:pict w14:anchorId="1B84179B">
          <v:rect id="_x0000_s1074" style="position:absolute;left:0;text-align:left;margin-left:464.5pt;margin-top:8.05pt;width:75.05pt;height:11.8pt;z-index:251659776" o:allowincell="f" filled="f" stroked="f" strokecolor="lime" strokeweight=".25pt">
            <v:textbox style="mso-next-textbox:#_x0000_s1074" inset="0,0,0,0">
              <w:txbxContent>
                <w:p w14:paraId="7883CB86" w14:textId="77777777" w:rsidR="00BB2E6C" w:rsidRDefault="00BB2E6C">
                  <w:pPr>
                    <w:pStyle w:val="a7"/>
                    <w:rPr>
                      <w:rFonts w:hint="cs"/>
                      <w:noProof/>
                      <w:rtl/>
                    </w:rPr>
                  </w:pPr>
                  <w:r>
                    <w:rPr>
                      <w:rFonts w:hint="cs"/>
                      <w:rtl/>
                    </w:rPr>
                    <w:t>עונשין</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המבצע ספנות חופית באמצעות כלי שיט זר בלא היתר לספנות חופית או שלא</w:t>
      </w:r>
      <w:r>
        <w:rPr>
          <w:rStyle w:val="default"/>
          <w:rFonts w:cs="FrankRuehl" w:hint="cs"/>
          <w:rtl/>
        </w:rPr>
        <w:t xml:space="preserve"> </w:t>
      </w:r>
      <w:r>
        <w:rPr>
          <w:rStyle w:val="default"/>
          <w:rFonts w:cs="FrankRuehl"/>
          <w:rtl/>
        </w:rPr>
        <w:t>בהתאם לתנאיו, בניגוד להוראות סעיף 2, דינו – קנס כאמור בסעיף 61(א)(3) לחוק העונשין.</w:t>
      </w:r>
    </w:p>
    <w:p w14:paraId="5F69255A" w14:textId="77777777" w:rsidR="00BB2E6C" w:rsidRDefault="00BB2E6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נעברה עבירה לפי סעיף קטן (א), ועושה העבירה המשיך לבצע את העבירה לאחר שנמסרה לו התראה בכתב מאת מפקח או שוטר לענין ההפרה, דינו – נוסף על כל עונש אחר,</w:t>
      </w:r>
      <w:r>
        <w:rPr>
          <w:rStyle w:val="default"/>
          <w:rFonts w:cs="FrankRuehl" w:hint="cs"/>
          <w:rtl/>
        </w:rPr>
        <w:t xml:space="preserve"> </w:t>
      </w:r>
      <w:r>
        <w:rPr>
          <w:rStyle w:val="default"/>
          <w:rFonts w:cs="FrankRuehl"/>
          <w:rtl/>
        </w:rPr>
        <w:t>קנס נוסף בשיעור הקבוע בסעיף 61(ג) לחוק העונשין, לכל יום שבו נמשכת העבירה מהמועד</w:t>
      </w:r>
      <w:r>
        <w:rPr>
          <w:rStyle w:val="default"/>
          <w:rFonts w:cs="FrankRuehl" w:hint="cs"/>
          <w:rtl/>
        </w:rPr>
        <w:t xml:space="preserve"> </w:t>
      </w:r>
      <w:r>
        <w:rPr>
          <w:rStyle w:val="default"/>
          <w:rFonts w:cs="FrankRuehl"/>
          <w:rtl/>
        </w:rPr>
        <w:t>שבו נמסרה לו ההתראה או מהמועד שנקבע בה, לפי המאוחר מביניהם; על מסירת התראה</w:t>
      </w:r>
      <w:r>
        <w:rPr>
          <w:rStyle w:val="default"/>
          <w:rFonts w:cs="FrankRuehl" w:hint="cs"/>
          <w:rtl/>
        </w:rPr>
        <w:t xml:space="preserve"> </w:t>
      </w:r>
      <w:r>
        <w:rPr>
          <w:rStyle w:val="default"/>
          <w:rFonts w:cs="FrankRuehl"/>
          <w:rtl/>
        </w:rPr>
        <w:t>לפי סעיף קטן זה יחולו הוראות סעיף 237 לחוק סדר הדין הפלילי [נוסח משולב], התשמ"ב-</w:t>
      </w:r>
      <w:r>
        <w:rPr>
          <w:rStyle w:val="default"/>
          <w:rFonts w:cs="FrankRuehl" w:hint="cs"/>
          <w:rtl/>
        </w:rPr>
        <w:t>1982</w:t>
      </w:r>
      <w:r>
        <w:rPr>
          <w:rStyle w:val="default"/>
          <w:rFonts w:cs="FrankRuehl"/>
          <w:rtl/>
        </w:rPr>
        <w:t>, בענין המצאת מסמכים, בשינויים המחויבים.</w:t>
      </w:r>
    </w:p>
    <w:p w14:paraId="5FCACA15" w14:textId="77777777" w:rsidR="00BB2E6C" w:rsidRDefault="00BB2E6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נעברה עבירה לפי סעיף זה בידי תאגיד, דינו – קנס פי ארבעה מהקנס שנקבע לעבירה.</w:t>
      </w:r>
    </w:p>
    <w:p w14:paraId="01B7600C" w14:textId="77777777" w:rsidR="00BB2E6C" w:rsidRDefault="00BB2E6C">
      <w:pPr>
        <w:pStyle w:val="P00"/>
        <w:spacing w:before="72"/>
        <w:ind w:left="0" w:right="1134"/>
        <w:rPr>
          <w:rStyle w:val="default"/>
          <w:rFonts w:cs="FrankRuehl" w:hint="cs"/>
          <w:rtl/>
        </w:rPr>
      </w:pPr>
      <w:bookmarkStart w:id="11" w:name="Seif11"/>
      <w:bookmarkEnd w:id="11"/>
      <w:r>
        <w:rPr>
          <w:rFonts w:cs="Miriam"/>
          <w:lang w:val="he-IL"/>
        </w:rPr>
        <w:pict w14:anchorId="358A48EF">
          <v:rect id="_x0000_s1075" style="position:absolute;left:0;text-align:left;margin-left:464.5pt;margin-top:8.05pt;width:75.05pt;height:8.95pt;z-index:251660800" o:allowincell="f" filled="f" stroked="f" strokecolor="lime" strokeweight=".25pt">
            <v:textbox style="mso-next-textbox:#_x0000_s1075" inset="0,0,0,0">
              <w:txbxContent>
                <w:p w14:paraId="005E9009" w14:textId="77777777" w:rsidR="00BB2E6C" w:rsidRDefault="00BB2E6C">
                  <w:pPr>
                    <w:pStyle w:val="a7"/>
                    <w:rPr>
                      <w:rFonts w:hint="cs"/>
                      <w:noProof/>
                      <w:rtl/>
                    </w:rPr>
                  </w:pPr>
                  <w:r>
                    <w:rPr>
                      <w:rFonts w:hint="cs"/>
                      <w:rtl/>
                    </w:rPr>
                    <w:t>פטור</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rtl/>
        </w:rPr>
        <w:t>השר רשאי, בצו, לפטור פעילות מסוימת של ספנות חופית, או סוג פעילות כאמור,</w:t>
      </w:r>
      <w:r>
        <w:rPr>
          <w:rStyle w:val="default"/>
          <w:rFonts w:cs="FrankRuehl" w:hint="cs"/>
          <w:rtl/>
        </w:rPr>
        <w:t xml:space="preserve"> </w:t>
      </w:r>
      <w:r>
        <w:rPr>
          <w:rStyle w:val="default"/>
          <w:rFonts w:cs="FrankRuehl"/>
          <w:rtl/>
        </w:rPr>
        <w:t>מהוראות חוק זה כולן או מקצתן, אם הוא סבור כי הדבר דרוש לשם מניעת סכנה לחיי אדם</w:t>
      </w:r>
      <w:r>
        <w:rPr>
          <w:rStyle w:val="default"/>
          <w:rFonts w:cs="FrankRuehl" w:hint="cs"/>
          <w:rtl/>
        </w:rPr>
        <w:t xml:space="preserve"> </w:t>
      </w:r>
      <w:r>
        <w:rPr>
          <w:rStyle w:val="default"/>
          <w:rFonts w:cs="FrankRuehl"/>
          <w:rtl/>
        </w:rPr>
        <w:t>או מטעמים של שמירה על ביטחון המדינה או על טובת הציבור, הגנה על אינטרסים חיוניים למדינה, או טעמים מיוחדים אחרים המחייבים מתן פטור כאמור.</w:t>
      </w:r>
    </w:p>
    <w:p w14:paraId="72EC6CB8" w14:textId="77777777" w:rsidR="00BB2E6C" w:rsidRDefault="00BB2E6C">
      <w:pPr>
        <w:pStyle w:val="P00"/>
        <w:spacing w:before="72"/>
        <w:ind w:left="0" w:right="1134"/>
        <w:rPr>
          <w:rStyle w:val="default"/>
          <w:rFonts w:cs="FrankRuehl" w:hint="cs"/>
          <w:rtl/>
        </w:rPr>
      </w:pPr>
      <w:bookmarkStart w:id="12" w:name="Seif12"/>
      <w:bookmarkEnd w:id="12"/>
      <w:r>
        <w:rPr>
          <w:rFonts w:cs="Miriam"/>
          <w:lang w:val="he-IL"/>
        </w:rPr>
        <w:pict w14:anchorId="151CD870">
          <v:rect id="_x0000_s1076" style="position:absolute;left:0;text-align:left;margin-left:464.5pt;margin-top:8.05pt;width:75.05pt;height:10.75pt;z-index:251661824" o:allowincell="f" filled="f" stroked="f" strokecolor="lime" strokeweight=".25pt">
            <v:textbox style="mso-next-textbox:#_x0000_s1076" inset="0,0,0,0">
              <w:txbxContent>
                <w:p w14:paraId="405EF89B" w14:textId="77777777" w:rsidR="00BB2E6C" w:rsidRDefault="00BB2E6C">
                  <w:pPr>
                    <w:pStyle w:val="a7"/>
                    <w:rPr>
                      <w:rFonts w:hint="cs"/>
                      <w:noProof/>
                      <w:rtl/>
                    </w:rPr>
                  </w:pPr>
                  <w:r>
                    <w:rPr>
                      <w:rFonts w:hint="cs"/>
                      <w:rtl/>
                    </w:rPr>
                    <w:t>אגרות</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rtl/>
        </w:rPr>
        <w:t>השר, באישור ועדת הכלכלה של הכנסת, רשאי לקבוע אגרות בעד בקשה למתן היתר לספנות חופית או לחידושו.</w:t>
      </w:r>
    </w:p>
    <w:p w14:paraId="7313D02B" w14:textId="77777777" w:rsidR="00BB2E6C" w:rsidRDefault="00BB2E6C">
      <w:pPr>
        <w:pStyle w:val="P00"/>
        <w:spacing w:before="72"/>
        <w:ind w:left="0" w:right="1134"/>
        <w:rPr>
          <w:rStyle w:val="default"/>
          <w:rFonts w:cs="FrankRuehl" w:hint="cs"/>
          <w:rtl/>
        </w:rPr>
      </w:pPr>
      <w:bookmarkStart w:id="13" w:name="Seif13"/>
      <w:bookmarkEnd w:id="13"/>
      <w:r>
        <w:rPr>
          <w:rFonts w:cs="Miriam"/>
          <w:lang w:val="he-IL"/>
        </w:rPr>
        <w:pict w14:anchorId="0EA7EB7A">
          <v:rect id="_x0000_s1077" style="position:absolute;left:0;text-align:left;margin-left:464.5pt;margin-top:8.05pt;width:75.05pt;height:8.95pt;z-index:251662848" o:allowincell="f" filled="f" stroked="f" strokecolor="lime" strokeweight=".25pt">
            <v:textbox style="mso-next-textbox:#_x0000_s1077" inset="0,0,0,0">
              <w:txbxContent>
                <w:p w14:paraId="27C50885" w14:textId="77777777" w:rsidR="00BB2E6C" w:rsidRDefault="00BB2E6C">
                  <w:pPr>
                    <w:pStyle w:val="a7"/>
                    <w:rPr>
                      <w:rFonts w:hint="cs"/>
                      <w:noProof/>
                      <w:rtl/>
                    </w:rPr>
                  </w:pPr>
                  <w:r>
                    <w:rPr>
                      <w:rFonts w:hint="cs"/>
                      <w:rtl/>
                    </w:rPr>
                    <w:t>ביצוע ותקנות</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rtl/>
        </w:rPr>
        <w:t>השר ממונה על ביצוע חוק זה והוא רשאי להתקין תקנות בכל הנוגע לביצועו.</w:t>
      </w:r>
    </w:p>
    <w:p w14:paraId="5A26062B" w14:textId="77777777" w:rsidR="00BB2E6C" w:rsidRDefault="00BB2E6C">
      <w:pPr>
        <w:pStyle w:val="P00"/>
        <w:spacing w:before="72"/>
        <w:ind w:left="0" w:right="1134"/>
        <w:rPr>
          <w:rStyle w:val="default"/>
          <w:rFonts w:cs="FrankRuehl" w:hint="cs"/>
          <w:rtl/>
        </w:rPr>
      </w:pPr>
      <w:bookmarkStart w:id="14" w:name="Seif14"/>
      <w:bookmarkEnd w:id="14"/>
      <w:r>
        <w:rPr>
          <w:rFonts w:cs="Miriam"/>
          <w:lang w:val="he-IL"/>
        </w:rPr>
        <w:pict w14:anchorId="5B014FEE">
          <v:rect id="_x0000_s1078" style="position:absolute;left:0;text-align:left;margin-left:464.5pt;margin-top:8.05pt;width:75.05pt;height:11.9pt;z-index:251663872" o:allowincell="f" filled="f" stroked="f" strokecolor="lime" strokeweight=".25pt">
            <v:textbox style="mso-next-textbox:#_x0000_s1078" inset="0,0,0,0">
              <w:txbxContent>
                <w:p w14:paraId="753F24EB" w14:textId="77777777" w:rsidR="00BB2E6C" w:rsidRDefault="00BB2E6C">
                  <w:pPr>
                    <w:pStyle w:val="a7"/>
                    <w:rPr>
                      <w:rFonts w:hint="cs"/>
                      <w:noProof/>
                      <w:rtl/>
                    </w:rPr>
                  </w:pPr>
                  <w:r>
                    <w:rPr>
                      <w:rFonts w:hint="cs"/>
                      <w:rtl/>
                    </w:rPr>
                    <w:t>שמירת דינים</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rtl/>
        </w:rPr>
        <w:t>הוראות חוק זה באות להוסיף על הוראות כל דין ולא לגרוע מהן.</w:t>
      </w:r>
    </w:p>
    <w:p w14:paraId="7FC785E5" w14:textId="77777777" w:rsidR="00BB2E6C" w:rsidRDefault="00BB2E6C">
      <w:pPr>
        <w:pStyle w:val="P00"/>
        <w:spacing w:before="72"/>
        <w:ind w:left="0" w:right="1134"/>
        <w:rPr>
          <w:rStyle w:val="default"/>
          <w:rFonts w:cs="FrankRuehl" w:hint="cs"/>
          <w:rtl/>
        </w:rPr>
      </w:pPr>
      <w:bookmarkStart w:id="15" w:name="Seif15"/>
      <w:bookmarkEnd w:id="15"/>
      <w:r>
        <w:rPr>
          <w:rFonts w:cs="Miriam"/>
          <w:lang w:val="he-IL"/>
        </w:rPr>
        <w:pict w14:anchorId="5C644888">
          <v:rect id="_x0000_s1079" style="position:absolute;left:0;text-align:left;margin-left:464.5pt;margin-top:8.05pt;width:75.05pt;height:28pt;z-index:251664896" o:allowincell="f" filled="f" stroked="f" strokecolor="lime" strokeweight=".25pt">
            <v:textbox style="mso-next-textbox:#_x0000_s1079" inset="0,0,0,0">
              <w:txbxContent>
                <w:p w14:paraId="059AE987" w14:textId="77777777" w:rsidR="00BB2E6C" w:rsidRDefault="00BB2E6C">
                  <w:pPr>
                    <w:pStyle w:val="a7"/>
                    <w:rPr>
                      <w:rFonts w:hint="cs"/>
                      <w:noProof/>
                      <w:rtl/>
                    </w:rPr>
                  </w:pPr>
                  <w:r>
                    <w:rPr>
                      <w:rFonts w:hint="cs"/>
                      <w:rtl/>
                    </w:rPr>
                    <w:t xml:space="preserve">תיקון חוק בתי משפט לענינים מינהליים </w:t>
                  </w:r>
                  <w:r>
                    <w:rPr>
                      <w:rtl/>
                    </w:rPr>
                    <w:t>–</w:t>
                  </w:r>
                  <w:r>
                    <w:rPr>
                      <w:rFonts w:hint="cs"/>
                      <w:rtl/>
                    </w:rPr>
                    <w:t xml:space="preserve"> מס' 20</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rtl/>
        </w:rPr>
        <w:t>בחוק בתי משפט לענינים מינהליים, התש"ס</w:t>
      </w:r>
      <w:r>
        <w:rPr>
          <w:rStyle w:val="default"/>
          <w:rFonts w:cs="FrankRuehl" w:hint="cs"/>
          <w:rtl/>
        </w:rPr>
        <w:t>-2000</w:t>
      </w:r>
      <w:r>
        <w:rPr>
          <w:rStyle w:val="default"/>
          <w:rFonts w:cs="FrankRuehl"/>
          <w:rtl/>
        </w:rPr>
        <w:t>, בתוספת הראשונה, בפרט 14, בסופו יבוא:</w:t>
      </w:r>
    </w:p>
    <w:p w14:paraId="2468A013" w14:textId="77777777" w:rsidR="00BB2E6C" w:rsidRDefault="00BB2E6C">
      <w:pPr>
        <w:pStyle w:val="P00"/>
        <w:spacing w:before="72"/>
        <w:ind w:left="62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החלטה של המנהל לפי סעיפים 2 ו</w:t>
      </w:r>
      <w:r>
        <w:rPr>
          <w:rStyle w:val="default"/>
          <w:rFonts w:cs="FrankRuehl" w:hint="cs"/>
          <w:rtl/>
        </w:rPr>
        <w:t>-</w:t>
      </w:r>
      <w:r>
        <w:rPr>
          <w:rStyle w:val="default"/>
          <w:rFonts w:cs="FrankRuehl"/>
          <w:rtl/>
        </w:rPr>
        <w:t>6 עד 9 לחוק ספנות חופית (היתר לכלי שיט זר), התשס"ו</w:t>
      </w:r>
      <w:r>
        <w:rPr>
          <w:rStyle w:val="default"/>
          <w:rFonts w:cs="FrankRuehl" w:hint="cs"/>
          <w:rtl/>
        </w:rPr>
        <w:t>-2005</w:t>
      </w:r>
      <w:r>
        <w:rPr>
          <w:rStyle w:val="default"/>
          <w:rFonts w:cs="FrankRuehl"/>
          <w:rtl/>
        </w:rPr>
        <w:t>."</w:t>
      </w:r>
    </w:p>
    <w:p w14:paraId="5CD1B25F" w14:textId="77777777" w:rsidR="00BB2E6C" w:rsidRDefault="00BB2E6C">
      <w:pPr>
        <w:pStyle w:val="P00"/>
        <w:spacing w:before="72"/>
        <w:ind w:left="0" w:right="1134"/>
        <w:rPr>
          <w:rStyle w:val="default"/>
          <w:rFonts w:cs="FrankRuehl" w:hint="cs"/>
          <w:rtl/>
        </w:rPr>
      </w:pPr>
      <w:bookmarkStart w:id="16" w:name="Seif16"/>
      <w:bookmarkEnd w:id="16"/>
      <w:r>
        <w:rPr>
          <w:rFonts w:cs="Miriam"/>
          <w:lang w:val="he-IL"/>
        </w:rPr>
        <w:pict w14:anchorId="0E3F78E7">
          <v:rect id="_x0000_s1080" style="position:absolute;left:0;text-align:left;margin-left:464.5pt;margin-top:8.05pt;width:75.05pt;height:10.5pt;z-index:251665920" o:allowincell="f" filled="f" stroked="f" strokecolor="lime" strokeweight=".25pt">
            <v:textbox style="mso-next-textbox:#_x0000_s1080" inset="0,0,0,0">
              <w:txbxContent>
                <w:p w14:paraId="0DDF32C3" w14:textId="77777777" w:rsidR="00BB2E6C" w:rsidRDefault="00BB2E6C">
                  <w:pPr>
                    <w:pStyle w:val="a7"/>
                    <w:rPr>
                      <w:rFonts w:hint="cs"/>
                      <w:noProof/>
                      <w:rtl/>
                    </w:rPr>
                  </w:pPr>
                  <w:r>
                    <w:rPr>
                      <w:rFonts w:hint="cs"/>
                      <w:rtl/>
                    </w:rPr>
                    <w:t>הוראת מעבר</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rtl/>
        </w:rPr>
        <w:t>על אף הוראות סעיף 2, מי שביצע ספנות חופית באמצעות כלי שיט זר ערב תחילתו</w:t>
      </w:r>
      <w:r>
        <w:rPr>
          <w:rStyle w:val="default"/>
          <w:rFonts w:cs="FrankRuehl" w:hint="cs"/>
          <w:rtl/>
        </w:rPr>
        <w:t xml:space="preserve"> </w:t>
      </w:r>
      <w:r>
        <w:rPr>
          <w:rStyle w:val="default"/>
          <w:rFonts w:cs="FrankRuehl"/>
          <w:rtl/>
        </w:rPr>
        <w:t>של חוק זה, רשאי להמשיך ולבצע ספנות חופית באמצעות כלי השיט הזר עד תום שישה חודשים מיום תחילתו של חוק זה.</w:t>
      </w:r>
    </w:p>
    <w:p w14:paraId="73B4CC90" w14:textId="77777777" w:rsidR="00BB2E6C" w:rsidRDefault="00BB2E6C">
      <w:pPr>
        <w:pStyle w:val="P00"/>
        <w:spacing w:before="72"/>
        <w:ind w:left="0" w:right="1134"/>
        <w:rPr>
          <w:rStyle w:val="default"/>
          <w:rFonts w:cs="FrankRuehl" w:hint="cs"/>
          <w:rtl/>
        </w:rPr>
      </w:pPr>
    </w:p>
    <w:p w14:paraId="7A189949" w14:textId="77777777" w:rsidR="00BB2E6C" w:rsidRDefault="00BB2E6C">
      <w:pPr>
        <w:pStyle w:val="P00"/>
        <w:spacing w:before="72"/>
        <w:ind w:left="0" w:right="1134"/>
        <w:rPr>
          <w:rStyle w:val="default"/>
          <w:rFonts w:cs="FrankRuehl"/>
          <w:rtl/>
        </w:rPr>
      </w:pPr>
    </w:p>
    <w:p w14:paraId="1CBD71CB" w14:textId="77777777" w:rsidR="00BB2E6C" w:rsidRDefault="00BB2E6C">
      <w:pPr>
        <w:pStyle w:val="sig-0"/>
        <w:tabs>
          <w:tab w:val="clear" w:pos="4820"/>
          <w:tab w:val="center" w:pos="1701"/>
          <w:tab w:val="center" w:pos="3402"/>
          <w:tab w:val="center" w:pos="5103"/>
          <w:tab w:val="center" w:pos="6804"/>
        </w:tabs>
        <w:ind w:left="0" w:right="1134"/>
        <w:rPr>
          <w:rFonts w:cs="FrankRuehl" w:hint="cs"/>
          <w:sz w:val="26"/>
          <w:rtl/>
        </w:rPr>
      </w:pPr>
      <w:r>
        <w:rPr>
          <w:rFonts w:cs="FrankRuehl"/>
          <w:sz w:val="26"/>
          <w:rtl/>
        </w:rPr>
        <w:tab/>
      </w:r>
      <w:r>
        <w:rPr>
          <w:rFonts w:cs="FrankRuehl" w:hint="cs"/>
          <w:sz w:val="26"/>
          <w:rtl/>
        </w:rPr>
        <w:tab/>
        <w:t>אריאל שרון</w:t>
      </w:r>
      <w:r>
        <w:rPr>
          <w:rFonts w:cs="FrankRuehl" w:hint="cs"/>
          <w:sz w:val="26"/>
          <w:rtl/>
        </w:rPr>
        <w:tab/>
      </w:r>
      <w:r>
        <w:rPr>
          <w:rFonts w:cs="FrankRuehl" w:hint="cs"/>
          <w:sz w:val="26"/>
          <w:rtl/>
        </w:rPr>
        <w:tab/>
        <w:t>מאיר שטרית</w:t>
      </w:r>
    </w:p>
    <w:p w14:paraId="2AC33E5B" w14:textId="77777777" w:rsidR="00BB2E6C" w:rsidRDefault="00BB2E6C">
      <w:pPr>
        <w:pStyle w:val="sig-1"/>
        <w:widowControl/>
        <w:tabs>
          <w:tab w:val="clear" w:pos="851"/>
          <w:tab w:val="clear" w:pos="2835"/>
          <w:tab w:val="clear" w:pos="4820"/>
          <w:tab w:val="center" w:pos="1701"/>
          <w:tab w:val="center" w:pos="3402"/>
          <w:tab w:val="center" w:pos="5103"/>
          <w:tab w:val="center" w:pos="6804"/>
        </w:tabs>
        <w:ind w:left="0" w:right="1134"/>
        <w:rPr>
          <w:rFonts w:cs="FrankRuehl" w:hint="cs"/>
          <w:sz w:val="22"/>
          <w:rtl/>
        </w:rPr>
      </w:pPr>
      <w:r>
        <w:rPr>
          <w:rFonts w:cs="FrankRuehl"/>
          <w:sz w:val="22"/>
          <w:rtl/>
        </w:rPr>
        <w:tab/>
      </w:r>
      <w:r>
        <w:rPr>
          <w:rFonts w:cs="FrankRuehl" w:hint="cs"/>
          <w:sz w:val="22"/>
          <w:rtl/>
        </w:rPr>
        <w:tab/>
        <w:t>ראש הממשלה</w:t>
      </w:r>
      <w:r>
        <w:rPr>
          <w:rFonts w:cs="FrankRuehl" w:hint="cs"/>
          <w:sz w:val="22"/>
          <w:rtl/>
        </w:rPr>
        <w:tab/>
      </w:r>
      <w:r>
        <w:rPr>
          <w:rFonts w:cs="FrankRuehl" w:hint="cs"/>
          <w:sz w:val="22"/>
          <w:rtl/>
        </w:rPr>
        <w:tab/>
        <w:t>שר התחבורה</w:t>
      </w:r>
    </w:p>
    <w:p w14:paraId="1F3BF916" w14:textId="77777777" w:rsidR="00BB2E6C" w:rsidRDefault="00BB2E6C">
      <w:pPr>
        <w:pStyle w:val="sig-0"/>
        <w:tabs>
          <w:tab w:val="clear" w:pos="4820"/>
          <w:tab w:val="center" w:pos="1701"/>
          <w:tab w:val="center" w:pos="3402"/>
          <w:tab w:val="center" w:pos="5103"/>
          <w:tab w:val="center" w:pos="6804"/>
        </w:tabs>
        <w:ind w:left="0" w:right="1134"/>
        <w:rPr>
          <w:rFonts w:cs="FrankRuehl" w:hint="cs"/>
          <w:sz w:val="26"/>
          <w:rtl/>
        </w:rPr>
      </w:pPr>
      <w:r>
        <w:rPr>
          <w:rFonts w:cs="FrankRuehl" w:hint="cs"/>
          <w:sz w:val="26"/>
          <w:rtl/>
        </w:rPr>
        <w:tab/>
        <w:t>משה קצב</w:t>
      </w:r>
      <w:r>
        <w:rPr>
          <w:rFonts w:cs="FrankRuehl" w:hint="cs"/>
          <w:sz w:val="26"/>
          <w:rtl/>
        </w:rPr>
        <w:tab/>
      </w:r>
      <w:r>
        <w:rPr>
          <w:rFonts w:cs="FrankRuehl" w:hint="cs"/>
          <w:sz w:val="26"/>
          <w:rtl/>
        </w:rPr>
        <w:tab/>
        <w:t>ראובן ריבלין</w:t>
      </w:r>
    </w:p>
    <w:p w14:paraId="5ACF742B" w14:textId="77777777" w:rsidR="00BB2E6C" w:rsidRDefault="00BB2E6C">
      <w:pPr>
        <w:pStyle w:val="sig-1"/>
        <w:widowControl/>
        <w:tabs>
          <w:tab w:val="clear" w:pos="851"/>
          <w:tab w:val="clear" w:pos="2835"/>
          <w:tab w:val="clear" w:pos="4820"/>
          <w:tab w:val="center" w:pos="1701"/>
          <w:tab w:val="center" w:pos="3402"/>
          <w:tab w:val="center" w:pos="5103"/>
          <w:tab w:val="center" w:pos="6804"/>
        </w:tabs>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14:paraId="63A871C8" w14:textId="77777777" w:rsidR="00BB2E6C" w:rsidRDefault="00BB2E6C">
      <w:pPr>
        <w:pStyle w:val="P00"/>
        <w:spacing w:before="72"/>
        <w:ind w:left="0" w:right="1134"/>
        <w:rPr>
          <w:rStyle w:val="default"/>
          <w:rFonts w:cs="FrankRuehl" w:hint="cs"/>
          <w:rtl/>
        </w:rPr>
      </w:pPr>
    </w:p>
    <w:p w14:paraId="5021EF87" w14:textId="77777777" w:rsidR="00BB2E6C" w:rsidRDefault="00BB2E6C">
      <w:pPr>
        <w:pStyle w:val="P00"/>
        <w:spacing w:before="72"/>
        <w:ind w:left="0" w:right="1134"/>
        <w:rPr>
          <w:rStyle w:val="default"/>
          <w:rFonts w:cs="FrankRuehl" w:hint="cs"/>
          <w:rtl/>
        </w:rPr>
      </w:pPr>
    </w:p>
    <w:sectPr w:rsidR="00BB2E6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0A24A" w14:textId="77777777" w:rsidR="00BB2E6C" w:rsidRDefault="00BB2E6C">
      <w:r>
        <w:separator/>
      </w:r>
    </w:p>
  </w:endnote>
  <w:endnote w:type="continuationSeparator" w:id="0">
    <w:p w14:paraId="07F5F95B" w14:textId="77777777" w:rsidR="00BB2E6C" w:rsidRDefault="00BB2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481C6" w14:textId="77777777" w:rsidR="00BB2E6C" w:rsidRDefault="00BB2E6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20354FC" w14:textId="77777777" w:rsidR="00BB2E6C" w:rsidRDefault="00BB2E6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E00909" w14:textId="77777777" w:rsidR="00BB2E6C" w:rsidRDefault="00BB2E6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T:\00000000-law\yael\05-11-23\999_514.doc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D6C24" w14:textId="77777777" w:rsidR="00BB2E6C" w:rsidRDefault="00BB2E6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A3ADB">
      <w:rPr>
        <w:rFonts w:hAnsi="FrankRuehl" w:cs="FrankRuehl"/>
        <w:noProof/>
        <w:sz w:val="24"/>
        <w:szCs w:val="24"/>
        <w:rtl/>
      </w:rPr>
      <w:t>2</w:t>
    </w:r>
    <w:r>
      <w:rPr>
        <w:rFonts w:hAnsi="FrankRuehl" w:cs="FrankRuehl"/>
        <w:sz w:val="24"/>
        <w:szCs w:val="24"/>
        <w:rtl/>
      </w:rPr>
      <w:fldChar w:fldCharType="end"/>
    </w:r>
  </w:p>
  <w:p w14:paraId="215A68A3" w14:textId="77777777" w:rsidR="00BB2E6C" w:rsidRDefault="00BB2E6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6CFA9A" w14:textId="77777777" w:rsidR="00BB2E6C" w:rsidRDefault="00BB2E6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T:\00000000-law\yael\05-11-23\999_514.doc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DF42F" w14:textId="77777777" w:rsidR="00BB2E6C" w:rsidRDefault="00BB2E6C">
      <w:r>
        <w:separator/>
      </w:r>
    </w:p>
  </w:footnote>
  <w:footnote w:type="continuationSeparator" w:id="0">
    <w:p w14:paraId="1D06EE6F" w14:textId="77777777" w:rsidR="00BB2E6C" w:rsidRDefault="00BB2E6C">
      <w:r>
        <w:continuationSeparator/>
      </w:r>
    </w:p>
  </w:footnote>
  <w:footnote w:id="1">
    <w:p w14:paraId="4C39EF85" w14:textId="77777777" w:rsidR="00BB2E6C" w:rsidRDefault="00BB2E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Pr>
            <w:rStyle w:val="Hyperlink"/>
            <w:rFonts w:cs="FrankRuehl" w:hint="cs"/>
            <w:rtl/>
          </w:rPr>
          <w:t>ס"ח תשס"ו מס' 2035</w:t>
        </w:r>
      </w:hyperlink>
      <w:r>
        <w:rPr>
          <w:rFonts w:cs="FrankRuehl" w:hint="cs"/>
          <w:rtl/>
        </w:rPr>
        <w:t xml:space="preserve"> מיום 22.11.2005 עמ' 11 (</w:t>
      </w:r>
      <w:hyperlink r:id="rId2" w:history="1">
        <w:r>
          <w:rPr>
            <w:rStyle w:val="Hyperlink"/>
            <w:rFonts w:cs="FrankRuehl" w:hint="cs"/>
            <w:rtl/>
          </w:rPr>
          <w:t>ה"ח הממשלה תשס"ה מס' 141</w:t>
        </w:r>
      </w:hyperlink>
      <w:r>
        <w:rPr>
          <w:rFonts w:cs="FrankRuehl" w:hint="cs"/>
          <w:rtl/>
        </w:rPr>
        <w:t xml:space="preserve"> עמ' 298).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607D4" w14:textId="77777777" w:rsidR="00BB2E6C" w:rsidRDefault="00BB2E6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7374775" w14:textId="77777777" w:rsidR="00BB2E6C" w:rsidRDefault="00BB2E6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EBD0C3A" w14:textId="77777777" w:rsidR="00BB2E6C" w:rsidRDefault="00BB2E6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C4B4B" w14:textId="77777777" w:rsidR="00BB2E6C" w:rsidRDefault="00BB2E6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ספנות חופית (היתר לכלי שיט זר), תשס"ו-2005</w:t>
    </w:r>
  </w:p>
  <w:p w14:paraId="291164C6" w14:textId="77777777" w:rsidR="00BB2E6C" w:rsidRDefault="00BB2E6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53C252" w14:textId="77777777" w:rsidR="00BB2E6C" w:rsidRDefault="00BB2E6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69262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3ADB"/>
    <w:rsid w:val="007A3ADB"/>
    <w:rsid w:val="00BB2E6C"/>
    <w:rsid w:val="00E63BA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4:docId w14:val="09E0420D"/>
  <w15:chartTrackingRefBased/>
  <w15:docId w15:val="{09EA0B29-D079-4401-A276-384F49FC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141.pdf" TargetMode="External"/><Relationship Id="rId1" Type="http://schemas.openxmlformats.org/officeDocument/2006/relationships/hyperlink" Target="http://www.nevo.co.il/Law_word/law14/LAW-20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11748</CharactersWithSpaces>
  <SharedDoc>false</SharedDoc>
  <HLinks>
    <vt:vector size="114" baseType="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Seif8</vt:lpwstr>
      </vt:variant>
      <vt:variant>
        <vt:i4>196634</vt:i4>
      </vt:variant>
      <vt:variant>
        <vt:i4>51</vt:i4>
      </vt:variant>
      <vt:variant>
        <vt:i4>0</vt:i4>
      </vt:variant>
      <vt:variant>
        <vt:i4>5</vt:i4>
      </vt:variant>
      <vt:variant>
        <vt:lpwstr/>
      </vt:variant>
      <vt:variant>
        <vt:lpwstr>Seif7</vt:lpwstr>
      </vt:variant>
      <vt:variant>
        <vt:i4>196634</vt:i4>
      </vt:variant>
      <vt:variant>
        <vt:i4>45</vt:i4>
      </vt:variant>
      <vt:variant>
        <vt:i4>0</vt:i4>
      </vt:variant>
      <vt:variant>
        <vt:i4>5</vt:i4>
      </vt:variant>
      <vt:variant>
        <vt:lpwstr/>
      </vt:variant>
      <vt:variant>
        <vt:lpwstr>Seif6</vt:lpwstr>
      </vt:variant>
      <vt:variant>
        <vt:i4>196634</vt:i4>
      </vt:variant>
      <vt:variant>
        <vt:i4>39</vt:i4>
      </vt:variant>
      <vt:variant>
        <vt:i4>0</vt:i4>
      </vt:variant>
      <vt:variant>
        <vt:i4>5</vt:i4>
      </vt:variant>
      <vt:variant>
        <vt:lpwstr/>
      </vt:variant>
      <vt:variant>
        <vt:lpwstr>Seif5</vt:lpwstr>
      </vt:variant>
      <vt:variant>
        <vt:i4>196634</vt:i4>
      </vt:variant>
      <vt:variant>
        <vt:i4>33</vt:i4>
      </vt:variant>
      <vt:variant>
        <vt:i4>0</vt:i4>
      </vt:variant>
      <vt:variant>
        <vt:i4>5</vt:i4>
      </vt:variant>
      <vt:variant>
        <vt:lpwstr/>
      </vt:variant>
      <vt:variant>
        <vt:lpwstr>Seif4</vt:lpwstr>
      </vt:variant>
      <vt:variant>
        <vt:i4>196634</vt:i4>
      </vt:variant>
      <vt:variant>
        <vt:i4>27</vt:i4>
      </vt:variant>
      <vt:variant>
        <vt:i4>0</vt:i4>
      </vt:variant>
      <vt:variant>
        <vt:i4>5</vt:i4>
      </vt:variant>
      <vt:variant>
        <vt:lpwstr/>
      </vt:variant>
      <vt:variant>
        <vt:lpwstr>Seif3</vt:lpwstr>
      </vt:variant>
      <vt:variant>
        <vt:i4>196634</vt:i4>
      </vt:variant>
      <vt:variant>
        <vt:i4>21</vt:i4>
      </vt:variant>
      <vt:variant>
        <vt:i4>0</vt:i4>
      </vt:variant>
      <vt:variant>
        <vt:i4>5</vt:i4>
      </vt:variant>
      <vt:variant>
        <vt:lpwstr/>
      </vt:variant>
      <vt:variant>
        <vt:lpwstr>Seif2</vt:lpwstr>
      </vt:variant>
      <vt:variant>
        <vt:i4>196634</vt:i4>
      </vt:variant>
      <vt:variant>
        <vt:i4>15</vt:i4>
      </vt:variant>
      <vt:variant>
        <vt:i4>0</vt:i4>
      </vt:variant>
      <vt:variant>
        <vt:i4>5</vt:i4>
      </vt:variant>
      <vt:variant>
        <vt:lpwstr/>
      </vt:variant>
      <vt:variant>
        <vt:lpwstr>Seif9</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7864403</vt:i4>
      </vt:variant>
      <vt:variant>
        <vt:i4>3</vt:i4>
      </vt:variant>
      <vt:variant>
        <vt:i4>0</vt:i4>
      </vt:variant>
      <vt:variant>
        <vt:i4>5</vt:i4>
      </vt:variant>
      <vt:variant>
        <vt:lpwstr>http://www.nevo.co.il/Law_word/law15/memshala-141.pdf</vt:lpwstr>
      </vt:variant>
      <vt:variant>
        <vt:lpwstr/>
      </vt:variant>
      <vt:variant>
        <vt:i4>8257548</vt:i4>
      </vt:variant>
      <vt:variant>
        <vt:i4>0</vt:i4>
      </vt:variant>
      <vt:variant>
        <vt:i4>0</vt:i4>
      </vt:variant>
      <vt:variant>
        <vt:i4>5</vt:i4>
      </vt:variant>
      <vt:variant>
        <vt:lpwstr>http://www.nevo.co.il/Law_word/law14/LAW-2035.pdf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ספנות חופית (היתר לכלי שיט זר), תשס"ו-2005</vt:lpwstr>
  </property>
  <property fmtid="{D5CDD505-2E9C-101B-9397-08002B2CF9AE}" pid="4" name="LAWNUMBER">
    <vt:lpwstr>0514</vt:lpwstr>
  </property>
  <property fmtid="{D5CDD505-2E9C-101B-9397-08002B2CF9AE}" pid="5" name="TYPE">
    <vt:lpwstr>01</vt:lpwstr>
  </property>
  <property fmtid="{D5CDD505-2E9C-101B-9397-08002B2CF9AE}" pid="6" name="CHNAME">
    <vt:lpwstr>ספנות</vt:lpwstr>
  </property>
  <property fmtid="{D5CDD505-2E9C-101B-9397-08002B2CF9AE}" pid="7" name="LINKK2">
    <vt:lpwstr>http://www.nevo.co.il/Law_word/law15/memshala-141.pdf;רשומות – הצעת חוק ממשלה ודברי הסבר#ה"ח הממשלה תשס"ה מס' 141#עמ' 298</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http://www.nevo.co.il/Law_word/law14/LAW-2035.pdf;רשומות – ספר חוקים#פורסם ס"ח תשס"ו מס' 2035#מיום 22.11.2005#עמ' 11 </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ספנות ונמלים</vt:lpwstr>
  </property>
  <property fmtid="{D5CDD505-2E9C-101B-9397-08002B2CF9AE}" pid="25" name="NOSE41">
    <vt:lpwstr>כלי שיט</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