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264F" w14:textId="77777777" w:rsidR="004F529F" w:rsidRDefault="004F529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חוק עונש מאסר שגזר בית משפט צבאי בחבל עזה (הוראות מעבר),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תשס"ז-2007</w:t>
      </w:r>
    </w:p>
    <w:p w14:paraId="7FCA9B28" w14:textId="77777777" w:rsidR="0048637C" w:rsidRPr="0048637C" w:rsidRDefault="0048637C" w:rsidP="0048637C">
      <w:pPr>
        <w:spacing w:line="320" w:lineRule="auto"/>
        <w:rPr>
          <w:rFonts w:cs="FrankRuehl"/>
          <w:szCs w:val="26"/>
          <w:rtl/>
        </w:rPr>
      </w:pPr>
    </w:p>
    <w:p w14:paraId="1AAF547B" w14:textId="77777777" w:rsidR="0048637C" w:rsidRDefault="0048637C" w:rsidP="0048637C">
      <w:pPr>
        <w:spacing w:line="320" w:lineRule="auto"/>
        <w:rPr>
          <w:rtl/>
        </w:rPr>
      </w:pPr>
    </w:p>
    <w:p w14:paraId="5348AB67" w14:textId="77777777" w:rsidR="0048637C" w:rsidRDefault="0048637C" w:rsidP="0048637C">
      <w:pPr>
        <w:spacing w:line="320" w:lineRule="auto"/>
        <w:rPr>
          <w:rFonts w:cs="FrankRuehl"/>
          <w:szCs w:val="26"/>
          <w:rtl/>
        </w:rPr>
      </w:pPr>
      <w:r w:rsidRPr="0048637C">
        <w:rPr>
          <w:rFonts w:cs="Miriam"/>
          <w:szCs w:val="22"/>
          <w:rtl/>
        </w:rPr>
        <w:t>בטחון</w:t>
      </w:r>
      <w:r w:rsidRPr="0048637C">
        <w:rPr>
          <w:rFonts w:cs="FrankRuehl"/>
          <w:szCs w:val="26"/>
          <w:rtl/>
        </w:rPr>
        <w:t xml:space="preserve"> – צה"ל – שיפוט צבאי</w:t>
      </w:r>
    </w:p>
    <w:p w14:paraId="25E47B84" w14:textId="77777777" w:rsidR="0048637C" w:rsidRDefault="0048637C" w:rsidP="0048637C">
      <w:pPr>
        <w:spacing w:line="320" w:lineRule="auto"/>
        <w:rPr>
          <w:rFonts w:cs="FrankRuehl"/>
          <w:szCs w:val="26"/>
          <w:rtl/>
        </w:rPr>
      </w:pPr>
      <w:r w:rsidRPr="0048637C">
        <w:rPr>
          <w:rFonts w:cs="Miriam"/>
          <w:szCs w:val="22"/>
          <w:rtl/>
        </w:rPr>
        <w:t>בתי משפט וסדרי דין</w:t>
      </w:r>
      <w:r w:rsidRPr="0048637C">
        <w:rPr>
          <w:rFonts w:cs="FrankRuehl"/>
          <w:szCs w:val="26"/>
          <w:rtl/>
        </w:rPr>
        <w:t xml:space="preserve"> – בתי משפט ובתי דין – בתי דין צבאיים</w:t>
      </w:r>
    </w:p>
    <w:p w14:paraId="49633C69" w14:textId="77777777" w:rsidR="0048637C" w:rsidRDefault="0048637C" w:rsidP="0048637C">
      <w:pPr>
        <w:spacing w:line="320" w:lineRule="auto"/>
        <w:rPr>
          <w:rFonts w:cs="FrankRuehl"/>
          <w:szCs w:val="26"/>
          <w:rtl/>
        </w:rPr>
      </w:pPr>
      <w:r w:rsidRPr="0048637C">
        <w:rPr>
          <w:rFonts w:cs="Miriam"/>
          <w:szCs w:val="22"/>
          <w:rtl/>
        </w:rPr>
        <w:t>עונשין ומשפט פלילי</w:t>
      </w:r>
      <w:r w:rsidRPr="0048637C">
        <w:rPr>
          <w:rFonts w:cs="FrankRuehl"/>
          <w:szCs w:val="26"/>
          <w:rtl/>
        </w:rPr>
        <w:t xml:space="preserve"> – דרכי ענישה, מאסר ומעצר</w:t>
      </w:r>
    </w:p>
    <w:p w14:paraId="7F117097" w14:textId="77777777" w:rsidR="00785FD0" w:rsidRPr="0048637C" w:rsidRDefault="0048637C" w:rsidP="0048637C">
      <w:pPr>
        <w:spacing w:line="320" w:lineRule="auto"/>
        <w:rPr>
          <w:rFonts w:cs="Miriam"/>
          <w:szCs w:val="22"/>
          <w:rtl/>
        </w:rPr>
      </w:pPr>
      <w:r w:rsidRPr="0048637C">
        <w:rPr>
          <w:rFonts w:cs="Miriam"/>
          <w:szCs w:val="22"/>
          <w:rtl/>
        </w:rPr>
        <w:t>עונשין ומשפט פלילי</w:t>
      </w:r>
      <w:r w:rsidRPr="0048637C">
        <w:rPr>
          <w:rFonts w:cs="FrankRuehl"/>
          <w:szCs w:val="26"/>
          <w:rtl/>
        </w:rPr>
        <w:t xml:space="preserve"> – שיפוט צבאי – בית דין צבאי</w:t>
      </w:r>
    </w:p>
    <w:p w14:paraId="5B195900" w14:textId="77777777" w:rsidR="004F529F" w:rsidRDefault="004F529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F529F" w14:paraId="33806F3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678307C" w14:textId="77777777" w:rsidR="004F529F" w:rsidRDefault="004F529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BE8FCEE" w14:textId="77777777" w:rsidR="004F529F" w:rsidRDefault="004F529F">
            <w:pPr>
              <w:rPr>
                <w:rFonts w:hint="cs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3C2847" w14:textId="77777777" w:rsidR="004F529F" w:rsidRDefault="004F529F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02E20257" w14:textId="77777777" w:rsidR="004F529F" w:rsidRDefault="004F529F">
            <w:pPr>
              <w:rPr>
                <w:rFonts w:hint="cs"/>
              </w:rPr>
            </w:pPr>
            <w:r>
              <w:rPr>
                <w:rtl/>
              </w:rPr>
              <w:t xml:space="preserve">סעיף 1 </w:t>
            </w:r>
          </w:p>
        </w:tc>
      </w:tr>
      <w:tr w:rsidR="004F529F" w14:paraId="6A965C8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1375FE1" w14:textId="77777777" w:rsidR="004F529F" w:rsidRDefault="004F529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46635D9" w14:textId="77777777" w:rsidR="004F529F" w:rsidRDefault="004F529F">
            <w:pPr>
              <w:rPr>
                <w:rFonts w:hint="cs"/>
              </w:rPr>
            </w:pPr>
            <w:hyperlink w:anchor="Seif1" w:tooltip="דין עונש מאסר שגזר בית משפט צבאי בחבל עז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02C8A05" w14:textId="77777777" w:rsidR="004F529F" w:rsidRDefault="004F529F">
            <w:pPr>
              <w:rPr>
                <w:rtl/>
              </w:rPr>
            </w:pPr>
            <w:r>
              <w:rPr>
                <w:rtl/>
              </w:rPr>
              <w:t>דין עונש מאסר שגזר בית משפט צבאי בחבל עזה</w:t>
            </w:r>
          </w:p>
        </w:tc>
        <w:tc>
          <w:tcPr>
            <w:tcW w:w="1247" w:type="dxa"/>
          </w:tcPr>
          <w:p w14:paraId="47B7A088" w14:textId="77777777" w:rsidR="004F529F" w:rsidRDefault="004F529F">
            <w:pPr>
              <w:rPr>
                <w:rFonts w:hint="cs"/>
              </w:rPr>
            </w:pPr>
            <w:r>
              <w:rPr>
                <w:rtl/>
              </w:rPr>
              <w:t xml:space="preserve">סעיף 2 </w:t>
            </w:r>
          </w:p>
        </w:tc>
      </w:tr>
      <w:tr w:rsidR="004F529F" w14:paraId="40CEAA9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5683DC0" w14:textId="77777777" w:rsidR="004F529F" w:rsidRDefault="004F529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B15A3A7" w14:textId="77777777" w:rsidR="004F529F" w:rsidRDefault="004F529F">
            <w:pPr>
              <w:rPr>
                <w:rFonts w:hint="cs"/>
              </w:rPr>
            </w:pPr>
            <w:hyperlink w:anchor="Seif2" w:tooltip="חישוב תקופת המאס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33FA48" w14:textId="77777777" w:rsidR="004F529F" w:rsidRDefault="004F529F">
            <w:pPr>
              <w:rPr>
                <w:rtl/>
              </w:rPr>
            </w:pPr>
            <w:r>
              <w:rPr>
                <w:rtl/>
              </w:rPr>
              <w:t>חישוב תקופת המאסר</w:t>
            </w:r>
          </w:p>
        </w:tc>
        <w:tc>
          <w:tcPr>
            <w:tcW w:w="1247" w:type="dxa"/>
          </w:tcPr>
          <w:p w14:paraId="7D159A55" w14:textId="77777777" w:rsidR="004F529F" w:rsidRDefault="004F529F">
            <w:pPr>
              <w:rPr>
                <w:rFonts w:hint="cs"/>
              </w:rPr>
            </w:pPr>
            <w:r>
              <w:rPr>
                <w:rtl/>
              </w:rPr>
              <w:t xml:space="preserve">סעיף 3 </w:t>
            </w:r>
          </w:p>
        </w:tc>
      </w:tr>
      <w:tr w:rsidR="004F529F" w14:paraId="0936ABE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3731222" w14:textId="77777777" w:rsidR="004F529F" w:rsidRDefault="004F529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08B93CC" w14:textId="77777777" w:rsidR="004F529F" w:rsidRDefault="004F529F">
            <w:pPr>
              <w:rPr>
                <w:rFonts w:hint="cs"/>
              </w:rPr>
            </w:pPr>
            <w:hyperlink w:anchor="Seif3" w:tooltip="הפעלת מאסר על תנ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5B1ACBD" w14:textId="77777777" w:rsidR="004F529F" w:rsidRDefault="004F529F">
            <w:pPr>
              <w:rPr>
                <w:rtl/>
              </w:rPr>
            </w:pPr>
            <w:r>
              <w:rPr>
                <w:rtl/>
              </w:rPr>
              <w:t>הפעלת מאסר על תנאי</w:t>
            </w:r>
          </w:p>
        </w:tc>
        <w:tc>
          <w:tcPr>
            <w:tcW w:w="1247" w:type="dxa"/>
          </w:tcPr>
          <w:p w14:paraId="0C3C87E9" w14:textId="77777777" w:rsidR="004F529F" w:rsidRDefault="004F529F">
            <w:pPr>
              <w:rPr>
                <w:rFonts w:hint="cs"/>
              </w:rPr>
            </w:pPr>
            <w:r>
              <w:rPr>
                <w:rtl/>
              </w:rPr>
              <w:t xml:space="preserve">סעיף 4 </w:t>
            </w:r>
          </w:p>
        </w:tc>
      </w:tr>
      <w:tr w:rsidR="004F529F" w14:paraId="521A78F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16E791A" w14:textId="77777777" w:rsidR="004F529F" w:rsidRDefault="004F529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5628837C" w14:textId="77777777" w:rsidR="004F529F" w:rsidRDefault="004F529F">
            <w:pPr>
              <w:rPr>
                <w:rFonts w:hint="cs"/>
              </w:rPr>
            </w:pPr>
            <w:hyperlink w:anchor="Seif4" w:tooltip="ערעור על פסק דין של בית משפט צבאי בחבל עז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49226A" w14:textId="77777777" w:rsidR="004F529F" w:rsidRDefault="004F529F">
            <w:pPr>
              <w:rPr>
                <w:rtl/>
              </w:rPr>
            </w:pPr>
            <w:r>
              <w:rPr>
                <w:rtl/>
              </w:rPr>
              <w:t>ערעור על פסק דין של בית משפט צבאי בחבל עזה</w:t>
            </w:r>
          </w:p>
        </w:tc>
        <w:tc>
          <w:tcPr>
            <w:tcW w:w="1247" w:type="dxa"/>
          </w:tcPr>
          <w:p w14:paraId="6FBA1DE9" w14:textId="77777777" w:rsidR="004F529F" w:rsidRDefault="004F529F">
            <w:pPr>
              <w:rPr>
                <w:rFonts w:hint="cs"/>
              </w:rPr>
            </w:pPr>
            <w:r>
              <w:rPr>
                <w:rtl/>
              </w:rPr>
              <w:t xml:space="preserve">סעיף 5 </w:t>
            </w:r>
          </w:p>
        </w:tc>
      </w:tr>
      <w:tr w:rsidR="004F529F" w14:paraId="65352DE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C9E94C9" w14:textId="77777777" w:rsidR="004F529F" w:rsidRDefault="004F529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ABEB7B0" w14:textId="77777777" w:rsidR="004F529F" w:rsidRDefault="004F529F">
            <w:pPr>
              <w:rPr>
                <w:rFonts w:hint="cs"/>
              </w:rPr>
            </w:pPr>
            <w:hyperlink w:anchor="Seif5" w:tooltip="דין פסק דין של בית משפט צבאי מיוחד לערעו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99BE85" w14:textId="77777777" w:rsidR="004F529F" w:rsidRDefault="004F529F">
            <w:pPr>
              <w:rPr>
                <w:rtl/>
              </w:rPr>
            </w:pPr>
            <w:r>
              <w:rPr>
                <w:rtl/>
              </w:rPr>
              <w:t>דין פסק דין של בית משפט צבאי מיוחד לערעורים</w:t>
            </w:r>
          </w:p>
        </w:tc>
        <w:tc>
          <w:tcPr>
            <w:tcW w:w="1247" w:type="dxa"/>
          </w:tcPr>
          <w:p w14:paraId="522EB727" w14:textId="77777777" w:rsidR="004F529F" w:rsidRDefault="004F529F">
            <w:pPr>
              <w:rPr>
                <w:rFonts w:hint="cs"/>
              </w:rPr>
            </w:pPr>
            <w:r>
              <w:rPr>
                <w:rtl/>
              </w:rPr>
              <w:t xml:space="preserve">סעיף 6 </w:t>
            </w:r>
          </w:p>
        </w:tc>
      </w:tr>
      <w:tr w:rsidR="004F529F" w14:paraId="1ACB3AB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42EF5D9" w14:textId="77777777" w:rsidR="004F529F" w:rsidRDefault="004F529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Seif6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589A5422" w14:textId="77777777" w:rsidR="004F529F" w:rsidRDefault="004F529F">
            <w:pPr>
              <w:rPr>
                <w:rFonts w:hint="cs"/>
              </w:rPr>
            </w:pPr>
            <w:hyperlink w:anchor="Seif6" w:tooltip="משפט חוז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9A6F13" w14:textId="77777777" w:rsidR="004F529F" w:rsidRDefault="004F529F">
            <w:pPr>
              <w:rPr>
                <w:rtl/>
              </w:rPr>
            </w:pPr>
            <w:r>
              <w:rPr>
                <w:rtl/>
              </w:rPr>
              <w:t>משפט חוזר</w:t>
            </w:r>
          </w:p>
        </w:tc>
        <w:tc>
          <w:tcPr>
            <w:tcW w:w="1247" w:type="dxa"/>
          </w:tcPr>
          <w:p w14:paraId="46A3F3C2" w14:textId="77777777" w:rsidR="004F529F" w:rsidRDefault="004F529F">
            <w:pPr>
              <w:rPr>
                <w:rFonts w:hint="cs"/>
              </w:rPr>
            </w:pPr>
            <w:r>
              <w:rPr>
                <w:rtl/>
              </w:rPr>
              <w:t xml:space="preserve">סעיף 7 </w:t>
            </w:r>
          </w:p>
        </w:tc>
      </w:tr>
      <w:tr w:rsidR="004F529F" w14:paraId="587B9F0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1990F4C" w14:textId="77777777" w:rsidR="004F529F" w:rsidRDefault="004F529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Seif7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7EC97A5" w14:textId="77777777" w:rsidR="004F529F" w:rsidRDefault="004F529F">
            <w:pPr>
              <w:rPr>
                <w:rFonts w:hint="cs"/>
              </w:rPr>
            </w:pPr>
            <w:hyperlink w:anchor="Seif7" w:tooltip="סופיות ה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828841" w14:textId="77777777" w:rsidR="004F529F" w:rsidRDefault="004F529F">
            <w:pPr>
              <w:rPr>
                <w:rtl/>
              </w:rPr>
            </w:pPr>
            <w:r>
              <w:rPr>
                <w:rtl/>
              </w:rPr>
              <w:t>סופיות הדיון</w:t>
            </w:r>
          </w:p>
        </w:tc>
        <w:tc>
          <w:tcPr>
            <w:tcW w:w="1247" w:type="dxa"/>
          </w:tcPr>
          <w:p w14:paraId="7CB21FD1" w14:textId="77777777" w:rsidR="004F529F" w:rsidRDefault="004F529F">
            <w:pPr>
              <w:rPr>
                <w:rFonts w:hint="cs"/>
              </w:rPr>
            </w:pPr>
            <w:r>
              <w:rPr>
                <w:rtl/>
              </w:rPr>
              <w:t xml:space="preserve">סעיף 8 </w:t>
            </w:r>
          </w:p>
        </w:tc>
      </w:tr>
      <w:tr w:rsidR="004F529F" w14:paraId="2212979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99053AB" w14:textId="77777777" w:rsidR="004F529F" w:rsidRDefault="004F529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Seif8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50E67A39" w14:textId="77777777" w:rsidR="004F529F" w:rsidRDefault="004F529F">
            <w:pPr>
              <w:rPr>
                <w:rFonts w:hint="cs"/>
              </w:rPr>
            </w:pPr>
            <w:hyperlink w:anchor="Seif8" w:tooltip="תחולת תקנות שעת חיר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EBB1E7" w14:textId="77777777" w:rsidR="004F529F" w:rsidRDefault="004F529F">
            <w:pPr>
              <w:rPr>
                <w:rtl/>
              </w:rPr>
            </w:pPr>
            <w:r>
              <w:rPr>
                <w:rtl/>
              </w:rPr>
              <w:t>תחולת תקנות שעת חירום</w:t>
            </w:r>
          </w:p>
        </w:tc>
        <w:tc>
          <w:tcPr>
            <w:tcW w:w="1247" w:type="dxa"/>
          </w:tcPr>
          <w:p w14:paraId="5114B28C" w14:textId="77777777" w:rsidR="004F529F" w:rsidRDefault="004F529F">
            <w:pPr>
              <w:rPr>
                <w:rFonts w:hint="cs"/>
              </w:rPr>
            </w:pPr>
            <w:r>
              <w:rPr>
                <w:rtl/>
              </w:rPr>
              <w:t xml:space="preserve">סעיף 9 </w:t>
            </w:r>
          </w:p>
        </w:tc>
      </w:tr>
      <w:tr w:rsidR="004F529F" w14:paraId="72CF79A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E4DBFC3" w14:textId="77777777" w:rsidR="004F529F" w:rsidRDefault="004F529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Seif9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7C2821E" w14:textId="77777777" w:rsidR="004F529F" w:rsidRDefault="004F529F">
            <w:pPr>
              <w:rPr>
                <w:rFonts w:hint="cs"/>
              </w:rPr>
            </w:pPr>
            <w:hyperlink w:anchor="Seif9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06906B" w14:textId="77777777" w:rsidR="004F529F" w:rsidRDefault="004F529F">
            <w:pPr>
              <w:rPr>
                <w:rtl/>
              </w:rPr>
            </w:pPr>
            <w:r>
              <w:rPr>
                <w:rtl/>
              </w:rPr>
              <w:t>ביצוע ותקנות</w:t>
            </w:r>
          </w:p>
        </w:tc>
        <w:tc>
          <w:tcPr>
            <w:tcW w:w="1247" w:type="dxa"/>
          </w:tcPr>
          <w:p w14:paraId="72DF1257" w14:textId="77777777" w:rsidR="004F529F" w:rsidRDefault="004F529F">
            <w:pPr>
              <w:rPr>
                <w:rFonts w:hint="cs"/>
              </w:rPr>
            </w:pPr>
            <w:r>
              <w:rPr>
                <w:rtl/>
              </w:rPr>
              <w:t xml:space="preserve">סעיף 10 </w:t>
            </w:r>
          </w:p>
        </w:tc>
      </w:tr>
    </w:tbl>
    <w:p w14:paraId="1C7B0B28" w14:textId="77777777" w:rsidR="004F529F" w:rsidRDefault="004F529F">
      <w:pPr>
        <w:pStyle w:val="big-header"/>
        <w:ind w:left="0" w:right="1134"/>
        <w:rPr>
          <w:rFonts w:cs="FrankRuehl" w:hint="cs"/>
          <w:sz w:val="32"/>
          <w:rtl/>
        </w:rPr>
      </w:pPr>
    </w:p>
    <w:p w14:paraId="3767D160" w14:textId="77777777" w:rsidR="004F529F" w:rsidRPr="0072017F" w:rsidRDefault="004F529F" w:rsidP="0072017F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 xml:space="preserve">חוק עונש מאסר שגזר בית משפט צבאי בחבל עזה (הוראות מעבר),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תשס"ז-2007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4D83388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7FB57F96">
          <v:rect id="_x0000_s1026" style="position:absolute;left:0;text-align:left;margin-left:464.35pt;margin-top:7.1pt;width:75.05pt;height:8.95pt;z-index:251653120" o:allowincell="f" filled="f" stroked="f" strokecolor="lime" strokeweight=".25pt">
            <v:textbox style="mso-next-textbox:#_x0000_s1026" inset="0,0,0,0">
              <w:txbxContent>
                <w:p w14:paraId="6176D422" w14:textId="77777777" w:rsidR="004F529F" w:rsidRDefault="004F529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בחוק זה –</w:t>
      </w:r>
    </w:p>
    <w:p w14:paraId="153DB237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"בית משפט צבאי בחבל עזה" – בית משפט צבאי או בית משפט צבאי לערעורים, שכוננו לפי הצו;</w:t>
      </w:r>
    </w:p>
    <w:p w14:paraId="7AEA983B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"הצו" – צו בדבר הוראות ביטחון (אזור חבל עזה), התש"ל</w:t>
      </w:r>
      <w:r>
        <w:rPr>
          <w:rStyle w:val="default"/>
          <w:rFonts w:cs="FrankRuehl" w:hint="cs"/>
          <w:rtl/>
        </w:rPr>
        <w:t>-1970</w:t>
      </w:r>
      <w:r>
        <w:rPr>
          <w:rStyle w:val="default"/>
          <w:rFonts w:cs="FrankRuehl"/>
          <w:rtl/>
        </w:rPr>
        <w:t>, שהוציא מפקד כוחות צבא הגנה לישראל באזור חבל עזה;</w:t>
      </w:r>
    </w:p>
    <w:p w14:paraId="14DF0EBD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"חוק השיפוט הצבאי" – חוק השיפוט הצבאי, התשט"ו</w:t>
      </w:r>
      <w:r>
        <w:rPr>
          <w:rStyle w:val="default"/>
          <w:rFonts w:cs="FrankRuehl" w:hint="cs"/>
          <w:rtl/>
        </w:rPr>
        <w:t>-1955</w:t>
      </w:r>
      <w:r>
        <w:rPr>
          <w:rStyle w:val="default"/>
          <w:rFonts w:cs="FrankRuehl"/>
          <w:rtl/>
        </w:rPr>
        <w:t>;</w:t>
      </w:r>
    </w:p>
    <w:p w14:paraId="4C453383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"מאסר" – לרבות מאסר בשל אי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תשלום קנס ומאסר על תנאי, בין שהופעל ובין שטרם הופעל;</w:t>
      </w:r>
    </w:p>
    <w:p w14:paraId="15D6140A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"שופט צבאי-משפטאי" – כמשמעותו בחוק השיפוט הצבאי.</w:t>
      </w:r>
    </w:p>
    <w:p w14:paraId="50CB893E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70ECAA94">
          <v:rect id="_x0000_s1214" style="position:absolute;left:0;text-align:left;margin-left:464.35pt;margin-top:7.1pt;width:75.05pt;height:23.65pt;z-index:251654144" o:allowincell="f" filled="f" stroked="f" strokecolor="lime" strokeweight=".25pt">
            <v:textbox style="mso-next-textbox:#_x0000_s1214" inset="0,0,0,0">
              <w:txbxContent>
                <w:p w14:paraId="7A1EABCE" w14:textId="77777777" w:rsidR="004F529F" w:rsidRDefault="004F529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דין עונש מאסר שגזר בית משפט צבאי בחבל עזה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עונש מאסר שגזר בית משפט צבאי בחבל עזה לפני תחילתו של חוק זה, יבוצע בישראל,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ודינו, בכפוף להוראות חוק זה, לכל דבר וענין לרבות לענין חנינה, קציבה, הקלה בעונש או שחרור מוקדם ממאסר, כדין עונש מאסר שנגזר בישראל.</w:t>
      </w:r>
    </w:p>
    <w:p w14:paraId="2B5CDF8C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4258F12B">
          <v:rect id="_x0000_s1215" style="position:absolute;left:0;text-align:left;margin-left:464.35pt;margin-top:7.1pt;width:75.05pt;height:13.7pt;z-index:251655168" o:allowincell="f" filled="f" stroked="f" strokecolor="lime" strokeweight=".25pt">
            <v:textbox style="mso-next-textbox:#_x0000_s1215" inset="0,0,0,0">
              <w:txbxContent>
                <w:p w14:paraId="68A85843" w14:textId="77777777" w:rsidR="004F529F" w:rsidRDefault="004F529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חישוב תקופת המאסר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גזר בית משפט צבאי בחבל עזה עונש מאסר, כאמור בסעיף 2, תהיה תקופת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המאסר שעל האסיר לשאת בישראל, התקופה שנגזרה על ידי בית המשפט הצבאי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כאמור, גם אם העונש שנגזר חמור מהעונש המרבי שניתן להטיל בשל אותה עבירה לפי הדין בישראל.</w:t>
      </w:r>
    </w:p>
    <w:p w14:paraId="24F8D767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בלי לגרוע מהוראות סעיף קטן (א), הוראות סעיף 41 לחוק העונשין, התשל"ז-</w:t>
      </w:r>
      <w:r>
        <w:rPr>
          <w:rStyle w:val="default"/>
          <w:rFonts w:cs="FrankRuehl" w:hint="cs"/>
          <w:rtl/>
        </w:rPr>
        <w:t>1977</w:t>
      </w:r>
      <w:r>
        <w:rPr>
          <w:rStyle w:val="default"/>
          <w:rFonts w:cs="FrankRuehl"/>
          <w:rtl/>
        </w:rPr>
        <w:t>, לא יחולו על עונש מאסר עולם שגזר בית משפט צבאי בחבל עזה, כאמור בסעיף 2, ויראו עונש מאסר עולם כאמור כעונש מאסר לתקופה בלתי קצובה.</w:t>
      </w:r>
    </w:p>
    <w:p w14:paraId="796C4037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 w14:anchorId="6928CCC5">
          <v:rect id="_x0000_s1216" style="position:absolute;left:0;text-align:left;margin-left:464.35pt;margin-top:7.1pt;width:75.05pt;height:24.2pt;z-index:251656192" o:allowincell="f" filled="f" stroked="f" strokecolor="lime" strokeweight=".25pt">
            <v:textbox style="mso-next-textbox:#_x0000_s1216" inset="0,0,0,0">
              <w:txbxContent>
                <w:p w14:paraId="3B0A3D49" w14:textId="77777777" w:rsidR="004F529F" w:rsidRDefault="004F529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הפעלת מאסר על תנאי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גזר בית משפט צבאי בחבל עזה עונש מאסר על תנאי, או הומר עונש מאסר שגזר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בית משפט צבאי כאמור לעונש מאסר על תנאי, במסגרת החלטה בדבר הקלה בעונש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שניתנה בהתאם לצו, יראו את עונש המאסר על תנאי, לענין הפעלתו, כאילו נגזר בידי בית משפט בישראל.</w:t>
      </w:r>
    </w:p>
    <w:p w14:paraId="48E867DB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אוזכרה בגזר הדין שבו נגזר עונש מאסר על תנאי או בהחלטה בדבר הקלה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בעונש, שבמסגרתה הומר עונש מאסר לעונש מאסר על תנאי, כאמור בסעיף קטן (א),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עבירה לפי הוראת דבר חקיקה שהוציא מפקד כוחות צבא הגנה לישראל באזור חבל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עזה, יראו את גזר הדין או את ההחלטה כאמור כמאזכרים עבירה הדומה לה במהותה לפי הדין בישראל.</w:t>
      </w:r>
    </w:p>
    <w:p w14:paraId="16E5095D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lang w:val="he-IL"/>
        </w:rPr>
        <w:pict w14:anchorId="5D448CB6">
          <v:rect id="_x0000_s1217" style="position:absolute;left:0;text-align:left;margin-left:464.35pt;margin-top:7.1pt;width:75.05pt;height:30.65pt;z-index:251657216" o:allowincell="f" filled="f" stroked="f" strokecolor="lime" strokeweight=".25pt">
            <v:textbox style="mso-next-textbox:#_x0000_s1217" inset="0,0,0,0">
              <w:txbxContent>
                <w:p w14:paraId="481C45DB" w14:textId="77777777" w:rsidR="004F529F" w:rsidRDefault="004F529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ערעור על פסק דין של בית משפט צבאי בחבל עזה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בסעיף זה –</w:t>
      </w:r>
    </w:p>
    <w:p w14:paraId="6BA4EF3A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"בית המשפט הצבאי לערעורים" – בית המשפט הצבאי לערעורים שכונן לפי הצו;</w:t>
      </w:r>
    </w:p>
    <w:p w14:paraId="317A77FC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"בית משפט צבאי בחבל עזה" – למעט בית המשפט הצבאי לערעורים;</w:t>
      </w:r>
    </w:p>
    <w:p w14:paraId="4259D863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"בית הדין הצבאי לערעורים" – כמשמעותו בחוק השיפוט הצבאי.</w:t>
      </w:r>
    </w:p>
    <w:p w14:paraId="0BCF1FA4" w14:textId="77777777" w:rsidR="004F529F" w:rsidRDefault="004F529F">
      <w:pPr>
        <w:pStyle w:val="P00"/>
        <w:spacing w:before="72"/>
        <w:ind w:left="1021" w:right="1134" w:hanging="1021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מוקם בזה בית דין צבאי מיוחד לערעורים (להלן – בית הדין הצבאי המיוחד לערעורים), אשר ידון בערעורים לפי סעיף זה ובמשפטים חוזרים לפי סעיף 7.</w:t>
      </w:r>
    </w:p>
    <w:p w14:paraId="23FD899B" w14:textId="77777777" w:rsidR="004F529F" w:rsidRDefault="004F529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מקום מושבו של בית הדין הצבאי המיוחד לערעורים ייקבע על ידי ראש המטה הכללי של צבא הגנה לישראל (בסעיף זה – הרמטכ"ל).</w:t>
      </w:r>
    </w:p>
    <w:p w14:paraId="5094CD88" w14:textId="77777777" w:rsidR="004F529F" w:rsidRDefault="004F529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הרמטכ"ל, בהמלצת נשיא בית הדין הצבאי לערעורים, ימנה שופטים לבית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הדין הצבאי המיוחד לערעורים מקרב שופטים צבאיים-משפטאים של בית הדין הצבאי לערעורים.</w:t>
      </w:r>
    </w:p>
    <w:p w14:paraId="779DCC85" w14:textId="77777777" w:rsidR="004F529F" w:rsidRDefault="004F529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הרמטכ"ל, בהמלצת נשיא בית הדין הצבאי לערעורים, ימנה מבין השופטים שמונו כאמור בפסקה 3, נשיא לבית הדין הצבאי המיוחד לערעורים.</w:t>
      </w:r>
    </w:p>
    <w:p w14:paraId="7BBBFCA7" w14:textId="77777777" w:rsidR="004F529F" w:rsidRDefault="004F529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מותב בית הדין הצבאי המיוחד לערעורים יורכב על ידי נשיאו מבין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השופטים </w:t>
      </w:r>
      <w:r>
        <w:rPr>
          <w:rStyle w:val="default"/>
          <w:rFonts w:cs="FrankRuehl"/>
          <w:rtl/>
        </w:rPr>
        <w:lastRenderedPageBreak/>
        <w:t>הצבאיים-משפטאים של בית דין זה; בית הדין ידון בשלושה, ואולם בהתקיים אחת מהנסיבות המנויות בסעיף 215 לחוק השיפוט הצבאי, בשינויים המחויבים, ידון בחמישה.</w:t>
      </w:r>
    </w:p>
    <w:p w14:paraId="75D89A0F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פסק דין שנתן בית משפט צבאי בחבל עזה לפני תחילתו של חוק זה, ושביום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ח' באלול התשס"ה (12 בספטמבר 2005) (בסעיף זה – המועד הקובע) טרם חלף המועד להגשת ערעור עליו בהתאם לצו, ניתן לערעור, בתוך 30 ימים מיום תחילתו של חוק זה לפני בית הדין הצבאי המיוחד לערעורים.</w:t>
      </w:r>
    </w:p>
    <w:p w14:paraId="119B3A59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היה ערעור על פסק דין של בית משפט צבאי בחבל עזה תלוי ועומד במועד הקובע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בבית המשפט הצבאי לערעורים בהתאם לצו, ידון בו בית הדין הצבאי המיוחד לערעורים, ורשאי הוא להמשיך ולדון בו מן השלב שאליו הגיע בית המשפט הצבאי לערעורים.</w:t>
      </w:r>
    </w:p>
    <w:p w14:paraId="0B1A166B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(ה)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בית הדין הצבאי המיוחד לערעורים ידון בערעורים לפי סעיף זה בהתאם לדין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שלפיו דן בית המשפט הצבאי לערעורים ויהיו לו כל הסמכויות שהיו לבית המשפט הצבאי לערעורים, אלא אם כן נקבע אחרת בהוראות סעיף זה.</w:t>
      </w:r>
    </w:p>
    <w:p w14:paraId="02DAAF30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(ו)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הוראות סעיפים </w:t>
      </w:r>
      <w:r>
        <w:rPr>
          <w:rStyle w:val="default"/>
          <w:rFonts w:cs="FrankRuehl" w:hint="cs"/>
          <w:rtl/>
        </w:rPr>
        <w:t>221, 222, 224, 324</w:t>
      </w:r>
      <w:r>
        <w:rPr>
          <w:rStyle w:val="default"/>
          <w:rFonts w:cs="FrankRuehl"/>
          <w:rtl/>
        </w:rPr>
        <w:t xml:space="preserve"> עד 326ב, 405(ב), </w:t>
      </w:r>
      <w:r>
        <w:rPr>
          <w:rStyle w:val="default"/>
          <w:rFonts w:cs="FrankRuehl" w:hint="cs"/>
          <w:rtl/>
        </w:rPr>
        <w:t>414, 419</w:t>
      </w:r>
      <w:r>
        <w:rPr>
          <w:rStyle w:val="default"/>
          <w:rFonts w:cs="FrankRuehl"/>
          <w:rtl/>
        </w:rPr>
        <w:t xml:space="preserve"> עד </w:t>
      </w:r>
      <w:r>
        <w:rPr>
          <w:rStyle w:val="default"/>
          <w:rFonts w:cs="FrankRuehl" w:hint="cs"/>
          <w:rtl/>
        </w:rPr>
        <w:t>422, 424</w:t>
      </w:r>
      <w:r>
        <w:rPr>
          <w:rStyle w:val="default"/>
          <w:rFonts w:cs="FrankRuehl"/>
          <w:rtl/>
        </w:rPr>
        <w:t xml:space="preserve"> עד 435, 436 למעט הסיפה של פסקה (1)(ה) החל במילים "או לבטלו ולהחזיר", 439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440 לחוק השיפוט הצבאי יחולו, בשינויים המחויבים, על הליכי ערעור לפני בית הדין הצבאי המיוחד לערעורים.</w:t>
      </w:r>
    </w:p>
    <w:p w14:paraId="1A7F6D47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(ז)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בכל ענין של סדרי דין שלא הוסדר בחוק זה ינהג בית הדין הצבאי המיוחד לערעורים בדרך הנראית לו צודקת ויעילה בנסיבות הענין.</w:t>
      </w:r>
    </w:p>
    <w:p w14:paraId="258FF00C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rFonts w:cs="Miriam"/>
          <w:lang w:val="he-IL"/>
        </w:rPr>
        <w:pict w14:anchorId="29D71895">
          <v:rect id="_x0000_s1265" style="position:absolute;left:0;text-align:left;margin-left:464.35pt;margin-top:7.1pt;width:75.05pt;height:27.35pt;z-index:251658240" o:allowincell="f" filled="f" stroked="f" strokecolor="lime" strokeweight=".25pt">
            <v:textbox style="mso-next-textbox:#_x0000_s1265" inset="0,0,0,0">
              <w:txbxContent>
                <w:p w14:paraId="4195CFF1" w14:textId="77777777" w:rsidR="004F529F" w:rsidRDefault="004F529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דין פסק דין של בית משפט צבאי מיוחד לערעורים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לענין סעיפים 2 עד 4, דין פסק דין של בית הדין הצבאי המיוחד לערעורים כדין פסק דין של בית המשפט הצבאי לערעורים שניתן לפני תחילתו של חוק זה.</w:t>
      </w:r>
    </w:p>
    <w:p w14:paraId="1DF8D022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rFonts w:cs="Miriam"/>
          <w:lang w:val="he-IL"/>
        </w:rPr>
        <w:pict w14:anchorId="3BD6C646">
          <v:rect id="_x0000_s1266" style="position:absolute;left:0;text-align:left;margin-left:464.35pt;margin-top:7.1pt;width:75.05pt;height:12.45pt;z-index:251659264" o:allowincell="f" filled="f" stroked="f" strokecolor="lime" strokeweight=".25pt">
            <v:textbox style="mso-next-textbox:#_x0000_s1266" inset="0,0,0,0">
              <w:txbxContent>
                <w:p w14:paraId="4974A291" w14:textId="77777777" w:rsidR="004F529F" w:rsidRDefault="004F529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משפט חוזר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נשיא בית הדין הצבאי לערעורים או המשנה לנשיא בית הדין הצבאי לערעורים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(בסעיף זה – נשיא בית הדין הצבאי לערעורים), רשאי להורות על עריכת משפט חוזר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למי שניתן עליו פסק דין חלוט בבית המשפט הצבאי בחבל עזה, בבית המשפט הצבאי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לערעורים ובבית הדין הצבאי המיוחד לערעורים בהתקיים אחד מהמקרים האמורים בסעיף 445(ב) לחוק השיפוט הצבאי, בשינויים המחויבים.</w:t>
      </w:r>
    </w:p>
    <w:p w14:paraId="6D555EAC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הורה נשיא בית הדין הצבאי לערעורים על עריכת משפט חוזר, יורכב מותב מיוחד של בית דין צבאי מיוחד לערעורים ולפניו יתברר המשפט.</w:t>
      </w:r>
    </w:p>
    <w:p w14:paraId="7F1DE0C5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הוראות סעיפים 446 עד </w:t>
      </w:r>
      <w:r>
        <w:rPr>
          <w:rStyle w:val="default"/>
          <w:rFonts w:cs="FrankRuehl" w:hint="cs"/>
          <w:rtl/>
        </w:rPr>
        <w:t>449, 451</w:t>
      </w:r>
      <w:r>
        <w:rPr>
          <w:rStyle w:val="default"/>
          <w:rFonts w:cs="FrankRuehl"/>
          <w:rtl/>
        </w:rPr>
        <w:t xml:space="preserve"> עד </w:t>
      </w:r>
      <w:r>
        <w:rPr>
          <w:rStyle w:val="default"/>
          <w:rFonts w:cs="FrankRuehl" w:hint="cs"/>
          <w:rtl/>
        </w:rPr>
        <w:t>455, 456</w:t>
      </w:r>
      <w:r>
        <w:rPr>
          <w:rStyle w:val="default"/>
          <w:rFonts w:cs="FrankRuehl"/>
          <w:rtl/>
        </w:rPr>
        <w:t>א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457 לחוק השיפוט הצבאי יחולו על משפט חוזר לפי סעיף זה, בשינויים המחויבים ובשינוי זה: בכל מקום שבו נאמר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בסעיפים האמורים, למעט בסעיפים 448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456א, "בית הדין הצבאי לערעורים" או "בית הדין", ייקרא "בית הדין הצבאי המיוחד לערעורים".</w:t>
      </w:r>
    </w:p>
    <w:p w14:paraId="3844E22C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סעיף 31 לחוק בתי המשפט [נוסח חדש], התשמ"ד</w:t>
      </w:r>
      <w:r>
        <w:rPr>
          <w:rStyle w:val="default"/>
          <w:rFonts w:cs="FrankRuehl" w:hint="cs"/>
          <w:rtl/>
        </w:rPr>
        <w:t>-1984</w:t>
      </w:r>
      <w:r>
        <w:rPr>
          <w:rStyle w:val="default"/>
          <w:rFonts w:cs="FrankRuehl"/>
          <w:rtl/>
        </w:rPr>
        <w:t>, לא יחול על פסקי דין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של בית המשפט הצבאי בחבל עזה, בית המשפט הצבאי לערעורים ובית הדין הצבאי המיוחד לערעורים.</w:t>
      </w:r>
    </w:p>
    <w:p w14:paraId="45A58E85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rFonts w:cs="Miriam"/>
          <w:lang w:val="he-IL"/>
        </w:rPr>
        <w:pict w14:anchorId="39814379">
          <v:rect id="_x0000_s1267" style="position:absolute;left:0;text-align:left;margin-left:464.35pt;margin-top:7.1pt;width:75.05pt;height:13.85pt;z-index:251660288" o:allowincell="f" filled="f" stroked="f" strokecolor="lime" strokeweight=".25pt">
            <v:textbox style="mso-next-textbox:#_x0000_s1267" inset="0,0,0,0">
              <w:txbxContent>
                <w:p w14:paraId="21307568" w14:textId="77777777" w:rsidR="004F529F" w:rsidRDefault="004F529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סופיות הדיון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החלטה ופסק דין בערעור, החלטה על משפט חוזר והחלטה ופסק דין במשפט חוזר לפי חוק זה הם סופיים, ואין עליהם ערעור.</w:t>
      </w:r>
    </w:p>
    <w:p w14:paraId="7B596AAA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8"/>
      <w:bookmarkEnd w:id="8"/>
      <w:r>
        <w:rPr>
          <w:rFonts w:cs="Miriam"/>
          <w:lang w:val="he-IL"/>
        </w:rPr>
        <w:pict w14:anchorId="2F063CD8">
          <v:rect id="_x0000_s1268" style="position:absolute;left:0;text-align:left;margin-left:464.35pt;margin-top:7.1pt;width:75.05pt;height:22.8pt;z-index:251661312" o:allowincell="f" filled="f" stroked="f" strokecolor="lime" strokeweight=".25pt">
            <v:textbox style="mso-next-textbox:#_x0000_s1268" inset="0,0,0,0">
              <w:txbxContent>
                <w:p w14:paraId="6CD932CF" w14:textId="77777777" w:rsidR="004F529F" w:rsidRDefault="004F529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תחולת תקנות שעת חירום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אסיר שהוראות חוק זה חלות עליו, לא יחולו עליו עוד הוראות תקנה 6(א) לתקנות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שבתוספת לחוק להארכת תוקפן של תקנות שעת חירום (יהודה והשומרון וחבל עזה – שיפוט בעבירות ועזרה משפטית), התשכ"ח</w:t>
      </w:r>
      <w:r>
        <w:rPr>
          <w:rStyle w:val="default"/>
          <w:rFonts w:cs="FrankRuehl" w:hint="cs"/>
          <w:rtl/>
        </w:rPr>
        <w:t>-1967</w:t>
      </w:r>
      <w:r>
        <w:rPr>
          <w:rStyle w:val="default"/>
          <w:rFonts w:cs="FrankRuehl"/>
          <w:rtl/>
        </w:rPr>
        <w:t>.</w:t>
      </w:r>
    </w:p>
    <w:p w14:paraId="305E009B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9"/>
      <w:bookmarkEnd w:id="9"/>
      <w:r>
        <w:rPr>
          <w:rFonts w:cs="Miriam"/>
          <w:lang w:val="he-IL"/>
        </w:rPr>
        <w:pict w14:anchorId="1D58F3AD">
          <v:rect id="_x0000_s1269" style="position:absolute;left:0;text-align:left;margin-left:464.35pt;margin-top:7.1pt;width:75.05pt;height:13.85pt;z-index:251662336" o:allowincell="f" filled="f" stroked="f" strokecolor="lime" strokeweight=".25pt">
            <v:textbox style="mso-next-textbox:#_x0000_s1269" inset="0,0,0,0">
              <w:txbxContent>
                <w:p w14:paraId="31209523" w14:textId="77777777" w:rsidR="004F529F" w:rsidRDefault="004F529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שר המשפטים ממונה על ביצוע חוק זה, והוא רשאי להתקין תקנות לביצועו.</w:t>
      </w:r>
    </w:p>
    <w:p w14:paraId="214A1619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3E841D" w14:textId="77777777" w:rsidR="004F529F" w:rsidRDefault="004F52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5F2DDE" w14:textId="77777777" w:rsidR="004F529F" w:rsidRDefault="004F529F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אהוד אולמרט</w:t>
      </w: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דניאל פרידמן</w:t>
      </w:r>
    </w:p>
    <w:p w14:paraId="156F759E" w14:textId="77777777" w:rsidR="004F529F" w:rsidRDefault="004F529F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  <w:t>ראש הממשלה</w:t>
      </w: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  <w:t>שר המשפטים</w:t>
      </w:r>
    </w:p>
    <w:p w14:paraId="6FFFEB50" w14:textId="77777777" w:rsidR="004F529F" w:rsidRDefault="004F529F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דליה איציק</w:t>
      </w: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דליה איציק</w:t>
      </w:r>
    </w:p>
    <w:p w14:paraId="47F34FC0" w14:textId="77777777" w:rsidR="004F529F" w:rsidRDefault="004F529F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ממלאת מקום נשיא המדינה</w:t>
      </w: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  <w:t>יושבת ראש הכנסת</w:t>
      </w:r>
    </w:p>
    <w:p w14:paraId="5C4763F9" w14:textId="77777777" w:rsidR="004F529F" w:rsidRDefault="004F529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39D31E86" w14:textId="77777777" w:rsidR="004F529F" w:rsidRDefault="004F529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346D710" w14:textId="77777777" w:rsidR="004F529F" w:rsidRDefault="004F529F">
      <w:pPr>
        <w:pStyle w:val="sig-0"/>
        <w:ind w:left="0" w:right="1134"/>
        <w:rPr>
          <w:rFonts w:cs="FrankRuehl"/>
          <w:sz w:val="26"/>
          <w:rtl/>
        </w:rPr>
      </w:pPr>
    </w:p>
    <w:sectPr w:rsidR="004F529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95ACE" w14:textId="77777777" w:rsidR="00B74F30" w:rsidRDefault="00B74F30">
      <w:r>
        <w:separator/>
      </w:r>
    </w:p>
  </w:endnote>
  <w:endnote w:type="continuationSeparator" w:id="0">
    <w:p w14:paraId="781ACB53" w14:textId="77777777" w:rsidR="00B74F30" w:rsidRDefault="00B74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2CF0" w14:textId="77777777" w:rsidR="004F529F" w:rsidRDefault="004F529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EFCAEC1" w14:textId="77777777" w:rsidR="004F529F" w:rsidRDefault="004F529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EC90B76" w14:textId="77777777" w:rsidR="004F529F" w:rsidRDefault="004F529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Z:\000000000000-law\yael\07-03-29\table\999_748.doc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122D1" w14:textId="77777777" w:rsidR="004F529F" w:rsidRDefault="004F529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8637C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9C1A157" w14:textId="77777777" w:rsidR="004F529F" w:rsidRDefault="004F529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457525D" w14:textId="77777777" w:rsidR="004F529F" w:rsidRDefault="004F529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Z:\000000000000-law\yael\07-03-29\table\999_748.doc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8F914" w14:textId="77777777" w:rsidR="00B74F30" w:rsidRDefault="00B74F30">
      <w:pPr>
        <w:spacing w:before="60"/>
        <w:ind w:right="1134"/>
      </w:pPr>
      <w:r>
        <w:separator/>
      </w:r>
    </w:p>
  </w:footnote>
  <w:footnote w:type="continuationSeparator" w:id="0">
    <w:p w14:paraId="59377C34" w14:textId="77777777" w:rsidR="00B74F30" w:rsidRDefault="00B74F30">
      <w:pPr>
        <w:spacing w:before="60"/>
        <w:ind w:right="1134"/>
      </w:pPr>
      <w:r>
        <w:separator/>
      </w:r>
    </w:p>
  </w:footnote>
  <w:footnote w:id="1">
    <w:p w14:paraId="192647B6" w14:textId="77777777" w:rsidR="004F529F" w:rsidRDefault="004F529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</w:t>
      </w:r>
      <w:hyperlink r:id="rId1" w:history="1">
        <w:r>
          <w:rPr>
            <w:rStyle w:val="Hyperlink"/>
            <w:rFonts w:cs="FrankRuehl" w:hint="cs"/>
            <w:rtl/>
          </w:rPr>
          <w:t xml:space="preserve"> ס"ח תשס"ז מס' 2090</w:t>
        </w:r>
      </w:hyperlink>
      <w:r>
        <w:rPr>
          <w:rFonts w:cs="FrankRuehl" w:hint="cs"/>
          <w:rtl/>
        </w:rPr>
        <w:t xml:space="preserve"> מיום 28.3.2007 עמ' 158 (</w:t>
      </w:r>
      <w:hyperlink r:id="rId2" w:history="1">
        <w:r>
          <w:rPr>
            <w:rStyle w:val="Hyperlink"/>
            <w:rFonts w:cs="FrankRuehl" w:hint="cs"/>
            <w:rtl/>
          </w:rPr>
          <w:t>ה"ח הממשלה תשס"ו מס' 207</w:t>
        </w:r>
      </w:hyperlink>
      <w:r>
        <w:rPr>
          <w:rFonts w:cs="FrankRuehl" w:hint="cs"/>
          <w:rtl/>
        </w:rPr>
        <w:t xml:space="preserve"> עמ' 6).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2C603" w14:textId="77777777" w:rsidR="004F529F" w:rsidRDefault="004F529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9B3498A" w14:textId="77777777" w:rsidR="004F529F" w:rsidRDefault="004F529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E1914EA" w14:textId="77777777" w:rsidR="004F529F" w:rsidRDefault="004F529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269CA" w14:textId="77777777" w:rsidR="004F529F" w:rsidRDefault="004F529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עונש מאסר שגזר בית משפט צבאי בחבל עזה (הוראות מעבר), תשס"ז-2007</w:t>
    </w:r>
  </w:p>
  <w:p w14:paraId="09A139F6" w14:textId="77777777" w:rsidR="004F529F" w:rsidRDefault="004F529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39421A" w14:textId="77777777" w:rsidR="004F529F" w:rsidRDefault="004F529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49592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017F"/>
    <w:rsid w:val="00056296"/>
    <w:rsid w:val="00271BC4"/>
    <w:rsid w:val="002C3DF4"/>
    <w:rsid w:val="0048637C"/>
    <w:rsid w:val="004F529F"/>
    <w:rsid w:val="0072017F"/>
    <w:rsid w:val="00785FD0"/>
    <w:rsid w:val="00B7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52C4801"/>
  <w15:chartTrackingRefBased/>
  <w15:docId w15:val="{7E7D1988-A871-4460-A78F-03BC487A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5/memshala-207.pdf" TargetMode="External"/><Relationship Id="rId1" Type="http://schemas.openxmlformats.org/officeDocument/2006/relationships/hyperlink" Target="http://www.nevo.co.il/Law_word/law14/law-20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999</vt:lpstr>
    </vt:vector>
  </TitlesOfParts>
  <Company/>
  <LinksUpToDate>false</LinksUpToDate>
  <CharactersWithSpaces>6550</CharactersWithSpaces>
  <SharedDoc>false</SharedDoc>
  <HLinks>
    <vt:vector size="72" baseType="variant"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8126550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http://www.nevo.co.il/Law_word/law15/memshala-207.pdf</vt:lpwstr>
      </vt:variant>
      <vt:variant>
        <vt:lpwstr/>
      </vt:variant>
      <vt:variant>
        <vt:i4>7602185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http://www.nevo.co.il/Law_word/law14/law-2090.pdf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999</dc:title>
  <dc:subject/>
  <dc:creator>Shimon Doodkin</dc:creator>
  <cp:keywords/>
  <dc:description/>
  <cp:lastModifiedBy>Shimon Doodkin</cp:lastModifiedBy>
  <cp:revision>2</cp:revision>
  <dcterms:created xsi:type="dcterms:W3CDTF">2023-06-05T19:05:00Z</dcterms:created>
  <dcterms:modified xsi:type="dcterms:W3CDTF">2023-06-05T19:05:00Z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חוק עונש מאסר שגזר בית משפט צבאי בחבל עזה (הוראות מעבר), תשס"ז-2007</vt:lpwstr>
  </property>
  <property fmtid="{D5CDD505-2E9C-101B-9397-08002B2CF9AE}" pid="4" name="LAWNUMBER">
    <vt:lpwstr>0748</vt:lpwstr>
  </property>
  <property fmtid="{D5CDD505-2E9C-101B-9397-08002B2CF9AE}" pid="5" name="TYPE">
    <vt:lpwstr>01</vt:lpwstr>
  </property>
  <property fmtid="{D5CDD505-2E9C-101B-9397-08002B2CF9AE}" pid="6" name="CHNAME">
    <vt:lpwstr>שיפוט צבאי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http://www.nevo.co.il/Law_word/law14/law-2090.pdf;רשומות - ספר חוקים#פורסם ס"ח תשס"ז מס' 2090 #מיום 28.3.2007 #עמ' 158</vt:lpwstr>
  </property>
  <property fmtid="{D5CDD505-2E9C-101B-9397-08002B2CF9AE}" pid="22" name="NOSE11">
    <vt:lpwstr>בטחון</vt:lpwstr>
  </property>
  <property fmtid="{D5CDD505-2E9C-101B-9397-08002B2CF9AE}" pid="23" name="NOSE21">
    <vt:lpwstr>צה"ל</vt:lpwstr>
  </property>
  <property fmtid="{D5CDD505-2E9C-101B-9397-08002B2CF9AE}" pid="24" name="NOSE31">
    <vt:lpwstr>שיפוט צבאי</vt:lpwstr>
  </property>
  <property fmtid="{D5CDD505-2E9C-101B-9397-08002B2CF9AE}" pid="25" name="NOSE41">
    <vt:lpwstr/>
  </property>
  <property fmtid="{D5CDD505-2E9C-101B-9397-08002B2CF9AE}" pid="26" name="NOSE12">
    <vt:lpwstr>בתי משפט וסדרי דין</vt:lpwstr>
  </property>
  <property fmtid="{D5CDD505-2E9C-101B-9397-08002B2CF9AE}" pid="27" name="NOSE22">
    <vt:lpwstr>בתי משפט ובתי דין</vt:lpwstr>
  </property>
  <property fmtid="{D5CDD505-2E9C-101B-9397-08002B2CF9AE}" pid="28" name="NOSE32">
    <vt:lpwstr>בתי דין צבאיים</vt:lpwstr>
  </property>
  <property fmtid="{D5CDD505-2E9C-101B-9397-08002B2CF9AE}" pid="29" name="NOSE42">
    <vt:lpwstr/>
  </property>
  <property fmtid="{D5CDD505-2E9C-101B-9397-08002B2CF9AE}" pid="30" name="NOSE13">
    <vt:lpwstr>עונשין ומשפט פלילי</vt:lpwstr>
  </property>
  <property fmtid="{D5CDD505-2E9C-101B-9397-08002B2CF9AE}" pid="31" name="NOSE23">
    <vt:lpwstr>דרכי ענישה, מאסר ומעצר</vt:lpwstr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>עונשין ומשפט פלילי</vt:lpwstr>
  </property>
  <property fmtid="{D5CDD505-2E9C-101B-9397-08002B2CF9AE}" pid="35" name="NOSE24">
    <vt:lpwstr>שיפוט צבאי</vt:lpwstr>
  </property>
  <property fmtid="{D5CDD505-2E9C-101B-9397-08002B2CF9AE}" pid="36" name="NOSE34">
    <vt:lpwstr>בית דין צבאי</vt:lpwstr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