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5B1" w:rsidRDefault="007951CA" w:rsidP="007951CA">
      <w:pPr>
        <w:pStyle w:val="big-header"/>
        <w:ind w:left="0" w:right="1134"/>
        <w:rPr>
          <w:rFonts w:cs="FrankRuehl"/>
          <w:sz w:val="32"/>
        </w:rPr>
      </w:pPr>
      <w:r>
        <w:rPr>
          <w:rFonts w:cs="FrankRuehl" w:hint="cs"/>
          <w:sz w:val="32"/>
          <w:rtl/>
        </w:rPr>
        <w:t xml:space="preserve">חוק עזר לבת </w:t>
      </w:r>
      <w:r w:rsidR="007245B1">
        <w:rPr>
          <w:rFonts w:cs="FrankRuehl" w:hint="cs"/>
          <w:sz w:val="32"/>
          <w:rtl/>
        </w:rPr>
        <w:t xml:space="preserve">ים (ביוב), </w:t>
      </w:r>
      <w:r>
        <w:rPr>
          <w:rFonts w:cs="FrankRuehl" w:hint="cs"/>
          <w:sz w:val="32"/>
          <w:rtl/>
        </w:rPr>
        <w:t>תשס"ח-2008</w:t>
      </w:r>
    </w:p>
    <w:p w:rsidR="00F22456" w:rsidRDefault="00F22456" w:rsidP="00F22456">
      <w:pPr>
        <w:spacing w:line="320" w:lineRule="auto"/>
        <w:jc w:val="left"/>
        <w:rPr>
          <w:rtl/>
        </w:rPr>
      </w:pPr>
    </w:p>
    <w:p w:rsidR="00F22456" w:rsidRDefault="00F22456" w:rsidP="00F22456">
      <w:pPr>
        <w:spacing w:line="320" w:lineRule="auto"/>
        <w:jc w:val="left"/>
        <w:rPr>
          <w:rFonts w:cs="FrankRuehl"/>
          <w:szCs w:val="26"/>
          <w:rtl/>
        </w:rPr>
      </w:pPr>
      <w:r w:rsidRPr="00F22456">
        <w:rPr>
          <w:rFonts w:cs="Miriam"/>
          <w:szCs w:val="22"/>
          <w:rtl/>
        </w:rPr>
        <w:t>רשויות ומשפט מנהלי</w:t>
      </w:r>
      <w:r w:rsidRPr="00F22456">
        <w:rPr>
          <w:rFonts w:cs="FrankRuehl"/>
          <w:szCs w:val="26"/>
          <w:rtl/>
        </w:rPr>
        <w:t xml:space="preserve"> – רשויות מקומיות – ביוב</w:t>
      </w:r>
    </w:p>
    <w:p w:rsidR="00F22456" w:rsidRPr="00F22456" w:rsidRDefault="00F22456" w:rsidP="00F22456">
      <w:pPr>
        <w:spacing w:line="320" w:lineRule="auto"/>
        <w:jc w:val="left"/>
        <w:rPr>
          <w:rFonts w:cs="Miriam"/>
          <w:szCs w:val="22"/>
          <w:rtl/>
        </w:rPr>
      </w:pPr>
      <w:r w:rsidRPr="00F22456">
        <w:rPr>
          <w:rFonts w:cs="Miriam"/>
          <w:szCs w:val="22"/>
          <w:rtl/>
        </w:rPr>
        <w:t>רשויות ומשפט מנהלי</w:t>
      </w:r>
      <w:r w:rsidRPr="00F22456">
        <w:rPr>
          <w:rFonts w:cs="FrankRuehl"/>
          <w:szCs w:val="26"/>
          <w:rtl/>
        </w:rPr>
        <w:t xml:space="preserve"> – רשויות מקומיות – חוקי עזר</w:t>
      </w:r>
    </w:p>
    <w:p w:rsidR="007245B1" w:rsidRDefault="007245B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 </w:t>
            </w:r>
          </w:p>
        </w:tc>
        <w:tc>
          <w:tcPr>
            <w:tcW w:w="5669" w:type="dxa"/>
          </w:tcPr>
          <w:p w:rsidR="00952B30" w:rsidRPr="00952B30" w:rsidRDefault="00952B30" w:rsidP="00952B30">
            <w:pPr>
              <w:spacing w:line="240" w:lineRule="auto"/>
              <w:jc w:val="left"/>
              <w:rPr>
                <w:rFonts w:cs="Frankruhel"/>
                <w:sz w:val="24"/>
                <w:rtl/>
              </w:rPr>
            </w:pPr>
            <w:r>
              <w:rPr>
                <w:sz w:val="24"/>
                <w:rtl/>
              </w:rPr>
              <w:t>הגדרות</w:t>
            </w:r>
          </w:p>
        </w:tc>
        <w:tc>
          <w:tcPr>
            <w:tcW w:w="567" w:type="dxa"/>
          </w:tcPr>
          <w:p w:rsidR="00952B30" w:rsidRPr="00952B30" w:rsidRDefault="00952B30" w:rsidP="00952B30">
            <w:pPr>
              <w:spacing w:line="240" w:lineRule="auto"/>
              <w:jc w:val="left"/>
              <w:rPr>
                <w:rStyle w:val="Hyperlink"/>
                <w:rtl/>
              </w:rPr>
            </w:pPr>
            <w:hyperlink w:anchor="Seif1" w:tooltip="הגדרות"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2 </w:t>
            </w:r>
          </w:p>
        </w:tc>
        <w:tc>
          <w:tcPr>
            <w:tcW w:w="5669" w:type="dxa"/>
          </w:tcPr>
          <w:p w:rsidR="00952B30" w:rsidRPr="00952B30" w:rsidRDefault="00952B30" w:rsidP="00952B30">
            <w:pPr>
              <w:spacing w:line="240" w:lineRule="auto"/>
              <w:jc w:val="left"/>
              <w:rPr>
                <w:rFonts w:cs="Frankruhel"/>
                <w:sz w:val="24"/>
                <w:rtl/>
              </w:rPr>
            </w:pPr>
            <w:r>
              <w:rPr>
                <w:sz w:val="24"/>
                <w:rtl/>
              </w:rPr>
              <w:t>היטל ביוב</w:t>
            </w:r>
          </w:p>
        </w:tc>
        <w:tc>
          <w:tcPr>
            <w:tcW w:w="567" w:type="dxa"/>
          </w:tcPr>
          <w:p w:rsidR="00952B30" w:rsidRPr="00952B30" w:rsidRDefault="00952B30" w:rsidP="00952B30">
            <w:pPr>
              <w:spacing w:line="240" w:lineRule="auto"/>
              <w:jc w:val="left"/>
              <w:rPr>
                <w:rStyle w:val="Hyperlink"/>
                <w:rtl/>
              </w:rPr>
            </w:pPr>
            <w:hyperlink w:anchor="Seif2" w:tooltip="היטל ביוב"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3 </w:t>
            </w:r>
          </w:p>
        </w:tc>
        <w:tc>
          <w:tcPr>
            <w:tcW w:w="5669" w:type="dxa"/>
          </w:tcPr>
          <w:p w:rsidR="00952B30" w:rsidRPr="00952B30" w:rsidRDefault="00952B30" w:rsidP="00952B30">
            <w:pPr>
              <w:spacing w:line="240" w:lineRule="auto"/>
              <w:jc w:val="left"/>
              <w:rPr>
                <w:rFonts w:cs="Frankruhel"/>
                <w:sz w:val="24"/>
                <w:rtl/>
              </w:rPr>
            </w:pPr>
            <w:r>
              <w:rPr>
                <w:sz w:val="24"/>
                <w:rtl/>
              </w:rPr>
              <w:t>חישוב ההיטל לנכס למגורים</w:t>
            </w:r>
          </w:p>
        </w:tc>
        <w:tc>
          <w:tcPr>
            <w:tcW w:w="567" w:type="dxa"/>
          </w:tcPr>
          <w:p w:rsidR="00952B30" w:rsidRPr="00952B30" w:rsidRDefault="00952B30" w:rsidP="00952B30">
            <w:pPr>
              <w:spacing w:line="240" w:lineRule="auto"/>
              <w:jc w:val="left"/>
              <w:rPr>
                <w:rStyle w:val="Hyperlink"/>
                <w:rtl/>
              </w:rPr>
            </w:pPr>
            <w:hyperlink w:anchor="Seif3" w:tooltip="חישוב ההיטל לנכס למגורים"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4 </w:t>
            </w:r>
          </w:p>
        </w:tc>
        <w:tc>
          <w:tcPr>
            <w:tcW w:w="5669" w:type="dxa"/>
          </w:tcPr>
          <w:p w:rsidR="00952B30" w:rsidRPr="00952B30" w:rsidRDefault="00952B30" w:rsidP="00952B30">
            <w:pPr>
              <w:spacing w:line="240" w:lineRule="auto"/>
              <w:jc w:val="left"/>
              <w:rPr>
                <w:rFonts w:cs="Frankruhel"/>
                <w:sz w:val="24"/>
                <w:rtl/>
              </w:rPr>
            </w:pPr>
            <w:r>
              <w:rPr>
                <w:sz w:val="24"/>
                <w:rtl/>
              </w:rPr>
              <w:t>חישוב ההיטל לנכס אחר</w:t>
            </w:r>
          </w:p>
        </w:tc>
        <w:tc>
          <w:tcPr>
            <w:tcW w:w="567" w:type="dxa"/>
          </w:tcPr>
          <w:p w:rsidR="00952B30" w:rsidRPr="00952B30" w:rsidRDefault="00952B30" w:rsidP="00952B30">
            <w:pPr>
              <w:spacing w:line="240" w:lineRule="auto"/>
              <w:jc w:val="left"/>
              <w:rPr>
                <w:rStyle w:val="Hyperlink"/>
                <w:rtl/>
              </w:rPr>
            </w:pPr>
            <w:hyperlink w:anchor="Seif4" w:tooltip="חישוב ההיטל לנכס אחר"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5 </w:t>
            </w:r>
          </w:p>
        </w:tc>
        <w:tc>
          <w:tcPr>
            <w:tcW w:w="5669" w:type="dxa"/>
          </w:tcPr>
          <w:p w:rsidR="00952B30" w:rsidRPr="00952B30" w:rsidRDefault="00952B30" w:rsidP="00952B30">
            <w:pPr>
              <w:spacing w:line="240" w:lineRule="auto"/>
              <w:jc w:val="left"/>
              <w:rPr>
                <w:rFonts w:cs="Frankruhel"/>
                <w:sz w:val="24"/>
                <w:rtl/>
              </w:rPr>
            </w:pPr>
            <w:r>
              <w:rPr>
                <w:sz w:val="24"/>
                <w:rtl/>
              </w:rPr>
              <w:t>היטל בשל בניה חורגת</w:t>
            </w:r>
          </w:p>
        </w:tc>
        <w:tc>
          <w:tcPr>
            <w:tcW w:w="567" w:type="dxa"/>
          </w:tcPr>
          <w:p w:rsidR="00952B30" w:rsidRPr="00952B30" w:rsidRDefault="00952B30" w:rsidP="00952B30">
            <w:pPr>
              <w:spacing w:line="240" w:lineRule="auto"/>
              <w:jc w:val="left"/>
              <w:rPr>
                <w:rStyle w:val="Hyperlink"/>
                <w:rtl/>
              </w:rPr>
            </w:pPr>
            <w:hyperlink w:anchor="Seif5" w:tooltip="היטל בשל בניה חורגת"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6 </w:t>
            </w:r>
          </w:p>
        </w:tc>
        <w:tc>
          <w:tcPr>
            <w:tcW w:w="5669" w:type="dxa"/>
          </w:tcPr>
          <w:p w:rsidR="00952B30" w:rsidRPr="00952B30" w:rsidRDefault="00952B30" w:rsidP="00952B30">
            <w:pPr>
              <w:spacing w:line="240" w:lineRule="auto"/>
              <w:jc w:val="left"/>
              <w:rPr>
                <w:rFonts w:cs="Frankruhel"/>
                <w:sz w:val="24"/>
                <w:rtl/>
              </w:rPr>
            </w:pPr>
            <w:r>
              <w:rPr>
                <w:sz w:val="24"/>
                <w:rtl/>
              </w:rPr>
              <w:t>דרישה לתשלום ההיטל</w:t>
            </w:r>
          </w:p>
        </w:tc>
        <w:tc>
          <w:tcPr>
            <w:tcW w:w="567" w:type="dxa"/>
          </w:tcPr>
          <w:p w:rsidR="00952B30" w:rsidRPr="00952B30" w:rsidRDefault="00952B30" w:rsidP="00952B30">
            <w:pPr>
              <w:spacing w:line="240" w:lineRule="auto"/>
              <w:jc w:val="left"/>
              <w:rPr>
                <w:rStyle w:val="Hyperlink"/>
                <w:rtl/>
              </w:rPr>
            </w:pPr>
            <w:hyperlink w:anchor="Seif6" w:tooltip="דרישה לתשלום ההיטל"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7 </w:t>
            </w:r>
          </w:p>
        </w:tc>
        <w:tc>
          <w:tcPr>
            <w:tcW w:w="5669" w:type="dxa"/>
          </w:tcPr>
          <w:p w:rsidR="00952B30" w:rsidRPr="00952B30" w:rsidRDefault="00952B30" w:rsidP="00952B30">
            <w:pPr>
              <w:spacing w:line="240" w:lineRule="auto"/>
              <w:jc w:val="left"/>
              <w:rPr>
                <w:rFonts w:cs="Frankruhel"/>
                <w:sz w:val="24"/>
                <w:rtl/>
              </w:rPr>
            </w:pPr>
            <w:r>
              <w:rPr>
                <w:sz w:val="24"/>
                <w:rtl/>
              </w:rPr>
              <w:t>חיבור ביב פרטי</w:t>
            </w:r>
          </w:p>
        </w:tc>
        <w:tc>
          <w:tcPr>
            <w:tcW w:w="567" w:type="dxa"/>
          </w:tcPr>
          <w:p w:rsidR="00952B30" w:rsidRPr="00952B30" w:rsidRDefault="00952B30" w:rsidP="00952B30">
            <w:pPr>
              <w:spacing w:line="240" w:lineRule="auto"/>
              <w:jc w:val="left"/>
              <w:rPr>
                <w:rStyle w:val="Hyperlink"/>
                <w:rtl/>
              </w:rPr>
            </w:pPr>
            <w:hyperlink w:anchor="Seif9" w:tooltip="חיבור ביב פרטי"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8 </w:t>
            </w:r>
          </w:p>
        </w:tc>
        <w:tc>
          <w:tcPr>
            <w:tcW w:w="5669" w:type="dxa"/>
          </w:tcPr>
          <w:p w:rsidR="00952B30" w:rsidRPr="00952B30" w:rsidRDefault="00952B30" w:rsidP="00952B30">
            <w:pPr>
              <w:spacing w:line="240" w:lineRule="auto"/>
              <w:jc w:val="left"/>
              <w:rPr>
                <w:rFonts w:cs="Frankruhel"/>
                <w:sz w:val="24"/>
                <w:rtl/>
              </w:rPr>
            </w:pPr>
            <w:r>
              <w:rPr>
                <w:sz w:val="24"/>
                <w:rtl/>
              </w:rPr>
              <w:t>התקנת ביב פרטי</w:t>
            </w:r>
          </w:p>
        </w:tc>
        <w:tc>
          <w:tcPr>
            <w:tcW w:w="567" w:type="dxa"/>
          </w:tcPr>
          <w:p w:rsidR="00952B30" w:rsidRPr="00952B30" w:rsidRDefault="00952B30" w:rsidP="00952B30">
            <w:pPr>
              <w:spacing w:line="240" w:lineRule="auto"/>
              <w:jc w:val="left"/>
              <w:rPr>
                <w:rStyle w:val="Hyperlink"/>
                <w:rtl/>
              </w:rPr>
            </w:pPr>
            <w:hyperlink w:anchor="Seif7" w:tooltip="התקנת ביב פרטי"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9 </w:t>
            </w:r>
          </w:p>
        </w:tc>
        <w:tc>
          <w:tcPr>
            <w:tcW w:w="5669" w:type="dxa"/>
          </w:tcPr>
          <w:p w:rsidR="00952B30" w:rsidRPr="00952B30" w:rsidRDefault="00952B30" w:rsidP="00952B30">
            <w:pPr>
              <w:spacing w:line="240" w:lineRule="auto"/>
              <w:jc w:val="left"/>
              <w:rPr>
                <w:rFonts w:cs="Frankruhel"/>
                <w:sz w:val="24"/>
                <w:rtl/>
              </w:rPr>
            </w:pPr>
            <w:r>
              <w:rPr>
                <w:sz w:val="24"/>
                <w:rtl/>
              </w:rPr>
              <w:t>שערוך חובות וחיובים</w:t>
            </w:r>
          </w:p>
        </w:tc>
        <w:tc>
          <w:tcPr>
            <w:tcW w:w="567" w:type="dxa"/>
          </w:tcPr>
          <w:p w:rsidR="00952B30" w:rsidRPr="00952B30" w:rsidRDefault="00952B30" w:rsidP="00952B30">
            <w:pPr>
              <w:spacing w:line="240" w:lineRule="auto"/>
              <w:jc w:val="left"/>
              <w:rPr>
                <w:rStyle w:val="Hyperlink"/>
                <w:rtl/>
              </w:rPr>
            </w:pPr>
            <w:hyperlink w:anchor="Seif8" w:tooltip="שערוך חובות וחיובים"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10 </w:t>
            </w:r>
          </w:p>
        </w:tc>
        <w:tc>
          <w:tcPr>
            <w:tcW w:w="5669" w:type="dxa"/>
          </w:tcPr>
          <w:p w:rsidR="00952B30" w:rsidRPr="00952B30" w:rsidRDefault="00952B30" w:rsidP="00952B30">
            <w:pPr>
              <w:spacing w:line="240" w:lineRule="auto"/>
              <w:jc w:val="left"/>
              <w:rPr>
                <w:rFonts w:cs="Frankruhel"/>
                <w:sz w:val="24"/>
                <w:rtl/>
              </w:rPr>
            </w:pPr>
            <w:r>
              <w:rPr>
                <w:sz w:val="24"/>
                <w:rtl/>
              </w:rPr>
              <w:t>טעות בחיוב</w:t>
            </w:r>
          </w:p>
        </w:tc>
        <w:tc>
          <w:tcPr>
            <w:tcW w:w="567" w:type="dxa"/>
          </w:tcPr>
          <w:p w:rsidR="00952B30" w:rsidRPr="00952B30" w:rsidRDefault="00952B30" w:rsidP="00952B30">
            <w:pPr>
              <w:spacing w:line="240" w:lineRule="auto"/>
              <w:jc w:val="left"/>
              <w:rPr>
                <w:rStyle w:val="Hyperlink"/>
                <w:rtl/>
              </w:rPr>
            </w:pPr>
            <w:hyperlink w:anchor="Seif10" w:tooltip="טעות בחיוב"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11 </w:t>
            </w:r>
          </w:p>
        </w:tc>
        <w:tc>
          <w:tcPr>
            <w:tcW w:w="5669" w:type="dxa"/>
          </w:tcPr>
          <w:p w:rsidR="00952B30" w:rsidRPr="00952B30" w:rsidRDefault="00952B30" w:rsidP="00952B30">
            <w:pPr>
              <w:spacing w:line="240" w:lineRule="auto"/>
              <w:jc w:val="left"/>
              <w:rPr>
                <w:rFonts w:cs="Frankruhel"/>
                <w:sz w:val="24"/>
                <w:rtl/>
              </w:rPr>
            </w:pPr>
            <w:r>
              <w:rPr>
                <w:sz w:val="24"/>
                <w:rtl/>
              </w:rPr>
              <w:t>איסור פגיעה בביוב</w:t>
            </w:r>
          </w:p>
        </w:tc>
        <w:tc>
          <w:tcPr>
            <w:tcW w:w="567" w:type="dxa"/>
          </w:tcPr>
          <w:p w:rsidR="00952B30" w:rsidRPr="00952B30" w:rsidRDefault="00952B30" w:rsidP="00952B30">
            <w:pPr>
              <w:spacing w:line="240" w:lineRule="auto"/>
              <w:jc w:val="left"/>
              <w:rPr>
                <w:rStyle w:val="Hyperlink"/>
                <w:rtl/>
              </w:rPr>
            </w:pPr>
            <w:hyperlink w:anchor="Seif11" w:tooltip="איסור פגיעה בביוב"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12 </w:t>
            </w:r>
          </w:p>
        </w:tc>
        <w:tc>
          <w:tcPr>
            <w:tcW w:w="5669" w:type="dxa"/>
          </w:tcPr>
          <w:p w:rsidR="00952B30" w:rsidRPr="00952B30" w:rsidRDefault="00952B30" w:rsidP="00952B30">
            <w:pPr>
              <w:spacing w:line="240" w:lineRule="auto"/>
              <w:jc w:val="left"/>
              <w:rPr>
                <w:rFonts w:cs="Frankruhel"/>
                <w:sz w:val="24"/>
                <w:rtl/>
              </w:rPr>
            </w:pPr>
            <w:r>
              <w:rPr>
                <w:sz w:val="24"/>
                <w:rtl/>
              </w:rPr>
              <w:t>מסירת הודעות</w:t>
            </w:r>
          </w:p>
        </w:tc>
        <w:tc>
          <w:tcPr>
            <w:tcW w:w="567" w:type="dxa"/>
          </w:tcPr>
          <w:p w:rsidR="00952B30" w:rsidRPr="00952B30" w:rsidRDefault="00952B30" w:rsidP="00952B30">
            <w:pPr>
              <w:spacing w:line="240" w:lineRule="auto"/>
              <w:jc w:val="left"/>
              <w:rPr>
                <w:rStyle w:val="Hyperlink"/>
                <w:rtl/>
              </w:rPr>
            </w:pPr>
            <w:hyperlink w:anchor="Seif12" w:tooltip="מסירת הודעות"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13 </w:t>
            </w:r>
          </w:p>
        </w:tc>
        <w:tc>
          <w:tcPr>
            <w:tcW w:w="5669" w:type="dxa"/>
          </w:tcPr>
          <w:p w:rsidR="00952B30" w:rsidRPr="00952B30" w:rsidRDefault="00952B30" w:rsidP="00952B30">
            <w:pPr>
              <w:spacing w:line="240" w:lineRule="auto"/>
              <w:jc w:val="left"/>
              <w:rPr>
                <w:rFonts w:cs="Frankruhel"/>
                <w:sz w:val="24"/>
                <w:rtl/>
              </w:rPr>
            </w:pPr>
            <w:r>
              <w:rPr>
                <w:sz w:val="24"/>
                <w:rtl/>
              </w:rPr>
              <w:t>אחריות הדדית על בעלי הנכס</w:t>
            </w:r>
          </w:p>
        </w:tc>
        <w:tc>
          <w:tcPr>
            <w:tcW w:w="567" w:type="dxa"/>
          </w:tcPr>
          <w:p w:rsidR="00952B30" w:rsidRPr="00952B30" w:rsidRDefault="00952B30" w:rsidP="00952B30">
            <w:pPr>
              <w:spacing w:line="240" w:lineRule="auto"/>
              <w:jc w:val="left"/>
              <w:rPr>
                <w:rStyle w:val="Hyperlink"/>
                <w:rtl/>
              </w:rPr>
            </w:pPr>
            <w:hyperlink w:anchor="Seif13" w:tooltip="אחריות הדדית על בעלי הנכס"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14 </w:t>
            </w:r>
          </w:p>
        </w:tc>
        <w:tc>
          <w:tcPr>
            <w:tcW w:w="5669" w:type="dxa"/>
          </w:tcPr>
          <w:p w:rsidR="00952B30" w:rsidRPr="00952B30" w:rsidRDefault="00952B30" w:rsidP="00952B30">
            <w:pPr>
              <w:spacing w:line="240" w:lineRule="auto"/>
              <w:jc w:val="left"/>
              <w:rPr>
                <w:rFonts w:cs="Frankruhel"/>
                <w:sz w:val="24"/>
                <w:rtl/>
              </w:rPr>
            </w:pPr>
            <w:r>
              <w:rPr>
                <w:sz w:val="24"/>
                <w:rtl/>
              </w:rPr>
              <w:t>הטלת חיובים מכוח חוקי עזר קודמים</w:t>
            </w:r>
          </w:p>
        </w:tc>
        <w:tc>
          <w:tcPr>
            <w:tcW w:w="567" w:type="dxa"/>
          </w:tcPr>
          <w:p w:rsidR="00952B30" w:rsidRPr="00952B30" w:rsidRDefault="00952B30" w:rsidP="00952B30">
            <w:pPr>
              <w:spacing w:line="240" w:lineRule="auto"/>
              <w:jc w:val="left"/>
              <w:rPr>
                <w:rStyle w:val="Hyperlink"/>
                <w:rtl/>
              </w:rPr>
            </w:pPr>
            <w:hyperlink w:anchor="Seif14" w:tooltip="הטלת חיובים מכוח חוקי עזר קודמים"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15 </w:t>
            </w:r>
          </w:p>
        </w:tc>
        <w:tc>
          <w:tcPr>
            <w:tcW w:w="5669" w:type="dxa"/>
          </w:tcPr>
          <w:p w:rsidR="00952B30" w:rsidRPr="00952B30" w:rsidRDefault="00952B30" w:rsidP="00952B30">
            <w:pPr>
              <w:spacing w:line="240" w:lineRule="auto"/>
              <w:jc w:val="left"/>
              <w:rPr>
                <w:rFonts w:cs="Frankruhel"/>
                <w:sz w:val="24"/>
                <w:rtl/>
              </w:rPr>
            </w:pPr>
            <w:r>
              <w:rPr>
                <w:sz w:val="24"/>
                <w:rtl/>
              </w:rPr>
              <w:t>שמירת דינים</w:t>
            </w:r>
          </w:p>
        </w:tc>
        <w:tc>
          <w:tcPr>
            <w:tcW w:w="567" w:type="dxa"/>
          </w:tcPr>
          <w:p w:rsidR="00952B30" w:rsidRPr="00952B30" w:rsidRDefault="00952B30" w:rsidP="00952B30">
            <w:pPr>
              <w:spacing w:line="240" w:lineRule="auto"/>
              <w:jc w:val="left"/>
              <w:rPr>
                <w:rStyle w:val="Hyperlink"/>
                <w:rtl/>
              </w:rPr>
            </w:pPr>
            <w:hyperlink w:anchor="Seif15" w:tooltip="שמירת דינים"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16 </w:t>
            </w:r>
          </w:p>
        </w:tc>
        <w:tc>
          <w:tcPr>
            <w:tcW w:w="5669" w:type="dxa"/>
          </w:tcPr>
          <w:p w:rsidR="00952B30" w:rsidRPr="00952B30" w:rsidRDefault="00952B30" w:rsidP="00952B30">
            <w:pPr>
              <w:spacing w:line="240" w:lineRule="auto"/>
              <w:jc w:val="left"/>
              <w:rPr>
                <w:rFonts w:cs="Frankruhel"/>
                <w:sz w:val="24"/>
                <w:rtl/>
              </w:rPr>
            </w:pPr>
            <w:r>
              <w:rPr>
                <w:sz w:val="24"/>
                <w:rtl/>
              </w:rPr>
              <w:t>תיקון חוק עזר</w:t>
            </w:r>
          </w:p>
        </w:tc>
        <w:tc>
          <w:tcPr>
            <w:tcW w:w="567" w:type="dxa"/>
          </w:tcPr>
          <w:p w:rsidR="00952B30" w:rsidRPr="00952B30" w:rsidRDefault="00952B30" w:rsidP="00952B30">
            <w:pPr>
              <w:spacing w:line="240" w:lineRule="auto"/>
              <w:jc w:val="left"/>
              <w:rPr>
                <w:rStyle w:val="Hyperlink"/>
                <w:rtl/>
              </w:rPr>
            </w:pPr>
            <w:hyperlink w:anchor="Seif16" w:tooltip="תיקון חוק עזר"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17 </w:t>
            </w:r>
          </w:p>
        </w:tc>
        <w:tc>
          <w:tcPr>
            <w:tcW w:w="5669" w:type="dxa"/>
          </w:tcPr>
          <w:p w:rsidR="00952B30" w:rsidRPr="00952B30" w:rsidRDefault="00952B30" w:rsidP="00952B30">
            <w:pPr>
              <w:spacing w:line="240" w:lineRule="auto"/>
              <w:jc w:val="left"/>
              <w:rPr>
                <w:rFonts w:cs="Frankruhel"/>
                <w:sz w:val="24"/>
                <w:rtl/>
              </w:rPr>
            </w:pPr>
            <w:r>
              <w:rPr>
                <w:sz w:val="24"/>
                <w:rtl/>
              </w:rPr>
              <w:t>מגבלת גביה</w:t>
            </w:r>
          </w:p>
        </w:tc>
        <w:tc>
          <w:tcPr>
            <w:tcW w:w="567" w:type="dxa"/>
          </w:tcPr>
          <w:p w:rsidR="00952B30" w:rsidRPr="00952B30" w:rsidRDefault="00952B30" w:rsidP="00952B30">
            <w:pPr>
              <w:spacing w:line="240" w:lineRule="auto"/>
              <w:jc w:val="left"/>
              <w:rPr>
                <w:rStyle w:val="Hyperlink"/>
                <w:rtl/>
              </w:rPr>
            </w:pPr>
            <w:hyperlink w:anchor="Seif17" w:tooltip="מגבלת גביה"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18 </w:t>
            </w:r>
          </w:p>
        </w:tc>
        <w:tc>
          <w:tcPr>
            <w:tcW w:w="5669" w:type="dxa"/>
          </w:tcPr>
          <w:p w:rsidR="00952B30" w:rsidRPr="00952B30" w:rsidRDefault="00952B30" w:rsidP="00952B30">
            <w:pPr>
              <w:spacing w:line="240" w:lineRule="auto"/>
              <w:jc w:val="left"/>
              <w:rPr>
                <w:rFonts w:cs="Frankruhel"/>
                <w:sz w:val="24"/>
                <w:rtl/>
              </w:rPr>
            </w:pPr>
            <w:r>
              <w:rPr>
                <w:sz w:val="24"/>
                <w:rtl/>
              </w:rPr>
              <w:t>ביטול</w:t>
            </w:r>
          </w:p>
        </w:tc>
        <w:tc>
          <w:tcPr>
            <w:tcW w:w="567" w:type="dxa"/>
          </w:tcPr>
          <w:p w:rsidR="00952B30" w:rsidRPr="00952B30" w:rsidRDefault="00952B30" w:rsidP="00952B30">
            <w:pPr>
              <w:spacing w:line="240" w:lineRule="auto"/>
              <w:jc w:val="left"/>
              <w:rPr>
                <w:rStyle w:val="Hyperlink"/>
                <w:rtl/>
              </w:rPr>
            </w:pPr>
            <w:hyperlink w:anchor="Seif18" w:tooltip="ביטול"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19 </w:t>
            </w:r>
          </w:p>
        </w:tc>
        <w:tc>
          <w:tcPr>
            <w:tcW w:w="5669" w:type="dxa"/>
          </w:tcPr>
          <w:p w:rsidR="00952B30" w:rsidRPr="00952B30" w:rsidRDefault="00952B30" w:rsidP="00952B30">
            <w:pPr>
              <w:spacing w:line="240" w:lineRule="auto"/>
              <w:jc w:val="left"/>
              <w:rPr>
                <w:rFonts w:cs="Frankruhel"/>
                <w:sz w:val="24"/>
                <w:rtl/>
              </w:rPr>
            </w:pPr>
            <w:r>
              <w:rPr>
                <w:sz w:val="24"/>
                <w:rtl/>
              </w:rPr>
              <w:t>תחולה</w:t>
            </w:r>
          </w:p>
        </w:tc>
        <w:tc>
          <w:tcPr>
            <w:tcW w:w="567" w:type="dxa"/>
          </w:tcPr>
          <w:p w:rsidR="00952B30" w:rsidRPr="00952B30" w:rsidRDefault="00952B30" w:rsidP="00952B30">
            <w:pPr>
              <w:spacing w:line="240" w:lineRule="auto"/>
              <w:jc w:val="left"/>
              <w:rPr>
                <w:rStyle w:val="Hyperlink"/>
                <w:rtl/>
              </w:rPr>
            </w:pPr>
            <w:hyperlink w:anchor="Seif19" w:tooltip="תחולה"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r>
              <w:rPr>
                <w:sz w:val="24"/>
                <w:rtl/>
              </w:rPr>
              <w:t xml:space="preserve">סעיף 20 </w:t>
            </w:r>
          </w:p>
        </w:tc>
        <w:tc>
          <w:tcPr>
            <w:tcW w:w="5669" w:type="dxa"/>
          </w:tcPr>
          <w:p w:rsidR="00952B30" w:rsidRPr="00952B30" w:rsidRDefault="00952B30" w:rsidP="00952B30">
            <w:pPr>
              <w:spacing w:line="240" w:lineRule="auto"/>
              <w:jc w:val="left"/>
              <w:rPr>
                <w:rFonts w:cs="Frankruhel"/>
                <w:sz w:val="24"/>
                <w:rtl/>
              </w:rPr>
            </w:pPr>
            <w:r>
              <w:rPr>
                <w:sz w:val="24"/>
                <w:rtl/>
              </w:rPr>
              <w:t>הוראת שעה</w:t>
            </w:r>
          </w:p>
        </w:tc>
        <w:tc>
          <w:tcPr>
            <w:tcW w:w="567" w:type="dxa"/>
          </w:tcPr>
          <w:p w:rsidR="00952B30" w:rsidRPr="00952B30" w:rsidRDefault="00952B30" w:rsidP="00952B30">
            <w:pPr>
              <w:spacing w:line="240" w:lineRule="auto"/>
              <w:jc w:val="left"/>
              <w:rPr>
                <w:rStyle w:val="Hyperlink"/>
                <w:rtl/>
              </w:rPr>
            </w:pPr>
            <w:hyperlink w:anchor="Seif20" w:tooltip="הוראת שעה"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p>
        </w:tc>
        <w:tc>
          <w:tcPr>
            <w:tcW w:w="5669" w:type="dxa"/>
          </w:tcPr>
          <w:p w:rsidR="00952B30" w:rsidRPr="00952B30" w:rsidRDefault="00952B30" w:rsidP="00952B30">
            <w:pPr>
              <w:spacing w:line="240" w:lineRule="auto"/>
              <w:jc w:val="left"/>
              <w:rPr>
                <w:rFonts w:cs="Frankruhel"/>
                <w:sz w:val="24"/>
                <w:rtl/>
              </w:rPr>
            </w:pPr>
            <w:r>
              <w:rPr>
                <w:sz w:val="24"/>
                <w:rtl/>
              </w:rPr>
              <w:t>תוספת</w:t>
            </w:r>
          </w:p>
        </w:tc>
        <w:tc>
          <w:tcPr>
            <w:tcW w:w="567" w:type="dxa"/>
          </w:tcPr>
          <w:p w:rsidR="00952B30" w:rsidRPr="00952B30" w:rsidRDefault="00952B30" w:rsidP="00952B30">
            <w:pPr>
              <w:spacing w:line="240" w:lineRule="auto"/>
              <w:jc w:val="left"/>
              <w:rPr>
                <w:rStyle w:val="Hyperlink"/>
                <w:rtl/>
              </w:rPr>
            </w:pPr>
            <w:hyperlink w:anchor="med0" w:tooltip="תוספת"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p>
        </w:tc>
        <w:tc>
          <w:tcPr>
            <w:tcW w:w="5669" w:type="dxa"/>
          </w:tcPr>
          <w:p w:rsidR="00952B30" w:rsidRPr="00952B30" w:rsidRDefault="00952B30" w:rsidP="00952B30">
            <w:pPr>
              <w:spacing w:line="240" w:lineRule="auto"/>
              <w:jc w:val="left"/>
              <w:rPr>
                <w:rFonts w:cs="Frankruhel"/>
                <w:sz w:val="24"/>
                <w:rtl/>
              </w:rPr>
            </w:pPr>
            <w:r>
              <w:rPr>
                <w:sz w:val="24"/>
                <w:rtl/>
              </w:rPr>
              <w:t>ללא כותרת</w:t>
            </w:r>
          </w:p>
        </w:tc>
        <w:tc>
          <w:tcPr>
            <w:tcW w:w="567" w:type="dxa"/>
          </w:tcPr>
          <w:p w:rsidR="00952B30" w:rsidRPr="00952B30" w:rsidRDefault="00952B30" w:rsidP="00952B30">
            <w:pPr>
              <w:spacing w:line="240" w:lineRule="auto"/>
              <w:jc w:val="left"/>
              <w:rPr>
                <w:rStyle w:val="Hyperlink"/>
                <w:rtl/>
              </w:rPr>
            </w:pPr>
            <w:hyperlink w:anchor="med1" w:tooltip="ללא כותרת"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952B30" w:rsidRPr="00952B30">
        <w:tblPrEx>
          <w:tblCellMar>
            <w:top w:w="0" w:type="dxa"/>
            <w:bottom w:w="0" w:type="dxa"/>
          </w:tblCellMar>
        </w:tblPrEx>
        <w:tc>
          <w:tcPr>
            <w:tcW w:w="1247" w:type="dxa"/>
          </w:tcPr>
          <w:p w:rsidR="00952B30" w:rsidRPr="00952B30" w:rsidRDefault="00952B30" w:rsidP="00952B30">
            <w:pPr>
              <w:spacing w:line="240" w:lineRule="auto"/>
              <w:jc w:val="left"/>
              <w:rPr>
                <w:rFonts w:cs="Frankruhel"/>
                <w:sz w:val="24"/>
                <w:rtl/>
              </w:rPr>
            </w:pPr>
          </w:p>
        </w:tc>
        <w:tc>
          <w:tcPr>
            <w:tcW w:w="5669" w:type="dxa"/>
          </w:tcPr>
          <w:p w:rsidR="00952B30" w:rsidRPr="00952B30" w:rsidRDefault="00952B30" w:rsidP="00952B30">
            <w:pPr>
              <w:spacing w:line="240" w:lineRule="auto"/>
              <w:jc w:val="left"/>
              <w:rPr>
                <w:rFonts w:cs="Frankruhel"/>
                <w:sz w:val="24"/>
                <w:rtl/>
              </w:rPr>
            </w:pPr>
            <w:r>
              <w:rPr>
                <w:sz w:val="24"/>
                <w:rtl/>
              </w:rPr>
              <w:t>היטל ביוב</w:t>
            </w:r>
          </w:p>
        </w:tc>
        <w:tc>
          <w:tcPr>
            <w:tcW w:w="567" w:type="dxa"/>
          </w:tcPr>
          <w:p w:rsidR="00952B30" w:rsidRPr="00952B30" w:rsidRDefault="00952B30" w:rsidP="00952B30">
            <w:pPr>
              <w:spacing w:line="240" w:lineRule="auto"/>
              <w:jc w:val="left"/>
              <w:rPr>
                <w:rStyle w:val="Hyperlink"/>
                <w:rtl/>
              </w:rPr>
            </w:pPr>
            <w:hyperlink w:anchor="med2" w:tooltip="היטל ביוב" w:history="1">
              <w:r w:rsidRPr="00952B30">
                <w:rPr>
                  <w:rStyle w:val="Hyperlink"/>
                </w:rPr>
                <w:t>Go</w:t>
              </w:r>
            </w:hyperlink>
          </w:p>
        </w:tc>
        <w:tc>
          <w:tcPr>
            <w:tcW w:w="850" w:type="dxa"/>
          </w:tcPr>
          <w:p w:rsidR="00952B30" w:rsidRPr="00952B30" w:rsidRDefault="00952B30" w:rsidP="00952B3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7245B1" w:rsidRDefault="007245B1">
      <w:pPr>
        <w:pStyle w:val="big-header"/>
        <w:ind w:left="0" w:right="1134"/>
        <w:rPr>
          <w:rFonts w:cs="FrankRuehl"/>
          <w:sz w:val="32"/>
          <w:rtl/>
        </w:rPr>
      </w:pPr>
    </w:p>
    <w:p w:rsidR="007245B1" w:rsidRDefault="007245B1" w:rsidP="007951CA">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7951CA">
        <w:rPr>
          <w:rFonts w:cs="FrankRuehl" w:hint="cs"/>
          <w:sz w:val="32"/>
          <w:rtl/>
        </w:rPr>
        <w:t xml:space="preserve">לבת </w:t>
      </w:r>
      <w:r>
        <w:rPr>
          <w:rFonts w:cs="FrankRuehl" w:hint="cs"/>
          <w:sz w:val="32"/>
          <w:rtl/>
        </w:rPr>
        <w:t>ים</w:t>
      </w:r>
      <w:r>
        <w:rPr>
          <w:rFonts w:cs="FrankRuehl"/>
          <w:sz w:val="32"/>
          <w:rtl/>
        </w:rPr>
        <w:t xml:space="preserve"> (ביוב), </w:t>
      </w:r>
      <w:r w:rsidR="007951CA">
        <w:rPr>
          <w:rFonts w:cs="FrankRuehl" w:hint="cs"/>
          <w:sz w:val="32"/>
          <w:rtl/>
        </w:rPr>
        <w:t>תשס"ח-2008</w:t>
      </w:r>
      <w:r>
        <w:rPr>
          <w:rStyle w:val="a6"/>
          <w:rFonts w:cs="FrankRuehl"/>
          <w:sz w:val="32"/>
          <w:rtl/>
        </w:rPr>
        <w:footnoteReference w:customMarkFollows="1" w:id="1"/>
        <w:t>*</w:t>
      </w:r>
    </w:p>
    <w:p w:rsidR="007245B1" w:rsidRDefault="00FB0961" w:rsidP="00FB0961">
      <w:pPr>
        <w:pStyle w:val="P00"/>
        <w:spacing w:before="72"/>
        <w:ind w:left="0" w:right="1134"/>
        <w:rPr>
          <w:rFonts w:cs="FrankRuehl" w:hint="cs"/>
          <w:rtl/>
          <w:lang w:val="he-IL"/>
        </w:rPr>
      </w:pPr>
      <w:r>
        <w:rPr>
          <w:rFonts w:cs="FrankRuehl" w:hint="cs"/>
          <w:rtl/>
          <w:lang w:val="he-IL"/>
        </w:rPr>
        <w:tab/>
      </w:r>
      <w:r w:rsidR="007245B1">
        <w:rPr>
          <w:rFonts w:cs="FrankRuehl"/>
          <w:rtl/>
          <w:lang w:val="he-IL"/>
        </w:rPr>
        <w:t>בתוקף סמכותה לפי סעיפים 250</w:t>
      </w:r>
      <w:r w:rsidR="007245B1">
        <w:rPr>
          <w:rFonts w:cs="FrankRuehl" w:hint="cs"/>
          <w:rtl/>
          <w:lang w:val="he-IL"/>
        </w:rPr>
        <w:t xml:space="preserve"> </w:t>
      </w:r>
      <w:r>
        <w:rPr>
          <w:rFonts w:cs="FrankRuehl" w:hint="cs"/>
          <w:rtl/>
          <w:lang w:val="he-IL"/>
        </w:rPr>
        <w:t>ו-</w:t>
      </w:r>
      <w:r w:rsidR="007245B1">
        <w:rPr>
          <w:rFonts w:cs="FrankRuehl" w:hint="cs"/>
          <w:rtl/>
          <w:lang w:val="he-IL"/>
        </w:rPr>
        <w:t>251</w:t>
      </w:r>
      <w:r w:rsidR="007245B1">
        <w:rPr>
          <w:rFonts w:cs="FrankRuehl"/>
          <w:rtl/>
          <w:lang w:val="he-IL"/>
        </w:rPr>
        <w:t xml:space="preserve"> לפקודת העיר</w:t>
      </w:r>
      <w:r w:rsidR="007245B1">
        <w:rPr>
          <w:rFonts w:cs="FrankRuehl" w:hint="cs"/>
          <w:rtl/>
          <w:lang w:val="he-IL"/>
        </w:rPr>
        <w:t>י</w:t>
      </w:r>
      <w:r w:rsidR="007245B1">
        <w:rPr>
          <w:rFonts w:cs="FrankRuehl"/>
          <w:rtl/>
          <w:lang w:val="he-IL"/>
        </w:rPr>
        <w:t>ות</w:t>
      </w:r>
      <w:r>
        <w:rPr>
          <w:rFonts w:cs="FrankRuehl" w:hint="cs"/>
          <w:rtl/>
          <w:lang w:val="he-IL"/>
        </w:rPr>
        <w:t xml:space="preserve"> (להלן </w:t>
      </w:r>
      <w:r>
        <w:rPr>
          <w:rFonts w:cs="FrankRuehl"/>
          <w:rtl/>
          <w:lang w:val="he-IL"/>
        </w:rPr>
        <w:t>–</w:t>
      </w:r>
      <w:r>
        <w:rPr>
          <w:rFonts w:cs="FrankRuehl" w:hint="cs"/>
          <w:rtl/>
          <w:lang w:val="he-IL"/>
        </w:rPr>
        <w:t xml:space="preserve"> הפקודה)</w:t>
      </w:r>
      <w:r w:rsidR="007245B1">
        <w:rPr>
          <w:rFonts w:cs="FrankRuehl" w:hint="cs"/>
          <w:rtl/>
          <w:lang w:val="he-IL"/>
        </w:rPr>
        <w:t>, ו</w:t>
      </w:r>
      <w:r>
        <w:rPr>
          <w:rFonts w:cs="FrankRuehl" w:hint="cs"/>
          <w:rtl/>
          <w:lang w:val="he-IL"/>
        </w:rPr>
        <w:t>סעיף 17 ל</w:t>
      </w:r>
      <w:r w:rsidR="007245B1">
        <w:rPr>
          <w:rFonts w:cs="FrankRuehl"/>
          <w:rtl/>
          <w:lang w:val="he-IL"/>
        </w:rPr>
        <w:t>חוק הרש</w:t>
      </w:r>
      <w:r w:rsidR="007245B1">
        <w:rPr>
          <w:rFonts w:cs="FrankRuehl" w:hint="cs"/>
          <w:rtl/>
          <w:lang w:val="he-IL"/>
        </w:rPr>
        <w:t>וי</w:t>
      </w:r>
      <w:r w:rsidR="007245B1">
        <w:rPr>
          <w:rFonts w:cs="FrankRuehl"/>
          <w:rtl/>
          <w:lang w:val="he-IL"/>
        </w:rPr>
        <w:t>ות המקומיות (</w:t>
      </w:r>
      <w:r w:rsidR="007245B1">
        <w:rPr>
          <w:rFonts w:cs="FrankRuehl" w:hint="cs"/>
          <w:rtl/>
          <w:lang w:val="he-IL"/>
        </w:rPr>
        <w:t>ביוב), התשכ"ב-1962</w:t>
      </w:r>
      <w:r>
        <w:rPr>
          <w:rFonts w:cs="FrankRuehl" w:hint="cs"/>
          <w:rtl/>
          <w:lang w:val="he-IL"/>
        </w:rPr>
        <w:t xml:space="preserve"> (להלן </w:t>
      </w:r>
      <w:r>
        <w:rPr>
          <w:rFonts w:cs="FrankRuehl"/>
          <w:rtl/>
          <w:lang w:val="he-IL"/>
        </w:rPr>
        <w:t>–</w:t>
      </w:r>
      <w:r>
        <w:rPr>
          <w:rFonts w:cs="FrankRuehl" w:hint="cs"/>
          <w:rtl/>
          <w:lang w:val="he-IL"/>
        </w:rPr>
        <w:t xml:space="preserve"> החוק)</w:t>
      </w:r>
      <w:r w:rsidR="007245B1">
        <w:rPr>
          <w:rFonts w:cs="FrankRuehl" w:hint="cs"/>
          <w:rtl/>
          <w:lang w:val="he-IL"/>
        </w:rPr>
        <w:t>,</w:t>
      </w:r>
      <w:r w:rsidR="007245B1">
        <w:rPr>
          <w:rFonts w:cs="FrankRuehl"/>
          <w:rtl/>
          <w:lang w:val="he-IL"/>
        </w:rPr>
        <w:t xml:space="preserve"> מתקינה מועצת עי</w:t>
      </w:r>
      <w:r w:rsidR="007245B1">
        <w:rPr>
          <w:rFonts w:cs="FrankRuehl" w:hint="cs"/>
          <w:rtl/>
          <w:lang w:val="he-IL"/>
        </w:rPr>
        <w:t>רי</w:t>
      </w:r>
      <w:r w:rsidR="007245B1">
        <w:rPr>
          <w:rFonts w:cs="FrankRuehl"/>
          <w:rtl/>
          <w:lang w:val="he-IL"/>
        </w:rPr>
        <w:t xml:space="preserve">ית </w:t>
      </w:r>
      <w:r>
        <w:rPr>
          <w:rFonts w:cs="FrankRuehl" w:hint="cs"/>
          <w:rtl/>
          <w:lang w:val="he-IL"/>
        </w:rPr>
        <w:t xml:space="preserve">בת </w:t>
      </w:r>
      <w:r w:rsidR="007245B1">
        <w:rPr>
          <w:rFonts w:cs="FrankRuehl" w:hint="cs"/>
          <w:rtl/>
          <w:lang w:val="he-IL"/>
        </w:rPr>
        <w:t>ים</w:t>
      </w:r>
      <w:r w:rsidR="007245B1">
        <w:rPr>
          <w:rFonts w:cs="FrankRuehl"/>
          <w:rtl/>
          <w:lang w:val="he-IL"/>
        </w:rPr>
        <w:t xml:space="preserve"> חוק עזר</w:t>
      </w:r>
      <w:r w:rsidR="007245B1">
        <w:rPr>
          <w:rFonts w:cs="FrankRuehl" w:hint="cs"/>
          <w:rtl/>
          <w:lang w:val="he-IL"/>
        </w:rPr>
        <w:t xml:space="preserve"> זה:</w:t>
      </w:r>
    </w:p>
    <w:p w:rsidR="007245B1" w:rsidRDefault="007245B1" w:rsidP="00952B30">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8pt;z-index:251648000" o:allowincell="f" filled="f" stroked="f" strokecolor="lime" strokeweight=".25pt">
            <v:textbox style="mso-next-textbox:#_x0000_s1026" inset="0,0,0,0">
              <w:txbxContent>
                <w:p w:rsidR="007245B1" w:rsidRDefault="007245B1">
                  <w:pPr>
                    <w:spacing w:line="160" w:lineRule="exact"/>
                    <w:jc w:val="left"/>
                    <w:rPr>
                      <w:rFonts w:cs="Miriam" w:hint="cs"/>
                      <w:sz w:val="18"/>
                      <w:szCs w:val="18"/>
                      <w:rtl/>
                    </w:rPr>
                  </w:pPr>
                  <w:r>
                    <w:rPr>
                      <w:rFonts w:cs="Miriam" w:hint="cs"/>
                      <w:sz w:val="18"/>
                      <w:szCs w:val="18"/>
                      <w:rtl/>
                    </w:rPr>
                    <w:t>הגדרות</w:t>
                  </w:r>
                </w:p>
                <w:p w:rsidR="007245B1" w:rsidRDefault="007245B1">
                  <w:pPr>
                    <w:spacing w:line="160" w:lineRule="exact"/>
                    <w:jc w:val="left"/>
                    <w:rPr>
                      <w:rFonts w:cs="Miriam" w:hint="cs"/>
                      <w:noProof/>
                      <w:sz w:val="18"/>
                      <w:szCs w:val="18"/>
                      <w:rtl/>
                    </w:rPr>
                  </w:pPr>
                </w:p>
              </w:txbxContent>
            </v:textbox>
            <w10:anchorlock/>
          </v:rect>
        </w:pict>
      </w:r>
      <w:r>
        <w:rPr>
          <w:rStyle w:val="big-number"/>
          <w:rFonts w:cs="Miriam"/>
          <w:rtl/>
        </w:rPr>
        <w:t>1.</w:t>
      </w:r>
      <w:r>
        <w:rPr>
          <w:rStyle w:val="big-number"/>
          <w:rFonts w:cs="Miriam"/>
          <w:rtl/>
        </w:rPr>
        <w:tab/>
      </w:r>
      <w:r>
        <w:rPr>
          <w:rStyle w:val="default"/>
          <w:rFonts w:hint="cs"/>
          <w:rtl/>
        </w:rPr>
        <w:t>ב</w:t>
      </w:r>
      <w:hyperlink r:id="rId7" w:tooltip="אזכורים" w:history="1">
        <w:r w:rsidR="00952B30" w:rsidRPr="00952B30">
          <w:rPr>
            <w:rStyle w:val="Hyperlink"/>
            <w:rtl/>
          </w:rPr>
          <w:t>*</w:t>
        </w:r>
      </w:hyperlink>
      <w:r>
        <w:rPr>
          <w:rStyle w:val="default"/>
          <w:rFonts w:hint="cs"/>
          <w:rtl/>
        </w:rPr>
        <w:t xml:space="preserve">חוק עזר זה </w:t>
      </w:r>
      <w:r>
        <w:rPr>
          <w:rStyle w:val="default"/>
          <w:rFonts w:hint="eastAsia"/>
          <w:rtl/>
        </w:rPr>
        <w:t>–</w:t>
      </w:r>
    </w:p>
    <w:p w:rsidR="00FB0961" w:rsidRDefault="00FB0961">
      <w:pPr>
        <w:pStyle w:val="P00"/>
        <w:spacing w:before="72"/>
        <w:ind w:left="0" w:right="1134"/>
        <w:rPr>
          <w:rStyle w:val="default"/>
          <w:rFonts w:hint="cs"/>
          <w:rtl/>
        </w:rPr>
      </w:pPr>
      <w:r>
        <w:rPr>
          <w:rStyle w:val="default"/>
          <w:rFonts w:hint="cs"/>
          <w:rtl/>
        </w:rPr>
        <w:tab/>
        <w:t xml:space="preserve">"אישור בקשה להיתר בניה" </w:t>
      </w:r>
      <w:r>
        <w:rPr>
          <w:rStyle w:val="default"/>
          <w:rtl/>
        </w:rPr>
        <w:t>–</w:t>
      </w:r>
      <w:r>
        <w:rPr>
          <w:rStyle w:val="default"/>
          <w:rFonts w:hint="cs"/>
          <w:rtl/>
        </w:rPr>
        <w:t xml:space="preserve"> אישור בקשה למתן היתר בניה בידי מוסד התכנון המוסמך כמשמעותו בחוק התכנון והבניה, התשכ"ה-1965 (להלן </w:t>
      </w:r>
      <w:r>
        <w:rPr>
          <w:rStyle w:val="default"/>
          <w:rtl/>
        </w:rPr>
        <w:t>–</w:t>
      </w:r>
      <w:r>
        <w:rPr>
          <w:rStyle w:val="default"/>
          <w:rFonts w:hint="cs"/>
          <w:rtl/>
        </w:rPr>
        <w:t xml:space="preserve"> חוק התכנון והבניה);</w:t>
      </w:r>
    </w:p>
    <w:p w:rsidR="00FB0961" w:rsidRDefault="00FB0961">
      <w:pPr>
        <w:pStyle w:val="P00"/>
        <w:spacing w:before="72"/>
        <w:ind w:left="0" w:right="1134"/>
        <w:rPr>
          <w:rStyle w:val="default"/>
          <w:rFonts w:hint="cs"/>
          <w:rtl/>
        </w:rPr>
      </w:pPr>
      <w:r>
        <w:rPr>
          <w:rStyle w:val="default"/>
          <w:rFonts w:hint="cs"/>
          <w:rtl/>
        </w:rPr>
        <w:tab/>
        <w:t xml:space="preserve">"ביב פרטי" </w:t>
      </w:r>
      <w:r>
        <w:rPr>
          <w:rStyle w:val="default"/>
          <w:rtl/>
        </w:rPr>
        <w:t>–</w:t>
      </w:r>
      <w:r>
        <w:rPr>
          <w:rStyle w:val="default"/>
          <w:rFonts w:hint="cs"/>
          <w:rtl/>
        </w:rPr>
        <w:t xml:space="preserve"> ביב המשמש נכס אחד, על חיבוריו;</w:t>
      </w:r>
    </w:p>
    <w:p w:rsidR="00FB0961" w:rsidRDefault="00FB0961">
      <w:pPr>
        <w:pStyle w:val="P00"/>
        <w:spacing w:before="72"/>
        <w:ind w:left="0" w:right="1134"/>
        <w:rPr>
          <w:rStyle w:val="default"/>
          <w:rFonts w:hint="cs"/>
          <w:rtl/>
        </w:rPr>
      </w:pPr>
      <w:r>
        <w:rPr>
          <w:rStyle w:val="default"/>
          <w:rFonts w:hint="cs"/>
          <w:rtl/>
        </w:rPr>
        <w:tab/>
        <w:t xml:space="preserve">"ביב ציבורי" </w:t>
      </w:r>
      <w:r>
        <w:rPr>
          <w:rStyle w:val="default"/>
          <w:rtl/>
        </w:rPr>
        <w:t>–</w:t>
      </w:r>
      <w:r>
        <w:rPr>
          <w:rStyle w:val="default"/>
          <w:rFonts w:hint="cs"/>
          <w:rtl/>
        </w:rPr>
        <w:t xml:space="preserve"> ביב המשמש כמה נכסים ושהשופכין נזרמים אליו מביבים פרטיים בלבד;</w:t>
      </w:r>
    </w:p>
    <w:p w:rsidR="007245B1" w:rsidRDefault="007245B1" w:rsidP="00FB0961">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"ביוב" </w:t>
      </w:r>
      <w:r>
        <w:rPr>
          <w:rFonts w:cs="FrankRuehl" w:hint="cs"/>
          <w:rtl/>
          <w:lang w:eastAsia="en-US"/>
        </w:rPr>
        <w:t>–</w:t>
      </w:r>
      <w:r>
        <w:rPr>
          <w:rFonts w:cs="FrankRuehl"/>
          <w:rtl/>
          <w:lang w:eastAsia="en-US"/>
        </w:rPr>
        <w:t xml:space="preserve"> ביב ציבורי או ביב מאסף על כל מיתקניהם </w:t>
      </w:r>
      <w:r w:rsidR="00FB0961">
        <w:rPr>
          <w:rFonts w:cs="FrankRuehl" w:hint="cs"/>
          <w:rtl/>
          <w:lang w:eastAsia="en-US"/>
        </w:rPr>
        <w:t>וכן מיתקנים לטיהור מי שפכים</w:t>
      </w:r>
      <w:r>
        <w:rPr>
          <w:rFonts w:cs="FrankRuehl"/>
          <w:rtl/>
          <w:lang w:eastAsia="en-US"/>
        </w:rPr>
        <w:t>;</w:t>
      </w:r>
    </w:p>
    <w:p w:rsidR="00FB0961" w:rsidRDefault="00FB0961" w:rsidP="00FB0961">
      <w:pPr>
        <w:pStyle w:val="P00"/>
        <w:spacing w:before="72"/>
        <w:ind w:left="0" w:right="1134"/>
        <w:rPr>
          <w:rFonts w:cs="FrankRuehl" w:hint="cs"/>
          <w:rtl/>
          <w:lang w:eastAsia="en-US"/>
        </w:rPr>
      </w:pPr>
      <w:r>
        <w:rPr>
          <w:rFonts w:cs="FrankRuehl" w:hint="cs"/>
          <w:rtl/>
          <w:lang w:eastAsia="en-US"/>
        </w:rPr>
        <w:tab/>
        <w:t xml:space="preserve">"ביב מאסף" </w:t>
      </w:r>
      <w:r>
        <w:rPr>
          <w:rFonts w:cs="FrankRuehl"/>
          <w:rtl/>
          <w:lang w:eastAsia="en-US"/>
        </w:rPr>
        <w:t>–</w:t>
      </w:r>
      <w:r>
        <w:rPr>
          <w:rFonts w:cs="FrankRuehl" w:hint="cs"/>
          <w:rtl/>
          <w:lang w:eastAsia="en-US"/>
        </w:rPr>
        <w:t xml:space="preserve"> ביב שהשפכים נזרמים אליו בעיקר מביבים ציבוריים;</w:t>
      </w:r>
    </w:p>
    <w:p w:rsidR="00FB0961" w:rsidRDefault="00FB0961" w:rsidP="00FB0961">
      <w:pPr>
        <w:pStyle w:val="P00"/>
        <w:spacing w:before="72"/>
        <w:ind w:left="0" w:right="1134"/>
        <w:rPr>
          <w:rFonts w:cs="FrankRuehl" w:hint="cs"/>
          <w:rtl/>
          <w:lang w:eastAsia="en-US"/>
        </w:rPr>
      </w:pPr>
      <w:r>
        <w:rPr>
          <w:rFonts w:cs="FrankRuehl" w:hint="cs"/>
          <w:rtl/>
          <w:lang w:eastAsia="en-US"/>
        </w:rPr>
        <w:tab/>
        <w:t xml:space="preserve">"בנייה חדשה" </w:t>
      </w:r>
      <w:r>
        <w:rPr>
          <w:rFonts w:cs="FrankRuehl"/>
          <w:rtl/>
          <w:lang w:eastAsia="en-US"/>
        </w:rPr>
        <w:t>–</w:t>
      </w:r>
      <w:r>
        <w:rPr>
          <w:rFonts w:cs="FrankRuehl" w:hint="cs"/>
          <w:rtl/>
          <w:lang w:eastAsia="en-US"/>
        </w:rPr>
        <w:t xml:space="preserve"> הקמת בניין חדש על גבי נכס או תוספת לבניין קיים הניצב בנכס;</w:t>
      </w:r>
    </w:p>
    <w:p w:rsidR="00FB0961" w:rsidRDefault="00FB0961" w:rsidP="00FB0961">
      <w:pPr>
        <w:pStyle w:val="P00"/>
        <w:spacing w:before="72"/>
        <w:ind w:left="0" w:right="1134"/>
        <w:rPr>
          <w:rFonts w:cs="FrankRuehl" w:hint="cs"/>
          <w:rtl/>
          <w:lang w:eastAsia="en-US"/>
        </w:rPr>
      </w:pPr>
      <w:r>
        <w:rPr>
          <w:rFonts w:cs="FrankRuehl" w:hint="cs"/>
          <w:rtl/>
          <w:lang w:eastAsia="en-US"/>
        </w:rPr>
        <w:tab/>
        <w:t xml:space="preserve">"בנייה חורגת" </w:t>
      </w:r>
      <w:r>
        <w:rPr>
          <w:rFonts w:cs="FrankRuehl"/>
          <w:rtl/>
          <w:lang w:eastAsia="en-US"/>
        </w:rPr>
        <w:t>–</w:t>
      </w:r>
      <w:r>
        <w:rPr>
          <w:rFonts w:cs="FrankRuehl" w:hint="cs"/>
          <w:rtl/>
          <w:lang w:eastAsia="en-US"/>
        </w:rPr>
        <w:t xml:space="preserve"> בנייה חדשה שהוקמה בלא היתר בניה או בסטייה מהיתר;</w:t>
      </w:r>
    </w:p>
    <w:p w:rsidR="00FB0961" w:rsidRDefault="00FB0961" w:rsidP="00FB0961">
      <w:pPr>
        <w:pStyle w:val="P00"/>
        <w:spacing w:before="72"/>
        <w:ind w:left="0" w:right="1134"/>
        <w:rPr>
          <w:rFonts w:cs="FrankRuehl" w:hint="cs"/>
          <w:rtl/>
          <w:lang w:eastAsia="en-US"/>
        </w:rPr>
      </w:pPr>
      <w:r>
        <w:rPr>
          <w:rFonts w:cs="FrankRuehl" w:hint="cs"/>
          <w:rtl/>
          <w:lang w:eastAsia="en-US"/>
        </w:rPr>
        <w:tab/>
        <w:t xml:space="preserve">"בניין" </w:t>
      </w:r>
      <w:r>
        <w:rPr>
          <w:rFonts w:cs="FrankRuehl"/>
          <w:rtl/>
          <w:lang w:eastAsia="en-US"/>
        </w:rPr>
        <w:t>–</w:t>
      </w:r>
      <w:r>
        <w:rPr>
          <w:rFonts w:cs="FrankRuehl" w:hint="cs"/>
          <w:rtl/>
          <w:lang w:eastAsia="en-US"/>
        </w:rPr>
        <w:t xml:space="preserve"> מבנה בתחום העיריה, בין שהוא ארעי ובין שהוא קבוע, בין אם בנייתו הושלמה ובין אם לאו, בין שהוא בנוי אבן ובין שהוא בנוי בטון, טיט, ברזל, עץ או חומר אחר, לרבות חלק של מבנה כאמור וכל המחובר אליו חיבור של קבע;</w:t>
      </w:r>
    </w:p>
    <w:p w:rsidR="00FB0961" w:rsidRDefault="00FB0961" w:rsidP="00FB0961">
      <w:pPr>
        <w:pStyle w:val="P00"/>
        <w:spacing w:before="72"/>
        <w:ind w:left="0" w:right="1134"/>
        <w:rPr>
          <w:rFonts w:cs="FrankRuehl" w:hint="cs"/>
          <w:rtl/>
          <w:lang w:eastAsia="en-US"/>
        </w:rPr>
      </w:pPr>
      <w:r>
        <w:rPr>
          <w:rFonts w:cs="FrankRuehl" w:hint="cs"/>
          <w:rtl/>
          <w:lang w:eastAsia="en-US"/>
        </w:rPr>
        <w:tab/>
        <w:t xml:space="preserve">"בעל נכס" </w:t>
      </w:r>
      <w:r>
        <w:rPr>
          <w:rFonts w:cs="FrankRuehl"/>
          <w:rtl/>
          <w:lang w:eastAsia="en-US"/>
        </w:rPr>
        <w:t>–</w:t>
      </w:r>
      <w:r>
        <w:rPr>
          <w:rFonts w:cs="FrankRuehl" w:hint="cs"/>
          <w:rtl/>
          <w:lang w:eastAsia="en-US"/>
        </w:rPr>
        <w:t xml:space="preserve"> כל אחד מאלה:</w:t>
      </w:r>
    </w:p>
    <w:p w:rsidR="00FB0961" w:rsidRDefault="00FB0961" w:rsidP="000144B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בנכסים שאינם מקרקעי ציבור כהגדרתם בסעיף 107 לחוק המקרקעין, התשכ"ט-1969 (להלן </w:t>
      </w:r>
      <w:r>
        <w:rPr>
          <w:rFonts w:cs="FrankRuehl"/>
          <w:rtl/>
          <w:lang w:eastAsia="en-US"/>
        </w:rPr>
        <w:t>–</w:t>
      </w:r>
      <w:r>
        <w:rPr>
          <w:rFonts w:cs="FrankRuehl" w:hint="cs"/>
          <w:rtl/>
          <w:lang w:eastAsia="en-US"/>
        </w:rPr>
        <w:t xml:space="preserve"> חוק המקרקעין) </w:t>
      </w:r>
      <w:r>
        <w:rPr>
          <w:rFonts w:cs="FrankRuehl"/>
          <w:rtl/>
          <w:lang w:eastAsia="en-US"/>
        </w:rPr>
        <w:t>–</w:t>
      </w:r>
      <w:r>
        <w:rPr>
          <w:rFonts w:cs="FrankRuehl" w:hint="cs"/>
          <w:rtl/>
          <w:lang w:eastAsia="en-US"/>
        </w:rPr>
        <w:t xml:space="preserve"> הבעל הרשום של הנכס, ובהעדר רישום </w:t>
      </w:r>
      <w:r>
        <w:rPr>
          <w:rFonts w:cs="FrankRuehl"/>
          <w:rtl/>
          <w:lang w:eastAsia="en-US"/>
        </w:rPr>
        <w:t>–</w:t>
      </w:r>
      <w:r>
        <w:rPr>
          <w:rFonts w:cs="FrankRuehl" w:hint="cs"/>
          <w:rtl/>
          <w:lang w:eastAsia="en-US"/>
        </w:rPr>
        <w:t xml:space="preserve"> בעליו של הנכס מכוח הסכם או מסמך מחייב אחר; ובהעדרו מי שזכאי כדין להירשם כבעל הנכס; ובהעדרו מי שזכאי להפיק הכנסה מהנכס או ליהנות מפירותיו של הנכס כבעלים;</w:t>
      </w:r>
    </w:p>
    <w:p w:rsidR="00FB0961" w:rsidRDefault="00FB0961" w:rsidP="000144B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0144B3">
        <w:rPr>
          <w:rFonts w:cs="FrankRuehl" w:hint="cs"/>
          <w:rtl/>
          <w:lang w:eastAsia="en-US"/>
        </w:rPr>
        <w:t xml:space="preserve">בנכסים שהם מקרקעי ציבור כאמור </w:t>
      </w:r>
      <w:r w:rsidR="000144B3">
        <w:rPr>
          <w:rFonts w:cs="FrankRuehl"/>
          <w:rtl/>
          <w:lang w:eastAsia="en-US"/>
        </w:rPr>
        <w:t>–</w:t>
      </w:r>
      <w:r w:rsidR="000144B3">
        <w:rPr>
          <w:rFonts w:cs="FrankRuehl" w:hint="cs"/>
          <w:rtl/>
          <w:lang w:eastAsia="en-US"/>
        </w:rPr>
        <w:t xml:space="preserve"> החוכר לדורות כמשמעותו בחוק המקרקעין, בין שבדין ובין שביושר; ובהעדר חוכר לדורות בנכס </w:t>
      </w:r>
      <w:r w:rsidR="000144B3">
        <w:rPr>
          <w:rFonts w:cs="FrankRuehl"/>
          <w:rtl/>
          <w:lang w:eastAsia="en-US"/>
        </w:rPr>
        <w:t>–</w:t>
      </w:r>
      <w:r w:rsidR="000144B3">
        <w:rPr>
          <w:rFonts w:cs="FrankRuehl" w:hint="cs"/>
          <w:rtl/>
          <w:lang w:eastAsia="en-US"/>
        </w:rPr>
        <w:t xml:space="preserve"> מי שניתנה לו הרשאה להשתמש בנכס, שניתן לראותה מבחינת תוכנה כבעלות או כחכירה לדורות; ובהעדר חוכר לדורות או בר-רשות כאמור </w:t>
      </w:r>
      <w:r w:rsidR="000144B3">
        <w:rPr>
          <w:rFonts w:cs="FrankRuehl"/>
          <w:rtl/>
          <w:lang w:eastAsia="en-US"/>
        </w:rPr>
        <w:t>–</w:t>
      </w:r>
      <w:r w:rsidR="000144B3">
        <w:rPr>
          <w:rFonts w:cs="FrankRuehl" w:hint="cs"/>
          <w:rtl/>
          <w:lang w:eastAsia="en-US"/>
        </w:rPr>
        <w:t xml:space="preserve"> הבעל הרשום של הנכס;</w:t>
      </w:r>
    </w:p>
    <w:p w:rsidR="000144B3" w:rsidRDefault="000144B3" w:rsidP="00FB0961">
      <w:pPr>
        <w:pStyle w:val="P00"/>
        <w:spacing w:before="72"/>
        <w:ind w:left="0" w:right="1134"/>
        <w:rPr>
          <w:rFonts w:cs="FrankRuehl" w:hint="cs"/>
          <w:rtl/>
          <w:lang w:eastAsia="en-US"/>
        </w:rPr>
      </w:pPr>
      <w:r>
        <w:rPr>
          <w:rFonts w:cs="FrankRuehl" w:hint="cs"/>
          <w:rtl/>
          <w:lang w:eastAsia="en-US"/>
        </w:rPr>
        <w:tab/>
        <w:t xml:space="preserve">"דמי השתתפות" </w:t>
      </w:r>
      <w:r w:rsidR="004A1261">
        <w:rPr>
          <w:rFonts w:cs="FrankRuehl"/>
          <w:rtl/>
          <w:lang w:eastAsia="en-US"/>
        </w:rPr>
        <w:t>–</w:t>
      </w:r>
      <w:r>
        <w:rPr>
          <w:rFonts w:cs="FrankRuehl" w:hint="cs"/>
          <w:rtl/>
          <w:lang w:eastAsia="en-US"/>
        </w:rPr>
        <w:t xml:space="preserve"> </w:t>
      </w:r>
      <w:r w:rsidR="004A1261">
        <w:rPr>
          <w:rFonts w:cs="FrankRuehl" w:hint="cs"/>
          <w:rtl/>
          <w:lang w:eastAsia="en-US"/>
        </w:rPr>
        <w:t>דמי השתתפות לפי חוק עזר קודם של העיריה;</w:t>
      </w:r>
    </w:p>
    <w:p w:rsidR="004A1261" w:rsidRDefault="004A1261" w:rsidP="00FB0961">
      <w:pPr>
        <w:pStyle w:val="P00"/>
        <w:spacing w:before="72"/>
        <w:ind w:left="0" w:right="1134"/>
        <w:rPr>
          <w:rFonts w:cs="FrankRuehl" w:hint="cs"/>
          <w:rtl/>
          <w:lang w:eastAsia="en-US"/>
        </w:rPr>
      </w:pPr>
      <w:r>
        <w:rPr>
          <w:rFonts w:cs="FrankRuehl" w:hint="cs"/>
          <w:rtl/>
          <w:lang w:eastAsia="en-US"/>
        </w:rPr>
        <w:tab/>
        <w:t xml:space="preserve">"היטל ביוב" או "היטל" </w:t>
      </w:r>
      <w:r>
        <w:rPr>
          <w:rFonts w:cs="FrankRuehl"/>
          <w:rtl/>
          <w:lang w:eastAsia="en-US"/>
        </w:rPr>
        <w:t>–</w:t>
      </w:r>
      <w:r>
        <w:rPr>
          <w:rFonts w:cs="FrankRuehl" w:hint="cs"/>
          <w:rtl/>
          <w:lang w:eastAsia="en-US"/>
        </w:rPr>
        <w:t xml:space="preserve"> היטל המוטל לכיסוי הוצאות של התקנת ביוב או של קנייתו לפי סעיף 17 לחוק ובהתאם לחוק עזר זה;</w:t>
      </w:r>
    </w:p>
    <w:p w:rsidR="004A1261" w:rsidRDefault="004A1261" w:rsidP="00FB0961">
      <w:pPr>
        <w:pStyle w:val="P00"/>
        <w:spacing w:before="72"/>
        <w:ind w:left="0" w:right="1134"/>
        <w:rPr>
          <w:rFonts w:cs="FrankRuehl" w:hint="cs"/>
          <w:rtl/>
          <w:lang w:eastAsia="en-US"/>
        </w:rPr>
      </w:pPr>
      <w:r>
        <w:rPr>
          <w:rFonts w:cs="FrankRuehl" w:hint="cs"/>
          <w:rtl/>
          <w:lang w:eastAsia="en-US"/>
        </w:rPr>
        <w:tab/>
        <w:t xml:space="preserve">"היטל קודם" </w:t>
      </w:r>
      <w:r>
        <w:rPr>
          <w:rFonts w:cs="FrankRuehl"/>
          <w:rtl/>
          <w:lang w:eastAsia="en-US"/>
        </w:rPr>
        <w:t>–</w:t>
      </w:r>
      <w:r>
        <w:rPr>
          <w:rFonts w:cs="FrankRuehl" w:hint="cs"/>
          <w:rtl/>
          <w:lang w:eastAsia="en-US"/>
        </w:rPr>
        <w:t xml:space="preserve"> היטל ביוב לפי חוק עזר קודם של העיריה;</w:t>
      </w:r>
    </w:p>
    <w:p w:rsidR="004A1261" w:rsidRDefault="004A1261" w:rsidP="00FB0961">
      <w:pPr>
        <w:pStyle w:val="P00"/>
        <w:spacing w:before="72"/>
        <w:ind w:left="0" w:right="1134"/>
        <w:rPr>
          <w:rFonts w:cs="FrankRuehl" w:hint="cs"/>
          <w:rtl/>
          <w:lang w:eastAsia="en-US"/>
        </w:rPr>
      </w:pPr>
      <w:r>
        <w:rPr>
          <w:rFonts w:cs="FrankRuehl" w:hint="cs"/>
          <w:rtl/>
          <w:lang w:eastAsia="en-US"/>
        </w:rPr>
        <w:tab/>
        <w:t xml:space="preserve">"היתר בניה", "תעודת גמר למבנה" </w:t>
      </w:r>
      <w:r>
        <w:rPr>
          <w:rFonts w:cs="FrankRuehl"/>
          <w:rtl/>
          <w:lang w:eastAsia="en-US"/>
        </w:rPr>
        <w:t>–</w:t>
      </w:r>
      <w:r>
        <w:rPr>
          <w:rFonts w:cs="FrankRuehl" w:hint="cs"/>
          <w:rtl/>
          <w:lang w:eastAsia="en-US"/>
        </w:rPr>
        <w:t xml:space="preserve"> כמשמעותם בחוק התכנון והבניה והתקנות שהותקנו לפיו;</w:t>
      </w:r>
    </w:p>
    <w:p w:rsidR="004A1261" w:rsidRDefault="004A1261" w:rsidP="00FB0961">
      <w:pPr>
        <w:pStyle w:val="P00"/>
        <w:spacing w:before="72"/>
        <w:ind w:left="0" w:right="1134"/>
        <w:rPr>
          <w:rFonts w:cs="FrankRuehl" w:hint="cs"/>
          <w:rtl/>
          <w:lang w:eastAsia="en-US"/>
        </w:rPr>
      </w:pPr>
      <w:r>
        <w:rPr>
          <w:rFonts w:cs="FrankRuehl" w:hint="cs"/>
          <w:rtl/>
          <w:lang w:eastAsia="en-US"/>
        </w:rPr>
        <w:tab/>
        <w:t xml:space="preserve">"הפרשי הצמדה", "מדד", "תשלומי פיגורים" </w:t>
      </w:r>
      <w:r>
        <w:rPr>
          <w:rFonts w:cs="FrankRuehl"/>
          <w:rtl/>
          <w:lang w:eastAsia="en-US"/>
        </w:rPr>
        <w:t>–</w:t>
      </w:r>
      <w:r>
        <w:rPr>
          <w:rFonts w:cs="FrankRuehl" w:hint="cs"/>
          <w:rtl/>
          <w:lang w:eastAsia="en-US"/>
        </w:rPr>
        <w:t xml:space="preserve"> כהגדרתם בחוק הרשויות המקומיות (ריבית והפרדי הצמדה על תשלומי חובה), התש"ם-1980;</w:t>
      </w:r>
    </w:p>
    <w:p w:rsidR="004A1261" w:rsidRDefault="004A1261" w:rsidP="00FB0961">
      <w:pPr>
        <w:pStyle w:val="P00"/>
        <w:spacing w:before="72"/>
        <w:ind w:left="0" w:right="1134"/>
        <w:rPr>
          <w:rFonts w:cs="FrankRuehl" w:hint="cs"/>
          <w:rtl/>
          <w:lang w:eastAsia="en-US"/>
        </w:rPr>
      </w:pPr>
      <w:r>
        <w:rPr>
          <w:rFonts w:cs="FrankRuehl" w:hint="cs"/>
          <w:rtl/>
          <w:lang w:eastAsia="en-US"/>
        </w:rPr>
        <w:tab/>
        <w:t xml:space="preserve">"חוק עזר קודם" </w:t>
      </w:r>
      <w:r>
        <w:rPr>
          <w:rFonts w:cs="FrankRuehl"/>
          <w:rtl/>
          <w:lang w:eastAsia="en-US"/>
        </w:rPr>
        <w:t>–</w:t>
      </w:r>
      <w:r>
        <w:rPr>
          <w:rFonts w:cs="FrankRuehl" w:hint="cs"/>
          <w:rtl/>
          <w:lang w:eastAsia="en-US"/>
        </w:rPr>
        <w:t xml:space="preserve"> אחד מחוקי עזר אלה:</w:t>
      </w:r>
    </w:p>
    <w:p w:rsidR="004A1261" w:rsidRDefault="00EE17AF" w:rsidP="00EE17AF">
      <w:pPr>
        <w:pStyle w:val="P00"/>
        <w:spacing w:before="72"/>
        <w:ind w:left="1021" w:right="1134"/>
        <w:rPr>
          <w:rFonts w:cs="FrankRuehl" w:hint="cs"/>
          <w:rtl/>
          <w:lang w:eastAsia="en-US"/>
        </w:rPr>
      </w:pPr>
      <w:r>
        <w:rPr>
          <w:rFonts w:cs="FrankRuehl" w:hint="cs"/>
          <w:rtl/>
          <w:lang w:eastAsia="en-US"/>
        </w:rPr>
        <w:t>חוק עזר לבת ים (בניית ביבים), התשי"ד-1954;</w:t>
      </w:r>
    </w:p>
    <w:p w:rsidR="00EE17AF" w:rsidRDefault="00EE17AF" w:rsidP="00EE17AF">
      <w:pPr>
        <w:pStyle w:val="P00"/>
        <w:spacing w:before="72"/>
        <w:ind w:left="1021" w:right="1134"/>
        <w:rPr>
          <w:rFonts w:cs="FrankRuehl" w:hint="cs"/>
          <w:rtl/>
          <w:lang w:eastAsia="en-US"/>
        </w:rPr>
      </w:pPr>
      <w:r>
        <w:rPr>
          <w:rFonts w:cs="FrankRuehl" w:hint="cs"/>
          <w:rtl/>
          <w:lang w:eastAsia="en-US"/>
        </w:rPr>
        <w:t>חוק עזר לבת ים (ביוב), התשכ"ט-1969;</w:t>
      </w:r>
    </w:p>
    <w:p w:rsidR="00EE17AF" w:rsidRDefault="00EE17AF" w:rsidP="00FB0961">
      <w:pPr>
        <w:pStyle w:val="P00"/>
        <w:spacing w:before="72"/>
        <w:ind w:left="0" w:right="1134"/>
        <w:rPr>
          <w:rFonts w:cs="FrankRuehl" w:hint="cs"/>
          <w:rtl/>
          <w:lang w:eastAsia="en-US"/>
        </w:rPr>
      </w:pPr>
      <w:r>
        <w:rPr>
          <w:rFonts w:cs="FrankRuehl" w:hint="cs"/>
          <w:rtl/>
          <w:lang w:eastAsia="en-US"/>
        </w:rPr>
        <w:tab/>
        <w:t xml:space="preserve">"טופס 4" </w:t>
      </w:r>
      <w:r>
        <w:rPr>
          <w:rFonts w:cs="FrankRuehl"/>
          <w:rtl/>
          <w:lang w:eastAsia="en-US"/>
        </w:rPr>
        <w:t>–</w:t>
      </w:r>
      <w:r>
        <w:rPr>
          <w:rFonts w:cs="FrankRuehl" w:hint="cs"/>
          <w:rtl/>
          <w:lang w:eastAsia="en-US"/>
        </w:rPr>
        <w:t xml:space="preserve"> כמשמעותו בתקנות התכנון והבניה (אישורים למתן שירותי חשמל מים וטלפון), התשמ"א-1981;</w:t>
      </w:r>
    </w:p>
    <w:p w:rsidR="00EE17AF" w:rsidRDefault="00EE17AF" w:rsidP="00FB0961">
      <w:pPr>
        <w:pStyle w:val="P00"/>
        <w:spacing w:before="72"/>
        <w:ind w:left="0" w:right="1134"/>
        <w:rPr>
          <w:rFonts w:cs="FrankRuehl" w:hint="cs"/>
          <w:rtl/>
          <w:lang w:eastAsia="en-US"/>
        </w:rPr>
      </w:pPr>
      <w:r>
        <w:rPr>
          <w:rFonts w:cs="FrankRuehl" w:hint="cs"/>
          <w:rtl/>
          <w:lang w:eastAsia="en-US"/>
        </w:rPr>
        <w:tab/>
        <w:t xml:space="preserve">"מערכת ביוב" </w:t>
      </w:r>
      <w:r w:rsidR="007A6554">
        <w:rPr>
          <w:rFonts w:cs="FrankRuehl"/>
          <w:rtl/>
          <w:lang w:eastAsia="en-US"/>
        </w:rPr>
        <w:t>–</w:t>
      </w:r>
      <w:r>
        <w:rPr>
          <w:rFonts w:cs="FrankRuehl" w:hint="cs"/>
          <w:rtl/>
          <w:lang w:eastAsia="en-US"/>
        </w:rPr>
        <w:t xml:space="preserve"> </w:t>
      </w:r>
      <w:r w:rsidR="007A6554">
        <w:rPr>
          <w:rFonts w:cs="FrankRuehl" w:hint="cs"/>
          <w:rtl/>
          <w:lang w:eastAsia="en-US"/>
        </w:rPr>
        <w:t>כהגדרת ביוב בסעיף 1 לחוק הביוב;</w:t>
      </w:r>
    </w:p>
    <w:p w:rsidR="007A6554" w:rsidRDefault="007A6554" w:rsidP="00FB0961">
      <w:pPr>
        <w:pStyle w:val="P00"/>
        <w:spacing w:before="72"/>
        <w:ind w:left="0" w:right="1134"/>
        <w:rPr>
          <w:rFonts w:cs="FrankRuehl" w:hint="cs"/>
          <w:rtl/>
          <w:lang w:eastAsia="en-US"/>
        </w:rPr>
      </w:pPr>
      <w:r>
        <w:rPr>
          <w:rFonts w:cs="FrankRuehl" w:hint="cs"/>
          <w:rtl/>
          <w:lang w:eastAsia="en-US"/>
        </w:rPr>
        <w:lastRenderedPageBreak/>
        <w:tab/>
        <w:t xml:space="preserve">"המהנדס" </w:t>
      </w:r>
      <w:r>
        <w:rPr>
          <w:rFonts w:cs="FrankRuehl"/>
          <w:rtl/>
          <w:lang w:eastAsia="en-US"/>
        </w:rPr>
        <w:t>–</w:t>
      </w:r>
      <w:r>
        <w:rPr>
          <w:rFonts w:cs="FrankRuehl" w:hint="cs"/>
          <w:rtl/>
          <w:lang w:eastAsia="en-US"/>
        </w:rPr>
        <w:t xml:space="preserve"> מהנדס העיריה, או מי שסמכויות מהנדס העיריה הואצלו לו לפי סעיף 6 לחוק הרשויות המקומיות (מהנדס רשות מקומית), התשנ"ב-1991;</w:t>
      </w:r>
    </w:p>
    <w:p w:rsidR="007A6554" w:rsidRDefault="007A6554" w:rsidP="00FB0961">
      <w:pPr>
        <w:pStyle w:val="P00"/>
        <w:spacing w:before="72"/>
        <w:ind w:left="0" w:right="1134"/>
        <w:rPr>
          <w:rFonts w:cs="FrankRuehl" w:hint="cs"/>
          <w:rtl/>
          <w:lang w:eastAsia="en-US"/>
        </w:rPr>
      </w:pPr>
      <w:r>
        <w:rPr>
          <w:rFonts w:cs="FrankRuehl" w:hint="cs"/>
          <w:rtl/>
          <w:lang w:eastAsia="en-US"/>
        </w:rPr>
        <w:tab/>
        <w:t xml:space="preserve">"המועצה" </w:t>
      </w:r>
      <w:r>
        <w:rPr>
          <w:rFonts w:cs="FrankRuehl"/>
          <w:rtl/>
          <w:lang w:eastAsia="en-US"/>
        </w:rPr>
        <w:t>–</w:t>
      </w:r>
      <w:r>
        <w:rPr>
          <w:rFonts w:cs="FrankRuehl" w:hint="cs"/>
          <w:rtl/>
          <w:lang w:eastAsia="en-US"/>
        </w:rPr>
        <w:t xml:space="preserve"> מועצת העיריה;</w:t>
      </w:r>
    </w:p>
    <w:p w:rsidR="007A6554" w:rsidRDefault="007A6554" w:rsidP="00FB0961">
      <w:pPr>
        <w:pStyle w:val="P00"/>
        <w:spacing w:before="72"/>
        <w:ind w:left="0" w:right="1134"/>
        <w:rPr>
          <w:rFonts w:cs="FrankRuehl" w:hint="cs"/>
          <w:rtl/>
          <w:lang w:eastAsia="en-US"/>
        </w:rPr>
      </w:pPr>
      <w:r>
        <w:rPr>
          <w:rFonts w:cs="FrankRuehl" w:hint="cs"/>
          <w:rtl/>
          <w:lang w:eastAsia="en-US"/>
        </w:rPr>
        <w:tab/>
        <w:t xml:space="preserve">"מרתף" </w:t>
      </w:r>
      <w:r>
        <w:rPr>
          <w:rFonts w:cs="FrankRuehl"/>
          <w:rtl/>
          <w:lang w:eastAsia="en-US"/>
        </w:rPr>
        <w:t>–</w:t>
      </w:r>
      <w:r>
        <w:rPr>
          <w:rFonts w:cs="FrankRuehl" w:hint="cs"/>
          <w:rtl/>
          <w:lang w:eastAsia="en-US"/>
        </w:rPr>
        <w:t xml:space="preserve"> חלק מבניין שחללו 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קרקע" וכן "מפלס כביש או מדרכה" </w:t>
      </w:r>
      <w:r>
        <w:rPr>
          <w:rFonts w:cs="FrankRuehl"/>
          <w:rtl/>
          <w:lang w:eastAsia="en-US"/>
        </w:rPr>
        <w:t>–</w:t>
      </w:r>
      <w:r>
        <w:rPr>
          <w:rFonts w:cs="FrankRuehl" w:hint="cs"/>
          <w:rtl/>
          <w:lang w:eastAsia="en-US"/>
        </w:rPr>
        <w:t xml:space="preserve"> הגובה של כל אחד מהם במרכז מישור הקיר החיצון כאמור, ולגבי קיר שיש בו תפרי ההתפשטות </w:t>
      </w:r>
      <w:r>
        <w:rPr>
          <w:rFonts w:cs="FrankRuehl"/>
          <w:rtl/>
          <w:lang w:eastAsia="en-US"/>
        </w:rPr>
        <w:t>–</w:t>
      </w:r>
      <w:r>
        <w:rPr>
          <w:rFonts w:cs="FrankRuehl" w:hint="cs"/>
          <w:rtl/>
          <w:lang w:eastAsia="en-US"/>
        </w:rPr>
        <w:t xml:space="preserve"> גובהו של כל אחד מהם במרכז שבין כל שני תפרי ההתפשטות האמורים או במרכז שבין תפר התפשטות הסמוך לקצה הבניין ובין קצה הבניין;</w:t>
      </w:r>
    </w:p>
    <w:p w:rsidR="007A6554" w:rsidRDefault="007A6554" w:rsidP="00FB0961">
      <w:pPr>
        <w:pStyle w:val="P00"/>
        <w:spacing w:before="72"/>
        <w:ind w:left="0" w:right="1134"/>
        <w:rPr>
          <w:rFonts w:cs="FrankRuehl" w:hint="cs"/>
          <w:rtl/>
          <w:lang w:eastAsia="en-US"/>
        </w:rPr>
      </w:pPr>
      <w:r>
        <w:rPr>
          <w:rFonts w:cs="FrankRuehl" w:hint="cs"/>
          <w:rtl/>
          <w:lang w:eastAsia="en-US"/>
        </w:rPr>
        <w:tab/>
        <w:t xml:space="preserve">"נכס" </w:t>
      </w:r>
      <w:r>
        <w:rPr>
          <w:rFonts w:cs="FrankRuehl"/>
          <w:rtl/>
          <w:lang w:eastAsia="en-US"/>
        </w:rPr>
        <w:t>–</w:t>
      </w:r>
      <w:r>
        <w:rPr>
          <w:rFonts w:cs="FrankRuehl" w:hint="cs"/>
          <w:rtl/>
          <w:lang w:eastAsia="en-US"/>
        </w:rPr>
        <w:t xml:space="preserve"> בניין או קרקע בתחום הרשות המקומית, למעט רחוב;</w:t>
      </w:r>
    </w:p>
    <w:p w:rsidR="007A6554" w:rsidRDefault="007A6554" w:rsidP="00FB0961">
      <w:pPr>
        <w:pStyle w:val="P00"/>
        <w:spacing w:before="72"/>
        <w:ind w:left="0" w:right="1134"/>
        <w:rPr>
          <w:rFonts w:cs="FrankRuehl" w:hint="cs"/>
          <w:rtl/>
          <w:lang w:eastAsia="en-US"/>
        </w:rPr>
      </w:pPr>
      <w:r>
        <w:rPr>
          <w:rFonts w:cs="FrankRuehl" w:hint="cs"/>
          <w:rtl/>
          <w:lang w:eastAsia="en-US"/>
        </w:rPr>
        <w:tab/>
        <w:t xml:space="preserve">"נכס למגורים" </w:t>
      </w:r>
      <w:r>
        <w:rPr>
          <w:rFonts w:cs="FrankRuehl"/>
          <w:rtl/>
          <w:lang w:eastAsia="en-US"/>
        </w:rPr>
        <w:t>–</w:t>
      </w:r>
      <w:r>
        <w:rPr>
          <w:rFonts w:cs="FrankRuehl" w:hint="cs"/>
          <w:rtl/>
          <w:lang w:eastAsia="en-US"/>
        </w:rPr>
        <w:t xml:space="preserve"> נכס המשמש או המיועד לשמש למגורים, לבתי אבות, לדיור מאורגן, למשרדים או למבני ציבור;</w:t>
      </w:r>
    </w:p>
    <w:p w:rsidR="007A6554" w:rsidRDefault="007A6554" w:rsidP="00FB0961">
      <w:pPr>
        <w:pStyle w:val="P00"/>
        <w:spacing w:before="72"/>
        <w:ind w:left="0" w:right="1134"/>
        <w:rPr>
          <w:rFonts w:cs="FrankRuehl" w:hint="cs"/>
          <w:rtl/>
          <w:lang w:eastAsia="en-US"/>
        </w:rPr>
      </w:pPr>
      <w:r>
        <w:rPr>
          <w:rFonts w:cs="FrankRuehl" w:hint="cs"/>
          <w:rtl/>
          <w:lang w:eastAsia="en-US"/>
        </w:rPr>
        <w:tab/>
        <w:t xml:space="preserve">"נכס אחר" </w:t>
      </w:r>
      <w:r>
        <w:rPr>
          <w:rFonts w:cs="FrankRuehl"/>
          <w:rtl/>
          <w:lang w:eastAsia="en-US"/>
        </w:rPr>
        <w:t>–</w:t>
      </w:r>
      <w:r>
        <w:rPr>
          <w:rFonts w:cs="FrankRuehl" w:hint="cs"/>
          <w:rtl/>
          <w:lang w:eastAsia="en-US"/>
        </w:rPr>
        <w:t xml:space="preserve"> נכס שאינו נכס למגורים;</w:t>
      </w:r>
    </w:p>
    <w:p w:rsidR="007A6554" w:rsidRDefault="007A6554" w:rsidP="00FB0961">
      <w:pPr>
        <w:pStyle w:val="P00"/>
        <w:spacing w:before="72"/>
        <w:ind w:left="0" w:right="1134"/>
        <w:rPr>
          <w:rFonts w:cs="FrankRuehl" w:hint="cs"/>
          <w:rtl/>
          <w:lang w:eastAsia="en-US"/>
        </w:rPr>
      </w:pPr>
      <w:r>
        <w:rPr>
          <w:rFonts w:cs="FrankRuehl" w:hint="cs"/>
          <w:rtl/>
          <w:lang w:eastAsia="en-US"/>
        </w:rPr>
        <w:tab/>
        <w:t xml:space="preserve">"נפח בניין" </w:t>
      </w:r>
      <w:r>
        <w:rPr>
          <w:rFonts w:cs="FrankRuehl"/>
          <w:rtl/>
          <w:lang w:eastAsia="en-US"/>
        </w:rPr>
        <w:t>–</w:t>
      </w:r>
      <w:r>
        <w:rPr>
          <w:rFonts w:cs="FrankRuehl" w:hint="cs"/>
          <w:rtl/>
          <w:lang w:eastAsia="en-US"/>
        </w:rPr>
        <w:t xml:space="preserve"> הסכום במ"ק של שטחי כל הקומות בבניין, המוכפלים כל אחד מהם בגובהה של אותה קומה הנמדד במטר אורך, לפי כללי המדידה שנקבעו בפרט 1.00.5 לתוספת השלישית של תקנות היתר בניה, ולרבות נפח של בניין או תוספת לבניין העתידים להיבנות, שאושרה לגביהם בקשה להיתר בניה </w:t>
      </w:r>
      <w:r>
        <w:rPr>
          <w:rFonts w:cs="FrankRuehl"/>
          <w:rtl/>
          <w:lang w:eastAsia="en-US"/>
        </w:rPr>
        <w:t>–</w:t>
      </w:r>
      <w:r>
        <w:rPr>
          <w:rFonts w:cs="FrankRuehl" w:hint="cs"/>
          <w:rtl/>
          <w:lang w:eastAsia="en-US"/>
        </w:rPr>
        <w:t xml:space="preserve"> לפי הבקשה שאושרה;</w:t>
      </w:r>
    </w:p>
    <w:p w:rsidR="007245B1" w:rsidRDefault="007245B1" w:rsidP="003604C8">
      <w:pPr>
        <w:pStyle w:val="P00"/>
        <w:spacing w:before="72"/>
        <w:ind w:left="0" w:right="1134"/>
        <w:rPr>
          <w:rFonts w:cs="FrankRuehl" w:hint="cs"/>
          <w:rtl/>
          <w:lang w:eastAsia="en-US"/>
        </w:rPr>
      </w:pPr>
      <w:r>
        <w:rPr>
          <w:rFonts w:cs="FrankRuehl" w:hint="cs"/>
          <w:rtl/>
          <w:lang w:eastAsia="en-US"/>
        </w:rPr>
        <w:tab/>
        <w:t>"</w:t>
      </w:r>
      <w:r w:rsidR="003604C8">
        <w:rPr>
          <w:rFonts w:cs="FrankRuehl" w:hint="cs"/>
          <w:rtl/>
          <w:lang w:eastAsia="en-US"/>
        </w:rPr>
        <w:t xml:space="preserve">עבודות ביוב" </w:t>
      </w:r>
      <w:r w:rsidR="003604C8">
        <w:rPr>
          <w:rFonts w:cs="FrankRuehl"/>
          <w:rtl/>
          <w:lang w:eastAsia="en-US"/>
        </w:rPr>
        <w:t>–</w:t>
      </w:r>
      <w:r w:rsidR="003604C8">
        <w:rPr>
          <w:rFonts w:cs="FrankRuehl" w:hint="cs"/>
          <w:rtl/>
          <w:lang w:eastAsia="en-US"/>
        </w:rPr>
        <w:t xml:space="preserve"> עבודות הנדרשות להתקנתו או קנייתו של ביוב או שלב משלביו, לרבות כל עבודה או מטלה הנדרשת לצורך זה</w:t>
      </w:r>
      <w:r>
        <w:rPr>
          <w:rFonts w:cs="FrankRuehl" w:hint="cs"/>
          <w:rtl/>
          <w:lang w:eastAsia="en-US"/>
        </w:rPr>
        <w:t>;</w:t>
      </w:r>
    </w:p>
    <w:p w:rsidR="007245B1" w:rsidRDefault="007245B1">
      <w:pPr>
        <w:pStyle w:val="P00"/>
        <w:spacing w:before="72"/>
        <w:ind w:left="0" w:right="1134"/>
        <w:rPr>
          <w:rFonts w:cs="FrankRuehl" w:hint="cs"/>
          <w:rtl/>
          <w:lang w:eastAsia="en-US"/>
        </w:rPr>
      </w:pPr>
      <w:r>
        <w:rPr>
          <w:rFonts w:cs="FrankRuehl" w:hint="cs"/>
          <w:rtl/>
          <w:lang w:eastAsia="en-US"/>
        </w:rPr>
        <w:tab/>
        <w:t xml:space="preserve">"העיריה" </w:t>
      </w:r>
      <w:r>
        <w:rPr>
          <w:rFonts w:cs="FrankRuehl" w:hint="eastAsia"/>
          <w:rtl/>
          <w:lang w:eastAsia="en-US"/>
        </w:rPr>
        <w:t xml:space="preserve">– </w:t>
      </w:r>
      <w:r>
        <w:rPr>
          <w:rFonts w:cs="FrankRuehl" w:hint="cs"/>
          <w:rtl/>
          <w:lang w:eastAsia="en-US"/>
        </w:rPr>
        <w:t>עיר</w:t>
      </w:r>
      <w:r w:rsidR="003604C8">
        <w:rPr>
          <w:rFonts w:cs="FrankRuehl" w:hint="cs"/>
          <w:rtl/>
          <w:lang w:eastAsia="en-US"/>
        </w:rPr>
        <w:t>י</w:t>
      </w:r>
      <w:r>
        <w:rPr>
          <w:rFonts w:cs="FrankRuehl" w:hint="cs"/>
          <w:rtl/>
          <w:lang w:eastAsia="en-US"/>
        </w:rPr>
        <w:t xml:space="preserve">ית </w:t>
      </w:r>
      <w:r w:rsidR="003604C8">
        <w:rPr>
          <w:rFonts w:cs="FrankRuehl" w:hint="cs"/>
          <w:rtl/>
          <w:lang w:eastAsia="en-US"/>
        </w:rPr>
        <w:t xml:space="preserve">בת </w:t>
      </w:r>
      <w:r>
        <w:rPr>
          <w:rFonts w:cs="FrankRuehl" w:hint="cs"/>
          <w:rtl/>
          <w:lang w:eastAsia="en-US"/>
        </w:rPr>
        <w:t>ים;</w:t>
      </w:r>
    </w:p>
    <w:p w:rsidR="003604C8" w:rsidRDefault="003604C8">
      <w:pPr>
        <w:pStyle w:val="P00"/>
        <w:spacing w:before="72"/>
        <w:ind w:left="0" w:right="1134"/>
        <w:rPr>
          <w:rFonts w:cs="FrankRuehl" w:hint="cs"/>
          <w:rtl/>
          <w:lang w:eastAsia="en-US"/>
        </w:rPr>
      </w:pPr>
      <w:r>
        <w:rPr>
          <w:rFonts w:cs="FrankRuehl" w:hint="cs"/>
          <w:rtl/>
          <w:lang w:eastAsia="en-US"/>
        </w:rPr>
        <w:tab/>
        <w:t xml:space="preserve">"קומה" </w:t>
      </w:r>
      <w:r w:rsidR="003B0CBA">
        <w:rPr>
          <w:rFonts w:cs="FrankRuehl"/>
          <w:rtl/>
          <w:lang w:eastAsia="en-US"/>
        </w:rPr>
        <w:t>–</w:t>
      </w:r>
      <w:r>
        <w:rPr>
          <w:rFonts w:cs="FrankRuehl" w:hint="cs"/>
          <w:rtl/>
          <w:lang w:eastAsia="en-US"/>
        </w:rPr>
        <w:t xml:space="preserve"> </w:t>
      </w:r>
      <w:r w:rsidR="003B0CBA">
        <w:rPr>
          <w:rFonts w:cs="FrankRuehl" w:hint="cs"/>
          <w:rtl/>
          <w:lang w:eastAsia="en-US"/>
        </w:rPr>
        <w:t>חלל המשתרע בין שתי רצפות סמוכות הנמצאות זו מעל זו, הנמדד לפי גובהו המזערי של אותו חלל, כקבוע בפרט 2.03 לתוספת השניה של תקנות היתר בניה, ככל שנקבע כזה, ולרבות בנייני עזר, מרתפים, מרפסות, מחסנים, חדרי מדרגות, מעברים, גבליות, יציעים, חדרי מעליות, עליות גג וכל שטח אחר בקומה, אך למעט שטח שנקבע בהיתר בניה כולו או כמרתף לחניה והמשמש בפועל לחניה;</w:t>
      </w:r>
    </w:p>
    <w:p w:rsidR="007245B1" w:rsidRDefault="007245B1" w:rsidP="003B0CBA">
      <w:pPr>
        <w:pStyle w:val="P00"/>
        <w:spacing w:before="72"/>
        <w:ind w:left="0" w:right="1134"/>
        <w:rPr>
          <w:rFonts w:cs="FrankRuehl" w:hint="cs"/>
          <w:rtl/>
          <w:lang w:eastAsia="en-US"/>
        </w:rPr>
      </w:pPr>
      <w:r>
        <w:rPr>
          <w:rFonts w:cs="FrankRuehl" w:hint="cs"/>
          <w:rtl/>
          <w:lang w:eastAsia="en-US"/>
        </w:rPr>
        <w:tab/>
        <w:t xml:space="preserve">"ראש העיריה" </w:t>
      </w:r>
      <w:r>
        <w:rPr>
          <w:rFonts w:cs="FrankRuehl" w:hint="eastAsia"/>
          <w:rtl/>
          <w:lang w:eastAsia="en-US"/>
        </w:rPr>
        <w:t xml:space="preserve">– </w:t>
      </w:r>
      <w:r w:rsidR="003B0CBA">
        <w:rPr>
          <w:rFonts w:cs="FrankRuehl" w:hint="cs"/>
          <w:rtl/>
          <w:lang w:eastAsia="en-US"/>
        </w:rPr>
        <w:t xml:space="preserve">ראש העיריה </w:t>
      </w:r>
      <w:r>
        <w:rPr>
          <w:rFonts w:cs="FrankRuehl" w:hint="eastAsia"/>
          <w:rtl/>
          <w:lang w:eastAsia="en-US"/>
        </w:rPr>
        <w:t xml:space="preserve">לרבות </w:t>
      </w:r>
      <w:r w:rsidR="003B0CBA">
        <w:rPr>
          <w:rFonts w:cs="FrankRuehl" w:hint="cs"/>
          <w:rtl/>
          <w:lang w:eastAsia="en-US"/>
        </w:rPr>
        <w:t xml:space="preserve">עובד העיריה </w:t>
      </w:r>
      <w:r>
        <w:rPr>
          <w:rFonts w:cs="FrankRuehl" w:hint="eastAsia"/>
          <w:rtl/>
          <w:lang w:eastAsia="en-US"/>
        </w:rPr>
        <w:t xml:space="preserve">שהוסמך על ידו </w:t>
      </w:r>
      <w:r w:rsidR="003B0CBA">
        <w:rPr>
          <w:rFonts w:cs="FrankRuehl" w:hint="cs"/>
          <w:rtl/>
          <w:lang w:eastAsia="en-US"/>
        </w:rPr>
        <w:t xml:space="preserve">לפי סעיף 17 לחוק הרשויות המקומיות (בחירת ראש הרשות וסגניו וכהונתם), התשל"ה-1975, </w:t>
      </w:r>
      <w:r>
        <w:rPr>
          <w:rFonts w:cs="FrankRuehl" w:hint="eastAsia"/>
          <w:rtl/>
          <w:lang w:eastAsia="en-US"/>
        </w:rPr>
        <w:t>לענ</w:t>
      </w:r>
      <w:r w:rsidR="003B0CBA">
        <w:rPr>
          <w:rFonts w:cs="FrankRuehl" w:hint="cs"/>
          <w:rtl/>
          <w:lang w:eastAsia="en-US"/>
        </w:rPr>
        <w:t>י</w:t>
      </w:r>
      <w:r>
        <w:rPr>
          <w:rFonts w:cs="FrankRuehl" w:hint="eastAsia"/>
          <w:rtl/>
          <w:lang w:eastAsia="en-US"/>
        </w:rPr>
        <w:t>ין חוק עזר זה;</w:t>
      </w:r>
    </w:p>
    <w:p w:rsidR="003B0CBA" w:rsidRDefault="007245B1" w:rsidP="003B0CBA">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3B0CBA">
        <w:rPr>
          <w:rFonts w:cs="FrankRuehl" w:hint="cs"/>
          <w:rtl/>
          <w:lang w:eastAsia="en-US"/>
        </w:rPr>
        <w:t xml:space="preserve">שטח בניין" </w:t>
      </w:r>
      <w:r w:rsidR="003B0CBA">
        <w:rPr>
          <w:rFonts w:cs="FrankRuehl"/>
          <w:rtl/>
          <w:lang w:eastAsia="en-US"/>
        </w:rPr>
        <w:t>–</w:t>
      </w:r>
      <w:r w:rsidR="003B0CBA">
        <w:rPr>
          <w:rFonts w:cs="FrankRuehl" w:hint="cs"/>
          <w:rtl/>
          <w:lang w:eastAsia="en-US"/>
        </w:rPr>
        <w:t xml:space="preserve"> הסכום במ"ר של שטחי כל הקומות בבניין, ולרבות:</w:t>
      </w:r>
    </w:p>
    <w:p w:rsidR="007245B1" w:rsidRDefault="003B0CBA" w:rsidP="003B0CBA">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שטחה של בניה חורגת</w:t>
      </w:r>
      <w:r w:rsidR="007245B1">
        <w:rPr>
          <w:rFonts w:cs="FrankRuehl"/>
          <w:rtl/>
          <w:lang w:eastAsia="en-US"/>
        </w:rPr>
        <w:t>;</w:t>
      </w:r>
    </w:p>
    <w:p w:rsidR="003B0CBA" w:rsidRDefault="003B0CBA" w:rsidP="003B0CBA">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שטחו של בניין או שטחה של תוספת לבניין העתידים להיבנות שאושרה לגביהם בקשה להיתר בניה לפי השטח המאושר;</w:t>
      </w:r>
    </w:p>
    <w:p w:rsidR="003B0CBA" w:rsidRDefault="003B0CBA" w:rsidP="003B0CBA">
      <w:pPr>
        <w:pStyle w:val="P00"/>
        <w:spacing w:before="72"/>
        <w:ind w:left="0" w:right="1134"/>
        <w:rPr>
          <w:rFonts w:cs="FrankRuehl" w:hint="cs"/>
          <w:rtl/>
          <w:lang w:eastAsia="en-US"/>
        </w:rPr>
      </w:pPr>
      <w:r>
        <w:rPr>
          <w:rFonts w:cs="FrankRuehl" w:hint="cs"/>
          <w:rtl/>
          <w:lang w:eastAsia="en-US"/>
        </w:rPr>
        <w:tab/>
        <w:t xml:space="preserve">"שטח קומה" </w:t>
      </w:r>
      <w:r>
        <w:rPr>
          <w:rFonts w:cs="FrankRuehl"/>
          <w:rtl/>
          <w:lang w:eastAsia="en-US"/>
        </w:rPr>
        <w:t>–</w:t>
      </w:r>
      <w:r>
        <w:rPr>
          <w:rFonts w:cs="FrankRuehl" w:hint="cs"/>
          <w:rtl/>
          <w:lang w:eastAsia="en-US"/>
        </w:rPr>
        <w:t xml:space="preserve"> הסכום הכולל במ"ר של שטח ההשלכה האופקית של רצפת הקומה, בתוספת השטח שמתחת לקירותיה החיצוניים והפנימיים;</w:t>
      </w:r>
    </w:p>
    <w:p w:rsidR="007245B1" w:rsidRDefault="007245B1" w:rsidP="003B0CBA">
      <w:pPr>
        <w:pStyle w:val="P00"/>
        <w:spacing w:before="72"/>
        <w:ind w:left="0" w:right="1134"/>
        <w:rPr>
          <w:rFonts w:cs="FrankRuehl" w:hint="cs"/>
          <w:rtl/>
          <w:lang w:eastAsia="en-US"/>
        </w:rPr>
      </w:pPr>
      <w:r>
        <w:rPr>
          <w:rFonts w:cs="FrankRuehl" w:hint="cs"/>
          <w:rtl/>
          <w:lang w:eastAsia="en-US"/>
        </w:rPr>
        <w:tab/>
        <w:t>"</w:t>
      </w:r>
      <w:r w:rsidR="003B0CBA">
        <w:rPr>
          <w:rFonts w:cs="FrankRuehl" w:hint="cs"/>
          <w:rtl/>
          <w:lang w:eastAsia="en-US"/>
        </w:rPr>
        <w:t xml:space="preserve">שטח קרקע" </w:t>
      </w:r>
      <w:r w:rsidR="003B0CBA">
        <w:rPr>
          <w:rFonts w:cs="FrankRuehl"/>
          <w:rtl/>
          <w:lang w:eastAsia="en-US"/>
        </w:rPr>
        <w:t>–</w:t>
      </w:r>
      <w:r w:rsidR="003B0CBA">
        <w:rPr>
          <w:rFonts w:cs="FrankRuehl" w:hint="cs"/>
          <w:rtl/>
          <w:lang w:eastAsia="en-US"/>
        </w:rPr>
        <w:t xml:space="preserve"> שטחה הכולל של הקרקע שבנכס לרבות הקרקע שעליה ניצב הבניין;</w:t>
      </w:r>
    </w:p>
    <w:p w:rsidR="003B0CBA" w:rsidRDefault="003B0CBA" w:rsidP="003B0CBA">
      <w:pPr>
        <w:pStyle w:val="P00"/>
        <w:spacing w:before="72"/>
        <w:ind w:left="0" w:right="1134"/>
        <w:rPr>
          <w:rFonts w:cs="FrankRuehl" w:hint="cs"/>
          <w:rtl/>
          <w:lang w:eastAsia="en-US"/>
        </w:rPr>
      </w:pPr>
      <w:r>
        <w:rPr>
          <w:rFonts w:cs="FrankRuehl" w:hint="cs"/>
          <w:rtl/>
          <w:lang w:eastAsia="en-US"/>
        </w:rPr>
        <w:tab/>
        <w:t xml:space="preserve">"שלב ביוב" </w:t>
      </w:r>
      <w:r w:rsidR="00246C2E">
        <w:rPr>
          <w:rFonts w:cs="FrankRuehl"/>
          <w:rtl/>
          <w:lang w:eastAsia="en-US"/>
        </w:rPr>
        <w:t>–</w:t>
      </w:r>
      <w:r>
        <w:rPr>
          <w:rFonts w:cs="FrankRuehl" w:hint="cs"/>
          <w:rtl/>
          <w:lang w:eastAsia="en-US"/>
        </w:rPr>
        <w:t xml:space="preserve"> </w:t>
      </w:r>
      <w:r w:rsidR="00246C2E">
        <w:rPr>
          <w:rFonts w:cs="FrankRuehl" w:hint="cs"/>
          <w:rtl/>
          <w:lang w:eastAsia="en-US"/>
        </w:rPr>
        <w:t>כמשמעותו בסעיף 16 לחוק הביוב;</w:t>
      </w:r>
    </w:p>
    <w:p w:rsidR="00246C2E" w:rsidRDefault="00246C2E" w:rsidP="003B0CBA">
      <w:pPr>
        <w:pStyle w:val="P00"/>
        <w:spacing w:before="72"/>
        <w:ind w:left="0" w:right="1134"/>
        <w:rPr>
          <w:rFonts w:cs="FrankRuehl" w:hint="cs"/>
          <w:rtl/>
          <w:lang w:eastAsia="en-US"/>
        </w:rPr>
      </w:pPr>
      <w:r>
        <w:rPr>
          <w:rFonts w:cs="FrankRuehl" w:hint="cs"/>
          <w:rtl/>
          <w:lang w:eastAsia="en-US"/>
        </w:rPr>
        <w:tab/>
        <w:t xml:space="preserve">"שפכים" </w:t>
      </w:r>
      <w:r>
        <w:rPr>
          <w:rFonts w:cs="FrankRuehl"/>
          <w:rtl/>
          <w:lang w:eastAsia="en-US"/>
        </w:rPr>
        <w:t>–</w:t>
      </w:r>
      <w:r>
        <w:rPr>
          <w:rFonts w:cs="FrankRuehl" w:hint="cs"/>
          <w:rtl/>
          <w:lang w:eastAsia="en-US"/>
        </w:rPr>
        <w:t xml:space="preserve"> פסולת המורחקת מנכסים על ידי זרם המים וכן מי התהום או מי הגשמים העשויים להימצא במים אלה;</w:t>
      </w:r>
    </w:p>
    <w:p w:rsidR="00246C2E" w:rsidRDefault="00246C2E" w:rsidP="003B0CBA">
      <w:pPr>
        <w:pStyle w:val="P00"/>
        <w:spacing w:before="72"/>
        <w:ind w:left="0" w:right="1134"/>
        <w:rPr>
          <w:rFonts w:cs="FrankRuehl" w:hint="cs"/>
          <w:rtl/>
          <w:lang w:eastAsia="en-US"/>
        </w:rPr>
      </w:pPr>
      <w:r>
        <w:rPr>
          <w:rFonts w:cs="FrankRuehl" w:hint="cs"/>
          <w:rtl/>
          <w:lang w:eastAsia="en-US"/>
        </w:rPr>
        <w:tab/>
        <w:t xml:space="preserve">"תכנית" </w:t>
      </w:r>
      <w:r>
        <w:rPr>
          <w:rFonts w:cs="FrankRuehl"/>
          <w:rtl/>
          <w:lang w:eastAsia="en-US"/>
        </w:rPr>
        <w:t>–</w:t>
      </w:r>
      <w:r>
        <w:rPr>
          <w:rFonts w:cs="FrankRuehl" w:hint="cs"/>
          <w:rtl/>
          <w:lang w:eastAsia="en-US"/>
        </w:rPr>
        <w:t xml:space="preserve"> כהגדרתה בחוק התכנון והבניה ושאושרה לפיו;</w:t>
      </w:r>
    </w:p>
    <w:p w:rsidR="00246C2E" w:rsidRDefault="00246C2E" w:rsidP="003B0CBA">
      <w:pPr>
        <w:pStyle w:val="P00"/>
        <w:spacing w:before="72"/>
        <w:ind w:left="0" w:right="1134"/>
        <w:rPr>
          <w:rFonts w:cs="FrankRuehl" w:hint="cs"/>
          <w:rtl/>
          <w:lang w:eastAsia="en-US"/>
        </w:rPr>
      </w:pPr>
      <w:r>
        <w:rPr>
          <w:rFonts w:cs="FrankRuehl" w:hint="cs"/>
          <w:rtl/>
          <w:lang w:eastAsia="en-US"/>
        </w:rPr>
        <w:tab/>
        <w:t xml:space="preserve">"תעודת העברה לרשם המקרקעין" </w:t>
      </w:r>
      <w:r>
        <w:rPr>
          <w:rFonts w:cs="FrankRuehl"/>
          <w:rtl/>
          <w:lang w:eastAsia="en-US"/>
        </w:rPr>
        <w:t>–</w:t>
      </w:r>
      <w:r>
        <w:rPr>
          <w:rFonts w:cs="FrankRuehl" w:hint="cs"/>
          <w:rtl/>
          <w:lang w:eastAsia="en-US"/>
        </w:rPr>
        <w:t xml:space="preserve"> כאמור בסעיף 324 לפקודה;</w:t>
      </w:r>
    </w:p>
    <w:p w:rsidR="00246C2E" w:rsidRDefault="00246C2E" w:rsidP="003B0CBA">
      <w:pPr>
        <w:pStyle w:val="P00"/>
        <w:spacing w:before="72"/>
        <w:ind w:left="0" w:right="1134"/>
        <w:rPr>
          <w:rFonts w:cs="FrankRuehl" w:hint="cs"/>
          <w:rtl/>
          <w:lang w:eastAsia="en-US"/>
        </w:rPr>
      </w:pPr>
      <w:r>
        <w:rPr>
          <w:rFonts w:cs="FrankRuehl" w:hint="cs"/>
          <w:rtl/>
          <w:lang w:eastAsia="en-US"/>
        </w:rPr>
        <w:tab/>
        <w:t xml:space="preserve">"תעריפי ההיטל המעודכנים" </w:t>
      </w:r>
      <w:r>
        <w:rPr>
          <w:rFonts w:cs="FrankRuehl"/>
          <w:rtl/>
          <w:lang w:eastAsia="en-US"/>
        </w:rPr>
        <w:t>–</w:t>
      </w:r>
      <w:r>
        <w:rPr>
          <w:rFonts w:cs="FrankRuehl" w:hint="cs"/>
          <w:rtl/>
          <w:lang w:eastAsia="en-US"/>
        </w:rPr>
        <w:t xml:space="preserve"> תעריפי ההיטל שבתוספת בשיעורם המעודכן במועד הוצאת דרישת התשלום לפי חוק עזר זה;</w:t>
      </w:r>
    </w:p>
    <w:p w:rsidR="00246C2E" w:rsidRDefault="00246C2E" w:rsidP="003B0CBA">
      <w:pPr>
        <w:pStyle w:val="P00"/>
        <w:spacing w:before="72"/>
        <w:ind w:left="0" w:right="1134"/>
        <w:rPr>
          <w:rFonts w:cs="FrankRuehl" w:hint="cs"/>
          <w:rtl/>
          <w:lang w:eastAsia="en-US"/>
        </w:rPr>
      </w:pPr>
      <w:r>
        <w:rPr>
          <w:rFonts w:cs="FrankRuehl" w:hint="cs"/>
          <w:rtl/>
          <w:lang w:eastAsia="en-US"/>
        </w:rPr>
        <w:tab/>
        <w:t xml:space="preserve">"תעריף ההיטל שבתוקף" </w:t>
      </w:r>
      <w:r>
        <w:rPr>
          <w:rFonts w:cs="FrankRuehl"/>
          <w:rtl/>
          <w:lang w:eastAsia="en-US"/>
        </w:rPr>
        <w:t>–</w:t>
      </w:r>
      <w:r>
        <w:rPr>
          <w:rFonts w:cs="FrankRuehl" w:hint="cs"/>
          <w:rtl/>
          <w:lang w:eastAsia="en-US"/>
        </w:rPr>
        <w:t xml:space="preserve"> תעריף ההיטל שבתוספת לפי שיעורו המעודכן ביום התשלום לקופת העיריה;</w:t>
      </w:r>
    </w:p>
    <w:p w:rsidR="00246C2E" w:rsidRDefault="00246C2E" w:rsidP="003B0CBA">
      <w:pPr>
        <w:pStyle w:val="P00"/>
        <w:spacing w:before="72"/>
        <w:ind w:left="0" w:right="1134"/>
        <w:rPr>
          <w:rFonts w:cs="FrankRuehl" w:hint="cs"/>
          <w:rtl/>
          <w:lang w:eastAsia="en-US"/>
        </w:rPr>
      </w:pPr>
      <w:r>
        <w:rPr>
          <w:rFonts w:cs="FrankRuehl" w:hint="cs"/>
          <w:rtl/>
          <w:lang w:eastAsia="en-US"/>
        </w:rPr>
        <w:tab/>
        <w:t xml:space="preserve">"תקנות היתר בניה" </w:t>
      </w:r>
      <w:r>
        <w:rPr>
          <w:rFonts w:cs="FrankRuehl"/>
          <w:rtl/>
          <w:lang w:eastAsia="en-US"/>
        </w:rPr>
        <w:t>–</w:t>
      </w:r>
      <w:r>
        <w:rPr>
          <w:rFonts w:cs="FrankRuehl" w:hint="cs"/>
          <w:rtl/>
          <w:lang w:eastAsia="en-US"/>
        </w:rPr>
        <w:t xml:space="preserve"> תקנות התכנון והבניה (בקשה להיתר תנאיו ואגרות), התש"ל-1970.</w:t>
      </w:r>
    </w:p>
    <w:p w:rsidR="007245B1" w:rsidRDefault="007245B1" w:rsidP="00952B30">
      <w:pPr>
        <w:pStyle w:val="P00"/>
        <w:spacing w:before="72"/>
        <w:ind w:left="0" w:right="1134"/>
        <w:rPr>
          <w:rStyle w:val="default"/>
          <w:rFonts w:hint="cs"/>
          <w:rtl/>
        </w:rPr>
      </w:pPr>
      <w:bookmarkStart w:id="1" w:name="Seif2"/>
      <w:bookmarkEnd w:id="1"/>
      <w:r>
        <w:rPr>
          <w:lang w:val="he-IL"/>
        </w:rPr>
        <w:pict>
          <v:rect id="_x0000_s1027" style="position:absolute;left:0;text-align:left;margin-left:464.5pt;margin-top:8.05pt;width:75.05pt;height:8pt;z-index:251649024" o:allowincell="f" filled="f" stroked="f" strokecolor="lime" strokeweight=".25pt">
            <v:textbox style="mso-next-textbox:#_x0000_s1027" inset="0,0,0,0">
              <w:txbxContent>
                <w:p w:rsidR="007245B1" w:rsidRDefault="007245B1">
                  <w:pPr>
                    <w:spacing w:line="160" w:lineRule="exact"/>
                    <w:jc w:val="left"/>
                    <w:rPr>
                      <w:rFonts w:cs="Miriam" w:hint="cs"/>
                      <w:sz w:val="18"/>
                      <w:szCs w:val="18"/>
                      <w:rtl/>
                    </w:rPr>
                  </w:pPr>
                  <w:r>
                    <w:rPr>
                      <w:rFonts w:cs="Miriam" w:hint="cs"/>
                      <w:sz w:val="18"/>
                      <w:szCs w:val="18"/>
                      <w:rtl/>
                    </w:rPr>
                    <w:t xml:space="preserve">היטל ביוב </w:t>
                  </w:r>
                </w:p>
                <w:p w:rsidR="007245B1" w:rsidRDefault="007245B1">
                  <w:pPr>
                    <w:spacing w:line="160" w:lineRule="exact"/>
                    <w:jc w:val="left"/>
                    <w:rPr>
                      <w:rFonts w:cs="Miriam" w:hint="cs"/>
                      <w:noProof/>
                      <w:sz w:val="18"/>
                      <w:szCs w:val="18"/>
                      <w:rtl/>
                    </w:rPr>
                  </w:pPr>
                </w:p>
              </w:txbxContent>
            </v:textbox>
            <w10:anchorlock/>
          </v:rect>
        </w:pict>
      </w:r>
      <w:r>
        <w:rPr>
          <w:rStyle w:val="big-number"/>
          <w:rFonts w:cs="Miriam"/>
          <w:rtl/>
        </w:rPr>
        <w:t>2.</w:t>
      </w:r>
      <w:r>
        <w:rPr>
          <w:rStyle w:val="big-number"/>
          <w:rFonts w:cs="Miriam"/>
          <w:rtl/>
        </w:rPr>
        <w:tab/>
      </w:r>
      <w:r w:rsidR="001516AB">
        <w:rPr>
          <w:rStyle w:val="default"/>
          <w:rFonts w:hint="cs"/>
          <w:rtl/>
        </w:rPr>
        <w:t>(</w:t>
      </w:r>
      <w:hyperlink r:id="rId8" w:tooltip="אזכורים" w:history="1">
        <w:r w:rsidR="00952B30" w:rsidRPr="00952B30">
          <w:rPr>
            <w:rStyle w:val="Hyperlink"/>
            <w:rtl/>
          </w:rPr>
          <w:t>*</w:t>
        </w:r>
      </w:hyperlink>
      <w:r w:rsidR="001516AB">
        <w:rPr>
          <w:rStyle w:val="default"/>
          <w:rFonts w:hint="cs"/>
          <w:rtl/>
        </w:rPr>
        <w:t>א)</w:t>
      </w:r>
      <w:r w:rsidR="001516AB">
        <w:rPr>
          <w:rStyle w:val="default"/>
          <w:rFonts w:hint="cs"/>
          <w:rtl/>
        </w:rPr>
        <w:tab/>
        <w:t>היטל ביוב נועד לכיסוי הוצאות של התקנת מערכת הביוב העירונית או קנייתה, בלא זיקה לעלות ההתקנה או הקניה של שלבי ביוב המשמשים את נכס החייב דווקא.</w:t>
      </w:r>
    </w:p>
    <w:p w:rsidR="001516AB" w:rsidRDefault="001516AB" w:rsidP="001516AB">
      <w:pPr>
        <w:pStyle w:val="P00"/>
        <w:spacing w:before="72"/>
        <w:ind w:left="0" w:right="1134"/>
        <w:rPr>
          <w:rStyle w:val="default"/>
          <w:rFonts w:hint="cs"/>
          <w:rtl/>
        </w:rPr>
      </w:pPr>
      <w:r>
        <w:rPr>
          <w:rStyle w:val="default"/>
          <w:rFonts w:hint="cs"/>
          <w:rtl/>
        </w:rPr>
        <w:tab/>
        <w:t>(ב)</w:t>
      </w:r>
      <w:r>
        <w:rPr>
          <w:rStyle w:val="default"/>
          <w:rFonts w:hint="cs"/>
          <w:rtl/>
        </w:rPr>
        <w:tab/>
        <w:t>היטל ביוב יוטל על בעל הנכס בהתקיים אחד מאלה:</w:t>
      </w:r>
    </w:p>
    <w:p w:rsidR="001516AB" w:rsidRDefault="001516AB" w:rsidP="001A20FD">
      <w:pPr>
        <w:pStyle w:val="P00"/>
        <w:spacing w:before="72"/>
        <w:ind w:left="1021" w:right="1134"/>
        <w:rPr>
          <w:rStyle w:val="default"/>
          <w:rFonts w:hint="cs"/>
          <w:rtl/>
        </w:rPr>
      </w:pPr>
      <w:r>
        <w:rPr>
          <w:rStyle w:val="default"/>
          <w:rFonts w:hint="cs"/>
          <w:rtl/>
        </w:rPr>
        <w:t>(1)</w:t>
      </w:r>
      <w:r>
        <w:rPr>
          <w:rStyle w:val="default"/>
          <w:rFonts w:hint="cs"/>
          <w:rtl/>
        </w:rPr>
        <w:tab/>
      </w:r>
      <w:r w:rsidR="00CF6102">
        <w:rPr>
          <w:rStyle w:val="default"/>
          <w:rFonts w:hint="cs"/>
          <w:rtl/>
        </w:rPr>
        <w:t xml:space="preserve">תחילת ביצוע עבודות להתקנת מערכת ביוב אשר תשמש את הנכס נושא החיוב במישרין או בעקיפין (להלן </w:t>
      </w:r>
      <w:r w:rsidR="00CF6102">
        <w:rPr>
          <w:rStyle w:val="default"/>
          <w:rtl/>
        </w:rPr>
        <w:t>–</w:t>
      </w:r>
      <w:r w:rsidR="00CF6102">
        <w:rPr>
          <w:rStyle w:val="default"/>
          <w:rFonts w:hint="cs"/>
          <w:rtl/>
        </w:rPr>
        <w:t xml:space="preserve"> תחילת ביצוע עבודות הביוב); תעודת המהנדס בדבר תחילת ביצוע עבודות ביוב תשמש ראיה לדבר;</w:t>
      </w:r>
    </w:p>
    <w:p w:rsidR="00CF6102" w:rsidRDefault="00CF6102" w:rsidP="001A20FD">
      <w:pPr>
        <w:pStyle w:val="P00"/>
        <w:spacing w:before="72"/>
        <w:ind w:left="1021" w:right="1134"/>
        <w:rPr>
          <w:rStyle w:val="default"/>
          <w:rFonts w:hint="cs"/>
          <w:rtl/>
        </w:rPr>
      </w:pPr>
      <w:r>
        <w:rPr>
          <w:rStyle w:val="default"/>
          <w:rFonts w:hint="cs"/>
          <w:rtl/>
        </w:rPr>
        <w:t>(2)</w:t>
      </w:r>
      <w:r>
        <w:rPr>
          <w:rStyle w:val="default"/>
          <w:rFonts w:hint="cs"/>
          <w:rtl/>
        </w:rPr>
        <w:tab/>
        <w:t>אישור בקשה להיתר בניה ובלבד שקיימת מערכת ביוב המשמשת או המיועדת לשמש את הנכס נושא החיוב במישרין או בעקיפין, בין שהותקנה טרם תחילתו של חוק עזר זה ובין לאחריה או שהחלו עבודות להתקנתה של מערכת ביוב כאמור;</w:t>
      </w:r>
    </w:p>
    <w:p w:rsidR="00CF6102" w:rsidRDefault="00CF6102" w:rsidP="001A20FD">
      <w:pPr>
        <w:pStyle w:val="P00"/>
        <w:spacing w:before="72"/>
        <w:ind w:left="1021" w:right="1134"/>
        <w:rPr>
          <w:rStyle w:val="default"/>
          <w:rFonts w:hint="cs"/>
          <w:rtl/>
        </w:rPr>
      </w:pPr>
      <w:r>
        <w:rPr>
          <w:rStyle w:val="default"/>
          <w:rFonts w:hint="cs"/>
          <w:rtl/>
        </w:rPr>
        <w:t>(3)</w:t>
      </w:r>
      <w:r>
        <w:rPr>
          <w:rStyle w:val="default"/>
          <w:rFonts w:hint="cs"/>
          <w:rtl/>
        </w:rPr>
        <w:tab/>
        <w:t>בניה חורגת שנבנתה בנכס.</w:t>
      </w:r>
    </w:p>
    <w:p w:rsidR="00CF6102" w:rsidRDefault="00CF6102" w:rsidP="001516AB">
      <w:pPr>
        <w:pStyle w:val="P00"/>
        <w:spacing w:before="72"/>
        <w:ind w:left="0" w:right="1134"/>
        <w:rPr>
          <w:rFonts w:cs="FrankRuehl" w:hint="cs"/>
          <w:rtl/>
          <w:lang w:eastAsia="en-US"/>
        </w:rPr>
      </w:pPr>
      <w:r>
        <w:rPr>
          <w:rStyle w:val="default"/>
          <w:rFonts w:hint="cs"/>
          <w:rtl/>
        </w:rPr>
        <w:tab/>
        <w:t>(ג)</w:t>
      </w:r>
      <w:r>
        <w:rPr>
          <w:rStyle w:val="default"/>
          <w:rFonts w:hint="cs"/>
          <w:rtl/>
        </w:rPr>
        <w:tab/>
        <w:t>היטל שעילתו בניה שהוספה לנכס או בניה חדשה לנכס ישולם גם אם הותקן ביוב לפני תחילתו של חוק עזר זה.</w:t>
      </w:r>
    </w:p>
    <w:p w:rsidR="007245B1" w:rsidRDefault="007245B1" w:rsidP="00952B30">
      <w:pPr>
        <w:pStyle w:val="P00"/>
        <w:tabs>
          <w:tab w:val="clear" w:pos="1021"/>
          <w:tab w:val="left" w:pos="987"/>
        </w:tabs>
        <w:spacing w:before="72"/>
        <w:ind w:left="-3" w:right="1134"/>
        <w:rPr>
          <w:rFonts w:cs="FrankRuehl" w:hint="cs"/>
          <w:rtl/>
          <w:lang w:eastAsia="en-US"/>
        </w:rPr>
      </w:pPr>
      <w:bookmarkStart w:id="2" w:name="Seif3"/>
      <w:bookmarkEnd w:id="2"/>
      <w:r>
        <w:rPr>
          <w:lang w:val="he-IL"/>
        </w:rPr>
        <w:pict>
          <v:rect id="_x0000_s1028" style="position:absolute;left:0;text-align:left;margin-left:464.5pt;margin-top:8.05pt;width:75.05pt;height:20.2pt;z-index:251650048" o:allowincell="f" filled="f" stroked="f" strokecolor="lime" strokeweight=".25pt">
            <v:textbox style="mso-next-textbox:#_x0000_s1028" inset="0,0,0,0">
              <w:txbxContent>
                <w:p w:rsidR="007245B1" w:rsidRDefault="007245B1">
                  <w:pPr>
                    <w:spacing w:line="160" w:lineRule="exact"/>
                    <w:jc w:val="left"/>
                    <w:rPr>
                      <w:rFonts w:cs="Miriam" w:hint="cs"/>
                      <w:noProof/>
                      <w:sz w:val="18"/>
                      <w:szCs w:val="18"/>
                      <w:rtl/>
                    </w:rPr>
                  </w:pPr>
                  <w:r>
                    <w:rPr>
                      <w:rFonts w:cs="Miriam" w:hint="cs"/>
                      <w:sz w:val="18"/>
                      <w:szCs w:val="18"/>
                      <w:rtl/>
                    </w:rPr>
                    <w:t>חישוב ההיטל לנכס למגורים</w:t>
                  </w:r>
                </w:p>
              </w:txbxContent>
            </v:textbox>
            <w10:anchorlock/>
          </v:rect>
        </w:pict>
      </w:r>
      <w:r>
        <w:rPr>
          <w:rStyle w:val="big-number"/>
          <w:rFonts w:cs="Miriam"/>
          <w:rtl/>
        </w:rPr>
        <w:t>3.</w:t>
      </w:r>
      <w:r>
        <w:rPr>
          <w:rStyle w:val="big-number"/>
          <w:rFonts w:cs="Miriam"/>
          <w:rtl/>
        </w:rPr>
        <w:tab/>
      </w:r>
      <w:r w:rsidR="001A20FD">
        <w:rPr>
          <w:rFonts w:cs="FrankRuehl" w:hint="cs"/>
          <w:rtl/>
          <w:lang w:eastAsia="en-US"/>
        </w:rPr>
        <w:t>(</w:t>
      </w:r>
      <w:hyperlink r:id="rId9" w:tooltip="אזכורים" w:history="1">
        <w:r w:rsidR="00952B30" w:rsidRPr="00952B30">
          <w:rPr>
            <w:rStyle w:val="Hyperlink"/>
            <w:rtl/>
          </w:rPr>
          <w:t>*</w:t>
        </w:r>
      </w:hyperlink>
      <w:r w:rsidR="001A20FD">
        <w:rPr>
          <w:rFonts w:cs="FrankRuehl" w:hint="cs"/>
          <w:rtl/>
          <w:lang w:eastAsia="en-US"/>
        </w:rPr>
        <w:t>א)</w:t>
      </w:r>
      <w:r w:rsidR="001A20FD">
        <w:rPr>
          <w:rFonts w:cs="FrankRuehl" w:hint="cs"/>
          <w:rtl/>
          <w:lang w:eastAsia="en-US"/>
        </w:rPr>
        <w:tab/>
        <w:t>היטל ביוב לנכס למגורים, יחושב לפי שטח הקרקע ושטח הבניין שבנכס וסכומו יהיה הסכום המתקבל ממכפלת שטח הקרקע ושטח הבניין שבנכס, בשיעורם של תעריפי ההיטל שבתוקף בעת מתן ההיתר.</w:t>
      </w:r>
    </w:p>
    <w:p w:rsidR="001A20FD" w:rsidRDefault="001A20FD" w:rsidP="001A20FD">
      <w:pPr>
        <w:pStyle w:val="P00"/>
        <w:tabs>
          <w:tab w:val="clear" w:pos="1021"/>
          <w:tab w:val="left" w:pos="987"/>
        </w:tabs>
        <w:spacing w:before="72"/>
        <w:ind w:left="-3" w:right="1134"/>
        <w:rPr>
          <w:rFonts w:cs="FrankRuehl" w:hint="cs"/>
          <w:rtl/>
          <w:lang w:eastAsia="en-US"/>
        </w:rPr>
      </w:pPr>
      <w:r>
        <w:rPr>
          <w:rFonts w:cs="FrankRuehl" w:hint="cs"/>
          <w:rtl/>
          <w:lang w:eastAsia="en-US"/>
        </w:rPr>
        <w:tab/>
        <w:t>(ב)</w:t>
      </w:r>
      <w:r>
        <w:rPr>
          <w:rFonts w:cs="FrankRuehl" w:hint="cs"/>
          <w:rtl/>
          <w:lang w:eastAsia="en-US"/>
        </w:rPr>
        <w:tab/>
        <w:t>היטל שעילתו קבועה בסעיפים 2(ב)(1) ו-2(ב)(3) ישולם לפי תעריפי ההיטל המעודכנים; היטל שעילתו קבועה בסעיף 2(ב)(2) ישולם לפי תעריפי ההיטל שבתוקף בעת מתן ההיתר.</w:t>
      </w:r>
    </w:p>
    <w:p w:rsidR="001A20FD" w:rsidRDefault="001A20FD" w:rsidP="001A20FD">
      <w:pPr>
        <w:pStyle w:val="P00"/>
        <w:tabs>
          <w:tab w:val="clear" w:pos="1021"/>
          <w:tab w:val="left" w:pos="987"/>
        </w:tabs>
        <w:spacing w:before="72"/>
        <w:ind w:left="-3" w:right="1134"/>
        <w:rPr>
          <w:rFonts w:cs="FrankRuehl" w:hint="cs"/>
          <w:rtl/>
          <w:lang w:eastAsia="en-US"/>
        </w:rPr>
      </w:pPr>
      <w:r>
        <w:rPr>
          <w:rFonts w:cs="FrankRuehl" w:hint="cs"/>
          <w:rtl/>
          <w:lang w:eastAsia="en-US"/>
        </w:rPr>
        <w:tab/>
        <w:t>(ג)</w:t>
      </w:r>
      <w:r>
        <w:rPr>
          <w:rFonts w:cs="FrankRuehl" w:hint="cs"/>
          <w:rtl/>
          <w:lang w:eastAsia="en-US"/>
        </w:rPr>
        <w:tab/>
      </w:r>
      <w:r w:rsidR="003D2F47">
        <w:rPr>
          <w:rFonts w:cs="FrankRuehl" w:hint="cs"/>
          <w:rtl/>
          <w:lang w:eastAsia="en-US"/>
        </w:rPr>
        <w:t xml:space="preserve">שולמו בעד נכס דמי השתתפות, היטל קודם או היטל ביוב (להלן </w:t>
      </w:r>
      <w:r w:rsidR="003D2F47">
        <w:rPr>
          <w:rFonts w:cs="FrankRuehl"/>
          <w:rtl/>
          <w:lang w:eastAsia="en-US"/>
        </w:rPr>
        <w:t>–</w:t>
      </w:r>
      <w:r w:rsidR="003D2F47">
        <w:rPr>
          <w:rFonts w:cs="FrankRuehl" w:hint="cs"/>
          <w:rtl/>
          <w:lang w:eastAsia="en-US"/>
        </w:rPr>
        <w:t xml:space="preserve"> החיוב הראשון) בעבור ביצוע שלב ביוב, לא ייכללו שטח הקרקע ושטח הבניין בנכס בעת הטלתו של החיוב הראשון ואשר בעדם שולם אותו חיוב, במניין השטחים לפי סעיף קטן (א) לצורך חישוב היטל הביוב בעבור אותו שלב ביוב.</w:t>
      </w:r>
    </w:p>
    <w:p w:rsidR="003D2F47" w:rsidRDefault="003D2F47" w:rsidP="001A20FD">
      <w:pPr>
        <w:pStyle w:val="P00"/>
        <w:tabs>
          <w:tab w:val="clear" w:pos="1021"/>
          <w:tab w:val="left" w:pos="987"/>
        </w:tabs>
        <w:spacing w:before="72"/>
        <w:ind w:left="-3"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בעבור ביצוע שלב ביוב, יחויב בעל הנכס פעם נוספת בתשלום היטל ביוב בעבור אותו שלב ביוב, בעד בניה חדשה שנבנתה בנכס או שנתבקשה מנייתה לאחר ששולם החיוב הראשון.</w:t>
      </w:r>
    </w:p>
    <w:p w:rsidR="003D2F47" w:rsidRDefault="003D2F47" w:rsidP="001A20FD">
      <w:pPr>
        <w:pStyle w:val="P00"/>
        <w:tabs>
          <w:tab w:val="clear" w:pos="1021"/>
          <w:tab w:val="left" w:pos="987"/>
        </w:tabs>
        <w:spacing w:before="72"/>
        <w:ind w:left="-3" w:right="1134"/>
        <w:rPr>
          <w:rStyle w:val="default"/>
          <w:rFonts w:hint="cs"/>
          <w:rtl/>
        </w:rPr>
      </w:pPr>
      <w:r>
        <w:rPr>
          <w:rFonts w:cs="FrankRuehl" w:hint="cs"/>
          <w:rtl/>
          <w:lang w:eastAsia="en-US"/>
        </w:rPr>
        <w:tab/>
        <w:t>(ה)</w:t>
      </w:r>
      <w:r>
        <w:rPr>
          <w:rFonts w:cs="FrankRuehl" w:hint="cs"/>
          <w:rtl/>
          <w:lang w:eastAsia="en-US"/>
        </w:rPr>
        <w:tab/>
        <w:t>אושרה בקשה להיתר בניה בעבור בניה חדשה תחת בניין שנהרס וששולמו בעדו חיוב ראשון או היטל ביוב לפי חוק זה, יחושב ההיטל בשל הבניה החדשה על בסיס שטחה בניכוי שטח הבניין שנהרס כאמור.</w:t>
      </w:r>
    </w:p>
    <w:p w:rsidR="007245B1" w:rsidRDefault="007245B1" w:rsidP="00952B30">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9.2pt;z-index:251651072" o:allowincell="f" filled="f" stroked="f" strokecolor="lime" strokeweight=".25pt">
            <v:textbox style="mso-next-textbox:#_x0000_s1029" inset="0,0,0,0">
              <w:txbxContent>
                <w:p w:rsidR="007245B1" w:rsidRDefault="007245B1">
                  <w:pPr>
                    <w:spacing w:line="160" w:lineRule="exact"/>
                    <w:jc w:val="left"/>
                    <w:rPr>
                      <w:rFonts w:cs="Miriam" w:hint="cs"/>
                      <w:sz w:val="18"/>
                      <w:szCs w:val="18"/>
                      <w:rtl/>
                    </w:rPr>
                  </w:pPr>
                  <w:r>
                    <w:rPr>
                      <w:rFonts w:cs="Miriam" w:hint="cs"/>
                      <w:sz w:val="18"/>
                      <w:szCs w:val="18"/>
                      <w:rtl/>
                    </w:rPr>
                    <w:t>חישוב ההיטל לנכס אחר</w:t>
                  </w:r>
                </w:p>
              </w:txbxContent>
            </v:textbox>
            <w10:anchorlock/>
          </v:rect>
        </w:pict>
      </w:r>
      <w:r>
        <w:rPr>
          <w:rStyle w:val="big-number"/>
          <w:rFonts w:cs="Miriam"/>
          <w:rtl/>
        </w:rPr>
        <w:t>4.</w:t>
      </w:r>
      <w:r>
        <w:rPr>
          <w:rStyle w:val="big-number"/>
          <w:rFonts w:cs="Miriam"/>
          <w:rtl/>
        </w:rPr>
        <w:tab/>
      </w:r>
      <w:r>
        <w:rPr>
          <w:rStyle w:val="default"/>
          <w:rFonts w:hint="cs"/>
          <w:rtl/>
        </w:rPr>
        <w:t>(</w:t>
      </w:r>
      <w:hyperlink r:id="rId10" w:tooltip="אזכורים" w:history="1">
        <w:r w:rsidR="00952B30" w:rsidRPr="00952B30">
          <w:rPr>
            <w:rStyle w:val="Hyperlink"/>
            <w:rtl/>
          </w:rPr>
          <w:t>*</w:t>
        </w:r>
      </w:hyperlink>
      <w:r>
        <w:rPr>
          <w:rStyle w:val="default"/>
          <w:rFonts w:hint="cs"/>
          <w:rtl/>
        </w:rPr>
        <w:t>א)</w:t>
      </w:r>
      <w:r>
        <w:rPr>
          <w:rStyle w:val="default"/>
          <w:rFonts w:hint="cs"/>
          <w:rtl/>
        </w:rPr>
        <w:tab/>
      </w:r>
      <w:r w:rsidR="00AC3EE3">
        <w:rPr>
          <w:rFonts w:cs="FrankRuehl" w:hint="cs"/>
          <w:rtl/>
          <w:lang w:eastAsia="en-US"/>
        </w:rPr>
        <w:t>היטל ביוב לנכס אחר, יחושב לפי שטח הקרקע ונפח הבניין שבנכס, וסכומו יהיה הסכום המתקבל ממכפלת שטח הקרקע ונפח הבניין בנכס, בשיעורם של תעריפי ההיטל שבתוקף.</w:t>
      </w:r>
    </w:p>
    <w:p w:rsidR="00AC3EE3" w:rsidRDefault="00AC3EE3" w:rsidP="00AC3EE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3(ב) עד (ה) יחולו, בשינויים המחויבים לפי העניין, גם על חישוב ההיטל לנכס אחר.</w:t>
      </w:r>
    </w:p>
    <w:p w:rsidR="007245B1" w:rsidRDefault="007245B1" w:rsidP="00952B30">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9.4pt;z-index:251652096" o:allowincell="f" filled="f" stroked="f" strokecolor="lime" strokeweight=".25pt">
            <v:textbox style="mso-next-textbox:#_x0000_s1030" inset="0,0,0,0">
              <w:txbxContent>
                <w:p w:rsidR="007245B1" w:rsidRDefault="007245B1">
                  <w:pPr>
                    <w:spacing w:line="160" w:lineRule="exact"/>
                    <w:jc w:val="left"/>
                    <w:rPr>
                      <w:rFonts w:cs="Miriam" w:hint="cs"/>
                      <w:noProof/>
                      <w:sz w:val="18"/>
                      <w:szCs w:val="18"/>
                      <w:rtl/>
                    </w:rPr>
                  </w:pPr>
                  <w:r>
                    <w:rPr>
                      <w:rFonts w:cs="Miriam" w:hint="cs"/>
                      <w:sz w:val="18"/>
                      <w:szCs w:val="18"/>
                      <w:rtl/>
                    </w:rPr>
                    <w:t>היטל בשל בניה חורגת</w:t>
                  </w:r>
                </w:p>
              </w:txbxContent>
            </v:textbox>
            <w10:anchorlock/>
          </v:rect>
        </w:pict>
      </w:r>
      <w:r>
        <w:rPr>
          <w:rStyle w:val="big-number"/>
          <w:rFonts w:cs="Miriam"/>
          <w:rtl/>
        </w:rPr>
        <w:t>5.</w:t>
      </w:r>
      <w:r>
        <w:rPr>
          <w:rStyle w:val="big-number"/>
          <w:rFonts w:cs="Miriam"/>
          <w:rtl/>
        </w:rPr>
        <w:tab/>
      </w:r>
      <w:r>
        <w:rPr>
          <w:rFonts w:cs="FrankRuehl" w:hint="cs"/>
          <w:rtl/>
          <w:lang w:eastAsia="en-US"/>
        </w:rPr>
        <w:t>(</w:t>
      </w:r>
      <w:hyperlink r:id="rId11" w:tooltip="אזכורים" w:history="1">
        <w:r w:rsidR="00952B30" w:rsidRPr="00952B30">
          <w:rPr>
            <w:rStyle w:val="Hyperlink"/>
            <w:rtl/>
          </w:rPr>
          <w:t>*</w:t>
        </w:r>
      </w:hyperlink>
      <w:r>
        <w:rPr>
          <w:rFonts w:cs="FrankRuehl" w:hint="cs"/>
          <w:rtl/>
          <w:lang w:eastAsia="en-US"/>
        </w:rPr>
        <w:t>א)</w:t>
      </w:r>
      <w:r>
        <w:rPr>
          <w:rFonts w:cs="FrankRuehl" w:hint="cs"/>
          <w:rtl/>
          <w:lang w:eastAsia="en-US"/>
        </w:rPr>
        <w:tab/>
        <w:t>נבנתה בנכס בניה חורגת, חייב בעל הנכס בתשלום היטל ביוב בשל אותה בניה כפי שנקבע בסעיף 2(ב)(3).</w:t>
      </w:r>
    </w:p>
    <w:p w:rsidR="007245B1" w:rsidRDefault="007245B1" w:rsidP="007245B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הבניה החורגת, כפי שייקבע בידי המהנדס או את יום תחילת ביצוע עבודות הביוב לפי המועד המאוחר שבהם, כמועד שבו התגבש החיוב בהתאם לסעיף 2(ב)(3) (להלן </w:t>
      </w:r>
      <w:r>
        <w:rPr>
          <w:rFonts w:cs="FrankRuehl"/>
          <w:rtl/>
          <w:lang w:eastAsia="en-US"/>
        </w:rPr>
        <w:t>–</w:t>
      </w:r>
      <w:r>
        <w:rPr>
          <w:rFonts w:cs="FrankRuehl" w:hint="cs"/>
          <w:rtl/>
          <w:lang w:eastAsia="en-US"/>
        </w:rPr>
        <w:t xml:space="preserve"> מועד התגבשות החיוב).</w:t>
      </w:r>
    </w:p>
    <w:p w:rsidR="007245B1" w:rsidRDefault="007245B1" w:rsidP="007245B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364D9">
        <w:rPr>
          <w:rFonts w:cs="FrankRuehl" w:hint="cs"/>
          <w:rtl/>
          <w:lang w:eastAsia="en-US"/>
        </w:rPr>
        <w:t>לצורך תשלום היטל לפי סעיף זה תמסור העיריה לחייב דרישת תשלום.</w:t>
      </w:r>
    </w:p>
    <w:p w:rsidR="00C364D9" w:rsidRDefault="00C364D9" w:rsidP="007245B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החיוב בהיטל של הבניה החורגת יהיה הסכום הגבוה מבין אלה:</w:t>
      </w:r>
    </w:p>
    <w:p w:rsidR="00C364D9" w:rsidRDefault="00C364D9" w:rsidP="00A6158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הסכום המחושב לפי תעריפי ההיטל במועד התגבשות החיוב בתוספת תשלומי פיגורים;</w:t>
      </w:r>
    </w:p>
    <w:p w:rsidR="00C364D9" w:rsidRDefault="00C364D9" w:rsidP="00A6158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A61585">
        <w:rPr>
          <w:rFonts w:cs="FrankRuehl" w:hint="cs"/>
          <w:rtl/>
          <w:lang w:eastAsia="en-US"/>
        </w:rPr>
        <w:t xml:space="preserve">אם הועלו תעריפי ההיטל במועד כלשהו לאחר מועד התגבשות החיוב (להלן </w:t>
      </w:r>
      <w:r w:rsidR="00A61585">
        <w:rPr>
          <w:rFonts w:cs="FrankRuehl"/>
          <w:rtl/>
          <w:lang w:eastAsia="en-US"/>
        </w:rPr>
        <w:t>–</w:t>
      </w:r>
      <w:r w:rsidR="00A61585">
        <w:rPr>
          <w:rFonts w:cs="FrankRuehl" w:hint="cs"/>
          <w:rtl/>
          <w:lang w:eastAsia="en-US"/>
        </w:rPr>
        <w:t xml:space="preserve"> מועד ההעלאה) </w:t>
      </w:r>
      <w:r w:rsidR="00A61585">
        <w:rPr>
          <w:rFonts w:cs="FrankRuehl"/>
          <w:rtl/>
          <w:lang w:eastAsia="en-US"/>
        </w:rPr>
        <w:t>–</w:t>
      </w:r>
      <w:r w:rsidR="00A61585">
        <w:rPr>
          <w:rFonts w:cs="FrankRuehl" w:hint="cs"/>
          <w:rtl/>
          <w:lang w:eastAsia="en-US"/>
        </w:rPr>
        <w:t xml:space="preserve"> סכום המחושב לפי תעריפי ההיטל המעודכנים בתוספת תשלומי פיגורים החל מהמועד המאוחר מבין אלה:</w:t>
      </w:r>
    </w:p>
    <w:p w:rsidR="00A61585" w:rsidRDefault="00A61585" w:rsidP="00A61585">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rsidR="00A61585" w:rsidRDefault="00A61585" w:rsidP="00A61585">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 xml:space="preserve">חמש שנים טרם המועד שבו התגלתה הבניה החורגת; לעניין זה, "הועלו תעריפי ההיטל" </w:t>
      </w:r>
      <w:r>
        <w:rPr>
          <w:rFonts w:cs="FrankRuehl"/>
          <w:rtl/>
          <w:lang w:eastAsia="en-US"/>
        </w:rPr>
        <w:t>–</w:t>
      </w:r>
      <w:r>
        <w:rPr>
          <w:rFonts w:cs="FrankRuehl" w:hint="cs"/>
          <w:rtl/>
          <w:lang w:eastAsia="en-US"/>
        </w:rPr>
        <w:t xml:space="preserve"> באמצעות תיקונו של חוק העזר.</w:t>
      </w:r>
    </w:p>
    <w:p w:rsidR="007245B1" w:rsidRDefault="007245B1" w:rsidP="00952B30">
      <w:pPr>
        <w:pStyle w:val="P00"/>
        <w:spacing w:before="72"/>
        <w:ind w:left="0" w:right="1134"/>
        <w:rPr>
          <w:rFonts w:cs="FrankRuehl" w:hint="cs"/>
          <w:rtl/>
          <w:lang w:eastAsia="en-US"/>
        </w:rPr>
      </w:pPr>
      <w:bookmarkStart w:id="5" w:name="Seif6"/>
      <w:bookmarkEnd w:id="5"/>
      <w:r>
        <w:rPr>
          <w:lang w:val="he-IL"/>
        </w:rPr>
        <w:pict>
          <v:rect id="_x0000_s1040" style="position:absolute;left:0;text-align:left;margin-left:464.5pt;margin-top:4.45pt;width:75.05pt;height:26.2pt;z-index:251653120" o:allowincell="f" filled="f" stroked="f" strokecolor="lime" strokeweight=".25pt">
            <v:textbox style="mso-next-textbox:#_x0000_s1040" inset="0,0,0,0">
              <w:txbxContent>
                <w:p w:rsidR="007245B1" w:rsidRDefault="00A61585">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hint="cs"/>
          <w:rtl/>
        </w:rPr>
        <w:t>6</w:t>
      </w:r>
      <w:r>
        <w:rPr>
          <w:rStyle w:val="big-number"/>
          <w:rFonts w:cs="Miriam"/>
          <w:rtl/>
        </w:rPr>
        <w:t>.</w:t>
      </w:r>
      <w:r>
        <w:rPr>
          <w:rStyle w:val="big-number"/>
          <w:rFonts w:cs="Miriam"/>
          <w:rtl/>
        </w:rPr>
        <w:tab/>
      </w:r>
      <w:r w:rsidR="00327112">
        <w:rPr>
          <w:rFonts w:cs="FrankRuehl" w:hint="cs"/>
          <w:rtl/>
          <w:lang w:eastAsia="en-US"/>
        </w:rPr>
        <w:t>(</w:t>
      </w:r>
      <w:hyperlink r:id="rId12" w:tooltip="אזכורים" w:history="1">
        <w:r w:rsidR="00952B30" w:rsidRPr="00952B30">
          <w:rPr>
            <w:rStyle w:val="Hyperlink"/>
            <w:rtl/>
          </w:rPr>
          <w:t>*</w:t>
        </w:r>
      </w:hyperlink>
      <w:r w:rsidR="00327112">
        <w:rPr>
          <w:rFonts w:cs="FrankRuehl" w:hint="cs"/>
          <w:rtl/>
          <w:lang w:eastAsia="en-US"/>
        </w:rPr>
        <w:t>א)</w:t>
      </w:r>
      <w:r w:rsidR="00327112">
        <w:rPr>
          <w:rFonts w:cs="FrankRuehl" w:hint="cs"/>
          <w:rtl/>
          <w:lang w:eastAsia="en-US"/>
        </w:rPr>
        <w:tab/>
        <w:t>לצורך תשלום ההיטל, תמסור העיריה לחייב בתשלומו דרישת תשלום שבה יפורט הסעיף בחוק העזר שמכוחו הוטל ההיטל, סכום ההיטל, שטח הנכס ששימש יסוד לחיוב, המועד לתשלום, סכומי ההיטל המעודכנים אשר שימשו בסיס לחישוב חיוב בהיטל ואופן תשלום ההיטל.</w:t>
      </w:r>
    </w:p>
    <w:p w:rsidR="00327112" w:rsidRDefault="00327112" w:rsidP="0032711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כאמור בסעיף קטן (א) תימסר לבעל נכס בעת התגבשות עילת החיוב כקבוע בסעיפים 2(ב) ו-5.</w:t>
      </w:r>
    </w:p>
    <w:p w:rsidR="00327112" w:rsidRDefault="00327112" w:rsidP="0032711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E2CB2">
        <w:rPr>
          <w:rFonts w:cs="FrankRuehl" w:hint="cs"/>
          <w:rtl/>
          <w:lang w:eastAsia="en-US"/>
        </w:rPr>
        <w:t xml:space="preserve">לא נמסרה מסיבה כלשהי דרישת תשלום באחד מהמועדים הנקובים בסעיף קטן (ב) (להלן </w:t>
      </w:r>
      <w:r w:rsidR="004E2CB2">
        <w:rPr>
          <w:rFonts w:cs="FrankRuehl"/>
          <w:rtl/>
          <w:lang w:eastAsia="en-US"/>
        </w:rPr>
        <w:t>–</w:t>
      </w:r>
      <w:r w:rsidR="004E2CB2">
        <w:rPr>
          <w:rFonts w:cs="FrankRuehl" w:hint="cs"/>
          <w:rtl/>
          <w:lang w:eastAsia="en-US"/>
        </w:rPr>
        <w:t xml:space="preserve"> מועד החיוב המקורי), רשאית העיריה למסור את דרישת התשלום טרם מתן תעודת העברה לרשם המקרקעין או טרם מתן אישור העיריה לצורך העברת זכויות חכירה במינהל מקרקעי ישראל, או עם קבלת טופס 4 או תעודת גמר לפי חוק התכנון והבניה או תקנות היתר הבניה; במקרה כזה ייקבע סכום החיוב על בסיס תעריפי ההיטל כפי שהיו בתוקפם במועד החיוב המקורי בתוספת תשלומי פיגורים.</w:t>
      </w:r>
    </w:p>
    <w:p w:rsidR="004E2CB2" w:rsidRDefault="004E2CB2" w:rsidP="0032711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לעיריה היטל ביוב לפי חוק עזר זה.</w:t>
      </w:r>
    </w:p>
    <w:p w:rsidR="004E2CB2" w:rsidRDefault="004E2CB2" w:rsidP="0032711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rsidR="004E2CB2" w:rsidRDefault="004E2CB2" w:rsidP="000B023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סעיף 2(ב)(1) או 6(ב) תיפרע בתוך 10 ימים מיום מסירת דרישת תשלום או עד תום 30 יום מיום תחילת עבודת ההתקנה שבקשר אליה הוטל ההיטל;</w:t>
      </w:r>
    </w:p>
    <w:p w:rsidR="004E2CB2" w:rsidRDefault="004E2CB2" w:rsidP="000B0231">
      <w:pPr>
        <w:pStyle w:val="P00"/>
        <w:spacing w:before="72"/>
        <w:ind w:left="1021" w:right="1134"/>
        <w:rPr>
          <w:rFonts w:cs="FrankRuehl"/>
          <w:rtl/>
          <w:lang w:eastAsia="en-US"/>
        </w:rPr>
      </w:pPr>
      <w:r>
        <w:rPr>
          <w:rFonts w:cs="FrankRuehl" w:hint="cs"/>
          <w:rtl/>
          <w:lang w:eastAsia="en-US"/>
        </w:rPr>
        <w:t>(2)</w:t>
      </w:r>
      <w:r>
        <w:rPr>
          <w:rFonts w:cs="FrankRuehl" w:hint="cs"/>
          <w:rtl/>
          <w:lang w:eastAsia="en-US"/>
        </w:rPr>
        <w:tab/>
        <w:t>סעיף 2(ב)(2) או לפי סעיף קטן (ג) תיפרע בתוך 7 ימים מיום מסירתה ובכל מקרה עובר למתן ההיתר התעודה או האישור המבוקשים וכתנאי להוצאתם.</w:t>
      </w:r>
    </w:p>
    <w:p w:rsidR="007245B1" w:rsidRDefault="007245B1" w:rsidP="00952B30">
      <w:pPr>
        <w:pStyle w:val="P00"/>
        <w:spacing w:before="72"/>
        <w:ind w:left="0" w:right="1134"/>
        <w:rPr>
          <w:rFonts w:cs="FrankRuehl" w:hint="cs"/>
          <w:rtl/>
          <w:lang w:eastAsia="en-US"/>
        </w:rPr>
      </w:pPr>
      <w:bookmarkStart w:id="6" w:name="Seif9"/>
      <w:bookmarkEnd w:id="6"/>
      <w:r>
        <w:rPr>
          <w:lang w:val="he-IL"/>
        </w:rPr>
        <w:pict>
          <v:rect id="_x0000_s1063" style="position:absolute;left:0;text-align:left;margin-left:464.5pt;margin-top:8.05pt;width:75.05pt;height:16pt;z-index:251656192" o:allowincell="f" filled="f" stroked="f" strokecolor="lime" strokeweight=".25pt">
            <v:textbox style="mso-next-textbox:#_x0000_s1063" inset="0,0,0,0">
              <w:txbxContent>
                <w:p w:rsidR="007245B1" w:rsidRDefault="000B0231">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hint="cs"/>
          <w:rtl/>
        </w:rPr>
        <w:t>7</w:t>
      </w:r>
      <w:r>
        <w:rPr>
          <w:rStyle w:val="big-number"/>
          <w:rFonts w:cs="Miriam"/>
          <w:rtl/>
        </w:rPr>
        <w:t>.</w:t>
      </w:r>
      <w:r>
        <w:rPr>
          <w:rStyle w:val="big-number"/>
          <w:rFonts w:cs="Miriam"/>
          <w:rtl/>
        </w:rPr>
        <w:tab/>
      </w:r>
      <w:r w:rsidR="000B0231">
        <w:rPr>
          <w:rFonts w:cs="FrankRuehl" w:hint="cs"/>
          <w:rtl/>
          <w:lang w:eastAsia="en-US"/>
        </w:rPr>
        <w:t>(</w:t>
      </w:r>
      <w:hyperlink r:id="rId13" w:tooltip="אזכורים" w:history="1">
        <w:r w:rsidR="00952B30" w:rsidRPr="00952B30">
          <w:rPr>
            <w:rStyle w:val="Hyperlink"/>
            <w:rtl/>
          </w:rPr>
          <w:t>*</w:t>
        </w:r>
      </w:hyperlink>
      <w:r w:rsidR="000B0231">
        <w:rPr>
          <w:rFonts w:cs="FrankRuehl" w:hint="cs"/>
          <w:rtl/>
          <w:lang w:eastAsia="en-US"/>
        </w:rPr>
        <w:t>א)</w:t>
      </w:r>
      <w:r w:rsidR="000B0231">
        <w:rPr>
          <w:rFonts w:cs="FrankRuehl" w:hint="cs"/>
          <w:rtl/>
          <w:lang w:eastAsia="en-US"/>
        </w:rPr>
        <w:tab/>
        <w:t>בעל נכס או מחזיק בו המבקש לחבר ביב פרטי שבנכס לביוב, יגיש למהנדס בקשה בכתב בצירוף תכנית החיבור.</w:t>
      </w:r>
    </w:p>
    <w:p w:rsidR="000B0231" w:rsidRDefault="000B0231" w:rsidP="000B023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יחובר ביב פרטי לביוב אלא לאחר תשלום ההיטל וקבלת אישור מראש ובכתב מאת המהנדס.</w:t>
      </w:r>
    </w:p>
    <w:p w:rsidR="000B0231" w:rsidRDefault="000B0231" w:rsidP="000B023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המהנדס רשאי להתנות מתן אישור כאמור בסעיף קטן (ב), בתנאים שיקבע, ובקיום הוראות כל דין, לרבות חוק התכנון והבניה.</w:t>
      </w:r>
    </w:p>
    <w:p w:rsidR="000B0231" w:rsidRDefault="000B0231" w:rsidP="000B023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יחובר ביב פרטי לביוב אלא בידי העיריה, או בידי מי שניתן לו אישור בכתב מאת המהנדס.</w:t>
      </w:r>
    </w:p>
    <w:p w:rsidR="000B0231" w:rsidRDefault="000B0231" w:rsidP="000B023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חובר ביב פרטי לביוב שלא על פי הוראות חוק עזר זה או בניגוד לכל דין, רשאי ראש העיריה להורות לבעל הנכס כי החיבור האמור ייהרס בדרך ובתנאים שקבע המהנדס; בעל נכס שקיבל הוראה כאמור, ימלא אחריה במועד שנקבע בה.</w:t>
      </w:r>
    </w:p>
    <w:p w:rsidR="007245B1" w:rsidRDefault="007245B1" w:rsidP="00952B30">
      <w:pPr>
        <w:pStyle w:val="P00"/>
        <w:spacing w:before="72"/>
        <w:ind w:left="0" w:right="1134"/>
        <w:rPr>
          <w:rFonts w:cs="FrankRuehl" w:hint="cs"/>
          <w:rtl/>
          <w:lang w:eastAsia="en-US"/>
        </w:rPr>
      </w:pPr>
      <w:bookmarkStart w:id="7" w:name="Seif7"/>
      <w:bookmarkEnd w:id="7"/>
      <w:r>
        <w:rPr>
          <w:lang w:val="he-IL"/>
        </w:rPr>
        <w:pict>
          <v:rect id="_x0000_s1041" style="position:absolute;left:0;text-align:left;margin-left:464.5pt;margin-top:8.05pt;width:75.05pt;height:16.9pt;z-index:251654144" o:allowincell="f" filled="f" stroked="f" strokecolor="lime" strokeweight=".25pt">
            <v:textbox style="mso-next-textbox:#_x0000_s1041" inset="0,0,0,0">
              <w:txbxContent>
                <w:p w:rsidR="007245B1" w:rsidRDefault="0001410D">
                  <w:pPr>
                    <w:spacing w:line="160" w:lineRule="exact"/>
                    <w:jc w:val="left"/>
                    <w:rPr>
                      <w:rFonts w:cs="Miriam" w:hint="cs"/>
                      <w:noProof/>
                      <w:sz w:val="18"/>
                      <w:szCs w:val="18"/>
                      <w:rtl/>
                    </w:rPr>
                  </w:pPr>
                  <w:r>
                    <w:rPr>
                      <w:rFonts w:cs="Miriam" w:hint="cs"/>
                      <w:sz w:val="18"/>
                      <w:szCs w:val="18"/>
                      <w:rtl/>
                    </w:rPr>
                    <w:t>התקנת ביב פרטי</w:t>
                  </w:r>
                </w:p>
              </w:txbxContent>
            </v:textbox>
            <w10:anchorlock/>
          </v:rect>
        </w:pict>
      </w:r>
      <w:r>
        <w:rPr>
          <w:rStyle w:val="big-number"/>
          <w:rFonts w:cs="Miriam" w:hint="cs"/>
          <w:rtl/>
        </w:rPr>
        <w:t>8</w:t>
      </w:r>
      <w:r>
        <w:rPr>
          <w:rStyle w:val="big-number"/>
          <w:rFonts w:cs="Miriam"/>
          <w:rtl/>
        </w:rPr>
        <w:t>.</w:t>
      </w:r>
      <w:r>
        <w:rPr>
          <w:rStyle w:val="big-number"/>
          <w:rFonts w:cs="Miriam"/>
          <w:rtl/>
        </w:rPr>
        <w:tab/>
      </w:r>
      <w:r w:rsidR="0001410D">
        <w:rPr>
          <w:rFonts w:cs="FrankRuehl" w:hint="cs"/>
          <w:rtl/>
          <w:lang w:eastAsia="en-US"/>
        </w:rPr>
        <w:t>ל</w:t>
      </w:r>
      <w:hyperlink r:id="rId14" w:tooltip="אזכורים" w:history="1">
        <w:r w:rsidR="00952B30" w:rsidRPr="00952B30">
          <w:rPr>
            <w:rStyle w:val="Hyperlink"/>
            <w:rtl/>
          </w:rPr>
          <w:t>*</w:t>
        </w:r>
      </w:hyperlink>
      <w:r w:rsidR="0001410D">
        <w:rPr>
          <w:rFonts w:cs="FrankRuehl" w:hint="cs"/>
          <w:rtl/>
          <w:lang w:eastAsia="en-US"/>
        </w:rPr>
        <w:t xml:space="preserve">א יבצע אדם עבודות להתקנת ביב פרטי, אלא לפי תכנית ביצוע שאושרה בידי המהנדס; לעניין סעיף זה, "התקנת ביב פרטי" </w:t>
      </w:r>
      <w:r w:rsidR="0001410D">
        <w:rPr>
          <w:rFonts w:cs="FrankRuehl"/>
          <w:rtl/>
          <w:lang w:eastAsia="en-US"/>
        </w:rPr>
        <w:t>–</w:t>
      </w:r>
      <w:r w:rsidR="0001410D">
        <w:rPr>
          <w:rFonts w:cs="FrankRuehl" w:hint="cs"/>
          <w:rtl/>
          <w:lang w:eastAsia="en-US"/>
        </w:rPr>
        <w:t xml:space="preserve"> לרבות חיבור, שינוי או תיקון של ביב פרטי.</w:t>
      </w:r>
    </w:p>
    <w:p w:rsidR="007245B1" w:rsidRDefault="007245B1" w:rsidP="00952B30">
      <w:pPr>
        <w:pStyle w:val="P00"/>
        <w:spacing w:before="72"/>
        <w:ind w:left="0" w:right="1134"/>
        <w:rPr>
          <w:rFonts w:cs="FrankRuehl" w:hint="cs"/>
          <w:rtl/>
          <w:lang w:eastAsia="en-US"/>
        </w:rPr>
      </w:pPr>
      <w:bookmarkStart w:id="8" w:name="Seif8"/>
      <w:bookmarkEnd w:id="8"/>
      <w:r w:rsidRPr="006F653E">
        <w:rPr>
          <w:rFonts w:cs="Miriam"/>
          <w:sz w:val="32"/>
          <w:szCs w:val="32"/>
          <w:lang w:val="he-IL"/>
        </w:rPr>
        <w:pict>
          <v:rect id="_x0000_s1046" style="position:absolute;left:0;text-align:left;margin-left:464.5pt;margin-top:8.05pt;width:75.05pt;height:16.45pt;z-index:251655168" o:allowincell="f" filled="f" stroked="f" strokecolor="lime" strokeweight=".25pt">
            <v:textbox inset="0,0,0,0">
              <w:txbxContent>
                <w:p w:rsidR="007245B1" w:rsidRDefault="0001410D">
                  <w:pPr>
                    <w:spacing w:line="160" w:lineRule="exact"/>
                    <w:jc w:val="left"/>
                    <w:rPr>
                      <w:rFonts w:cs="Miriam" w:hint="cs"/>
                      <w:noProof/>
                      <w:sz w:val="18"/>
                      <w:szCs w:val="18"/>
                      <w:rtl/>
                    </w:rPr>
                  </w:pPr>
                  <w:r>
                    <w:rPr>
                      <w:rFonts w:cs="Miriam" w:hint="cs"/>
                      <w:sz w:val="18"/>
                      <w:szCs w:val="18"/>
                      <w:rtl/>
                    </w:rPr>
                    <w:t>שערוך חובות וחיובים</w:t>
                  </w:r>
                </w:p>
              </w:txbxContent>
            </v:textbox>
            <w10:anchorlock/>
          </v:rect>
        </w:pict>
      </w:r>
      <w:r w:rsidRPr="006F653E">
        <w:rPr>
          <w:rFonts w:cs="Miriam" w:hint="cs"/>
          <w:sz w:val="32"/>
          <w:szCs w:val="32"/>
          <w:rtl/>
          <w:lang w:val="he-IL"/>
        </w:rPr>
        <w:t>9</w:t>
      </w:r>
      <w:r>
        <w:rPr>
          <w:rStyle w:val="big-number"/>
          <w:rFonts w:cs="Miriam"/>
          <w:rtl/>
        </w:rPr>
        <w:t>.</w:t>
      </w:r>
      <w:r>
        <w:rPr>
          <w:rtl/>
          <w:lang w:val="he-IL"/>
        </w:rPr>
        <w:tab/>
      </w:r>
      <w:r w:rsidR="0001410D">
        <w:rPr>
          <w:rFonts w:cs="FrankRuehl" w:hint="cs"/>
          <w:rtl/>
          <w:lang w:eastAsia="en-US"/>
        </w:rPr>
        <w:t>(</w:t>
      </w:r>
      <w:hyperlink r:id="rId15" w:tooltip="אזכורים" w:history="1">
        <w:r w:rsidR="00952B30" w:rsidRPr="00952B30">
          <w:rPr>
            <w:rStyle w:val="Hyperlink"/>
            <w:rtl/>
          </w:rPr>
          <w:t>*</w:t>
        </w:r>
      </w:hyperlink>
      <w:r w:rsidR="0001410D">
        <w:rPr>
          <w:rFonts w:cs="FrankRuehl" w:hint="cs"/>
          <w:rtl/>
          <w:lang w:eastAsia="en-US"/>
        </w:rPr>
        <w:t>א)</w:t>
      </w:r>
      <w:r w:rsidR="0001410D">
        <w:rPr>
          <w:rFonts w:cs="FrankRuehl" w:hint="cs"/>
          <w:rtl/>
          <w:lang w:eastAsia="en-US"/>
        </w:rPr>
        <w:tab/>
        <w:t>לא שולם במועדו היטל ביוב שנמסרה לגביו דרישת תשלום לפי סעיף 2(ב)(1) או סעיף 5 יחושב סכום ההיטל לפי שיעורו בדרישת התשלום, בתוספת תשלומי פיגורים עד יום התשלום בפועל.</w:t>
      </w:r>
    </w:p>
    <w:p w:rsidR="0001410D" w:rsidRDefault="0001410D" w:rsidP="0001410D">
      <w:pPr>
        <w:pStyle w:val="P00"/>
        <w:spacing w:before="72"/>
        <w:ind w:left="0" w:right="1134"/>
        <w:rPr>
          <w:rFonts w:cs="FrankRuehl" w:hint="cs"/>
          <w:rtl/>
          <w:lang w:val="he-IL"/>
        </w:rPr>
      </w:pPr>
      <w:r>
        <w:rPr>
          <w:rFonts w:cs="FrankRuehl" w:hint="cs"/>
          <w:rtl/>
          <w:lang w:eastAsia="en-US"/>
        </w:rPr>
        <w:tab/>
        <w:t>(ב)</w:t>
      </w:r>
      <w:r>
        <w:rPr>
          <w:rFonts w:cs="FrankRuehl" w:hint="cs"/>
          <w:rtl/>
          <w:lang w:eastAsia="en-US"/>
        </w:rPr>
        <w:tab/>
        <w:t>לא שולם במועדו היטל ביוב שנמסרה לגביו דרישת תשלום לפי סעיף 2(ב)(2) ישולם ההיטל לפי שיעור תעריף ההיטל שבתוקף בתוספת הפרשי הצמדה.</w:t>
      </w:r>
    </w:p>
    <w:p w:rsidR="006F653E" w:rsidRDefault="006F653E" w:rsidP="00952B30">
      <w:pPr>
        <w:pStyle w:val="P00"/>
        <w:spacing w:before="72"/>
        <w:ind w:left="0" w:right="1134"/>
        <w:rPr>
          <w:rFonts w:cs="FrankRuehl" w:hint="cs"/>
          <w:rtl/>
          <w:lang w:eastAsia="en-US"/>
        </w:rPr>
      </w:pPr>
      <w:bookmarkStart w:id="9" w:name="Seif10"/>
      <w:bookmarkEnd w:id="9"/>
      <w:r w:rsidRPr="006F653E">
        <w:rPr>
          <w:rFonts w:cs="Miriam"/>
          <w:sz w:val="32"/>
          <w:szCs w:val="32"/>
          <w:lang w:val="he-IL"/>
        </w:rPr>
        <w:pict>
          <v:rect id="_x0000_s1065" style="position:absolute;left:0;text-align:left;margin-left:464.5pt;margin-top:8.05pt;width:75.05pt;height:13.7pt;z-index:251657216" o:allowincell="f" filled="f" stroked="f" strokecolor="lime" strokeweight=".25pt">
            <v:textbox inset="0,0,0,0">
              <w:txbxContent>
                <w:p w:rsidR="007245B1" w:rsidRDefault="0001410D" w:rsidP="006F653E">
                  <w:pPr>
                    <w:spacing w:line="160" w:lineRule="exact"/>
                    <w:jc w:val="left"/>
                    <w:rPr>
                      <w:rFonts w:cs="Miriam" w:hint="cs"/>
                      <w:noProof/>
                      <w:sz w:val="18"/>
                      <w:szCs w:val="18"/>
                      <w:rtl/>
                    </w:rPr>
                  </w:pPr>
                  <w:r>
                    <w:rPr>
                      <w:rFonts w:cs="Miriam" w:hint="cs"/>
                      <w:sz w:val="18"/>
                      <w:szCs w:val="18"/>
                      <w:rtl/>
                    </w:rPr>
                    <w:t>טעות בחיוב</w:t>
                  </w:r>
                </w:p>
              </w:txbxContent>
            </v:textbox>
            <w10:anchorlock/>
          </v:rect>
        </w:pict>
      </w:r>
      <w:r>
        <w:rPr>
          <w:rFonts w:cs="Miriam" w:hint="cs"/>
          <w:sz w:val="32"/>
          <w:szCs w:val="32"/>
          <w:rtl/>
          <w:lang w:val="he-IL"/>
        </w:rPr>
        <w:t>10</w:t>
      </w:r>
      <w:r>
        <w:rPr>
          <w:rStyle w:val="big-number"/>
          <w:rFonts w:cs="Miriam"/>
          <w:rtl/>
        </w:rPr>
        <w:t>.</w:t>
      </w:r>
      <w:r>
        <w:rPr>
          <w:rtl/>
          <w:lang w:val="he-IL"/>
        </w:rPr>
        <w:tab/>
      </w:r>
      <w:r w:rsidR="0001410D">
        <w:rPr>
          <w:rFonts w:cs="FrankRuehl" w:hint="cs"/>
          <w:rtl/>
          <w:lang w:eastAsia="en-US"/>
        </w:rPr>
        <w:t>ש</w:t>
      </w:r>
      <w:hyperlink r:id="rId16" w:tooltip="אזכורים" w:history="1">
        <w:r w:rsidR="00952B30" w:rsidRPr="00952B30">
          <w:rPr>
            <w:rStyle w:val="Hyperlink"/>
            <w:rtl/>
          </w:rPr>
          <w:t>*</w:t>
        </w:r>
      </w:hyperlink>
      <w:r w:rsidR="0001410D">
        <w:rPr>
          <w:rFonts w:cs="FrankRuehl" w:hint="cs"/>
          <w:rtl/>
          <w:lang w:eastAsia="en-US"/>
        </w:rPr>
        <w:t>ולם לעיריה בטעות סכום נמוך או גבוה מהסכום המחושב לפי תעריפי ההיטל שבתוקף, ישלם החייב בתשלום ההיטל או יוחזר לו, לפי העניין, ההפרש שבין הסכום ששולם בפועל לבין סכום ההיטל המגיע לפי תעריף ההיטל שהיה בתוקף ביום התשלום.</w:t>
      </w:r>
    </w:p>
    <w:p w:rsidR="006F653E" w:rsidRDefault="006F653E" w:rsidP="00952B30">
      <w:pPr>
        <w:pStyle w:val="P00"/>
        <w:spacing w:before="72"/>
        <w:ind w:left="0" w:right="1134"/>
        <w:rPr>
          <w:rFonts w:cs="FrankRuehl" w:hint="cs"/>
          <w:rtl/>
          <w:lang w:val="he-IL"/>
        </w:rPr>
      </w:pPr>
      <w:bookmarkStart w:id="10" w:name="Seif11"/>
      <w:bookmarkEnd w:id="10"/>
      <w:r w:rsidRPr="006F653E">
        <w:rPr>
          <w:rFonts w:cs="Miriam"/>
          <w:sz w:val="32"/>
          <w:szCs w:val="32"/>
          <w:lang w:val="he-IL"/>
        </w:rPr>
        <w:pict>
          <v:rect id="_x0000_s1066" style="position:absolute;left:0;text-align:left;margin-left:464.5pt;margin-top:8.05pt;width:75.05pt;height:12.6pt;z-index:251658240" o:allowincell="f" filled="f" stroked="f" strokecolor="lime" strokeweight=".25pt">
            <v:textbox inset="0,0,0,0">
              <w:txbxContent>
                <w:p w:rsidR="007245B1" w:rsidRDefault="0001410D" w:rsidP="006F653E">
                  <w:pPr>
                    <w:spacing w:line="160" w:lineRule="exact"/>
                    <w:jc w:val="left"/>
                    <w:rPr>
                      <w:rFonts w:cs="Miriam" w:hint="cs"/>
                      <w:noProof/>
                      <w:sz w:val="18"/>
                      <w:szCs w:val="18"/>
                      <w:rtl/>
                    </w:rPr>
                  </w:pPr>
                  <w:r>
                    <w:rPr>
                      <w:rFonts w:cs="Miriam" w:hint="cs"/>
                      <w:sz w:val="18"/>
                      <w:szCs w:val="18"/>
                      <w:rtl/>
                    </w:rPr>
                    <w:t>איסור פגיעה בביוב</w:t>
                  </w:r>
                </w:p>
              </w:txbxContent>
            </v:textbox>
            <w10:anchorlock/>
          </v:rect>
        </w:pict>
      </w:r>
      <w:r w:rsidR="0001410D">
        <w:rPr>
          <w:rFonts w:cs="Miriam" w:hint="cs"/>
          <w:sz w:val="32"/>
          <w:szCs w:val="32"/>
          <w:rtl/>
          <w:lang w:val="he-IL"/>
        </w:rPr>
        <w:t>11</w:t>
      </w:r>
      <w:r>
        <w:rPr>
          <w:rStyle w:val="big-number"/>
          <w:rFonts w:cs="Miriam"/>
          <w:rtl/>
        </w:rPr>
        <w:t>.</w:t>
      </w:r>
      <w:r>
        <w:rPr>
          <w:rtl/>
          <w:lang w:val="he-IL"/>
        </w:rPr>
        <w:tab/>
      </w:r>
      <w:r w:rsidR="0001410D">
        <w:rPr>
          <w:rFonts w:cs="FrankRuehl" w:hint="cs"/>
          <w:rtl/>
          <w:lang w:eastAsia="en-US"/>
        </w:rPr>
        <w:t>ל</w:t>
      </w:r>
      <w:hyperlink r:id="rId17" w:tooltip="אזכורים" w:history="1">
        <w:r w:rsidR="00952B30" w:rsidRPr="00952B30">
          <w:rPr>
            <w:rStyle w:val="Hyperlink"/>
            <w:rtl/>
          </w:rPr>
          <w:t>*</w:t>
        </w:r>
      </w:hyperlink>
      <w:r w:rsidR="0001410D">
        <w:rPr>
          <w:rFonts w:cs="FrankRuehl" w:hint="cs"/>
          <w:rtl/>
          <w:lang w:eastAsia="en-US"/>
        </w:rPr>
        <w:t>א יעשה אדם מעשה העלול לפגוע או להזיק לביוב השייך לעיריה.</w:t>
      </w:r>
    </w:p>
    <w:p w:rsidR="006F653E" w:rsidRDefault="006F653E" w:rsidP="00952B30">
      <w:pPr>
        <w:pStyle w:val="P00"/>
        <w:spacing w:before="72"/>
        <w:ind w:left="0" w:right="1134"/>
        <w:rPr>
          <w:rFonts w:cs="FrankRuehl" w:hint="cs"/>
          <w:rtl/>
          <w:lang w:eastAsia="en-US"/>
        </w:rPr>
      </w:pPr>
      <w:bookmarkStart w:id="11" w:name="Seif12"/>
      <w:bookmarkEnd w:id="11"/>
      <w:r w:rsidRPr="006F653E">
        <w:rPr>
          <w:rFonts w:cs="Miriam"/>
          <w:sz w:val="32"/>
          <w:szCs w:val="32"/>
          <w:lang w:val="he-IL"/>
        </w:rPr>
        <w:pict>
          <v:rect id="_x0000_s1067" style="position:absolute;left:0;text-align:left;margin-left:464.5pt;margin-top:8.05pt;width:75.05pt;height:15.05pt;z-index:251659264" o:allowincell="f" filled="f" stroked="f" strokecolor="lime" strokeweight=".25pt">
            <v:textbox inset="0,0,0,0">
              <w:txbxContent>
                <w:p w:rsidR="007245B1" w:rsidRDefault="0001410D" w:rsidP="006F653E">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0001410D">
        <w:rPr>
          <w:rFonts w:cs="Miriam" w:hint="cs"/>
          <w:sz w:val="32"/>
          <w:szCs w:val="32"/>
          <w:rtl/>
          <w:lang w:val="he-IL"/>
        </w:rPr>
        <w:t>12</w:t>
      </w:r>
      <w:r>
        <w:rPr>
          <w:rStyle w:val="big-number"/>
          <w:rFonts w:cs="Miriam"/>
          <w:rtl/>
        </w:rPr>
        <w:t>.</w:t>
      </w:r>
      <w:r>
        <w:rPr>
          <w:rtl/>
          <w:lang w:val="he-IL"/>
        </w:rPr>
        <w:tab/>
      </w:r>
      <w:r w:rsidR="0001410D">
        <w:rPr>
          <w:rFonts w:cs="FrankRuehl" w:hint="cs"/>
          <w:rtl/>
          <w:lang w:eastAsia="en-US"/>
        </w:rPr>
        <w:t>מ</w:t>
      </w:r>
      <w:hyperlink r:id="rId18" w:tooltip="אזכורים" w:history="1">
        <w:r w:rsidR="00952B30" w:rsidRPr="00952B30">
          <w:rPr>
            <w:rStyle w:val="Hyperlink"/>
            <w:rtl/>
          </w:rPr>
          <w:t>*</w:t>
        </w:r>
      </w:hyperlink>
      <w:r w:rsidR="0001410D">
        <w:rPr>
          <w:rFonts w:cs="FrankRuehl" w:hint="cs"/>
          <w:rtl/>
          <w:lang w:eastAsia="en-US"/>
        </w:rPr>
        <w:t>סירת דרישת תשלום לפי חוק עזר זה תהא כדין אם נמסרה לידי האדם שאליו היא מכוונת או אם נמסרה במקום מגוריו או במקום עסקיו הרגילים או הידועים לאחרונה, לידי אחד מבני משפחתו הבגירים או לידי אדם בגיר העובד או מועסק שם או אם נשלחה בדואר במכתב רשום הערוך אל אותו אדם לפי מען מקום מגוריו או עסקיו הרגילים או הידועים לאחרונה; אם אי אפשר לקיים את המסירה כאמור תהא המסירה בדרך של הצגת דרישת התשלום במקום בולט לעין באחד המקומות האמורים או על הנכס שבו היא דנה.</w:t>
      </w:r>
    </w:p>
    <w:p w:rsidR="006F653E" w:rsidRDefault="006F653E" w:rsidP="00952B30">
      <w:pPr>
        <w:pStyle w:val="P00"/>
        <w:spacing w:before="72"/>
        <w:ind w:left="0" w:right="1134"/>
        <w:rPr>
          <w:rFonts w:cs="FrankRuehl" w:hint="cs"/>
          <w:rtl/>
          <w:lang w:val="he-IL"/>
        </w:rPr>
      </w:pPr>
      <w:bookmarkStart w:id="12" w:name="Seif13"/>
      <w:bookmarkEnd w:id="12"/>
      <w:r w:rsidRPr="006F653E">
        <w:rPr>
          <w:rFonts w:cs="Miriam"/>
          <w:sz w:val="32"/>
          <w:szCs w:val="32"/>
          <w:lang w:val="he-IL"/>
        </w:rPr>
        <w:pict>
          <v:rect id="_x0000_s1068" style="position:absolute;left:0;text-align:left;margin-left:464.5pt;margin-top:8.05pt;width:75.05pt;height:20.8pt;z-index:251660288" o:allowincell="f" filled="f" stroked="f" strokecolor="lime" strokeweight=".25pt">
            <v:textbox inset="0,0,0,0">
              <w:txbxContent>
                <w:p w:rsidR="007245B1" w:rsidRDefault="0001410D" w:rsidP="006F653E">
                  <w:pPr>
                    <w:spacing w:line="160" w:lineRule="exact"/>
                    <w:jc w:val="left"/>
                    <w:rPr>
                      <w:rFonts w:cs="Miriam" w:hint="cs"/>
                      <w:noProof/>
                      <w:sz w:val="18"/>
                      <w:szCs w:val="18"/>
                      <w:rtl/>
                    </w:rPr>
                  </w:pPr>
                  <w:r>
                    <w:rPr>
                      <w:rFonts w:cs="Miriam" w:hint="cs"/>
                      <w:sz w:val="18"/>
                      <w:szCs w:val="18"/>
                      <w:rtl/>
                    </w:rPr>
                    <w:t>אחריות הדדית על בעלי הנכס</w:t>
                  </w:r>
                </w:p>
              </w:txbxContent>
            </v:textbox>
            <w10:anchorlock/>
          </v:rect>
        </w:pict>
      </w:r>
      <w:r w:rsidR="0001410D">
        <w:rPr>
          <w:rFonts w:cs="Miriam" w:hint="cs"/>
          <w:sz w:val="32"/>
          <w:szCs w:val="32"/>
          <w:rtl/>
          <w:lang w:val="he-IL"/>
        </w:rPr>
        <w:t>13</w:t>
      </w:r>
      <w:r>
        <w:rPr>
          <w:rStyle w:val="big-number"/>
          <w:rFonts w:cs="Miriam"/>
          <w:rtl/>
        </w:rPr>
        <w:t>.</w:t>
      </w:r>
      <w:r>
        <w:rPr>
          <w:rtl/>
          <w:lang w:val="he-IL"/>
        </w:rPr>
        <w:tab/>
      </w:r>
      <w:r w:rsidR="0001410D">
        <w:rPr>
          <w:rFonts w:cs="FrankRuehl" w:hint="cs"/>
          <w:rtl/>
          <w:lang w:eastAsia="en-US"/>
        </w:rPr>
        <w:t>מ</w:t>
      </w:r>
      <w:hyperlink r:id="rId19" w:tooltip="אזכורים" w:history="1">
        <w:r w:rsidR="00952B30" w:rsidRPr="00952B30">
          <w:rPr>
            <w:rStyle w:val="Hyperlink"/>
            <w:rtl/>
          </w:rPr>
          <w:t>*</w:t>
        </w:r>
      </w:hyperlink>
      <w:r w:rsidR="0001410D">
        <w:rPr>
          <w:rFonts w:cs="FrankRuehl" w:hint="cs"/>
          <w:rtl/>
          <w:lang w:eastAsia="en-US"/>
        </w:rPr>
        <w:t>קום שבחוק עזר זה מוטלת חובה על בעל נכס, חייבים בקיומה, יחד ולחוד, כל אלה שהם בעלי הנכס; קיים אחד מהם את החובה, חייבים האחרים להשתתף בהוצאותיו או לפצותו בדרך אחרת כפי שנקבע בהסכם ביניהם, ובאין הסכם, בהתאם לשיעור ההנאה של כל אחד מהם בנכס.</w:t>
      </w:r>
    </w:p>
    <w:p w:rsidR="006F653E" w:rsidRDefault="006F653E" w:rsidP="00952B30">
      <w:pPr>
        <w:pStyle w:val="P00"/>
        <w:spacing w:before="72"/>
        <w:ind w:left="0" w:right="1134"/>
        <w:rPr>
          <w:rFonts w:cs="FrankRuehl" w:hint="cs"/>
          <w:rtl/>
          <w:lang w:eastAsia="en-US"/>
        </w:rPr>
      </w:pPr>
      <w:bookmarkStart w:id="13" w:name="Seif14"/>
      <w:bookmarkEnd w:id="13"/>
      <w:r w:rsidRPr="006F653E">
        <w:rPr>
          <w:rFonts w:cs="Miriam"/>
          <w:sz w:val="32"/>
          <w:szCs w:val="32"/>
          <w:lang w:val="he-IL"/>
        </w:rPr>
        <w:pict>
          <v:rect id="_x0000_s1069" style="position:absolute;left:0;text-align:left;margin-left:464.5pt;margin-top:8.05pt;width:75.05pt;height:25.3pt;z-index:251661312" o:allowincell="f" filled="f" stroked="f" strokecolor="lime" strokeweight=".25pt">
            <v:textbox inset="0,0,0,0">
              <w:txbxContent>
                <w:p w:rsidR="007245B1" w:rsidRDefault="0001410D" w:rsidP="006F653E">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0001410D">
        <w:rPr>
          <w:rFonts w:cs="Miriam" w:hint="cs"/>
          <w:sz w:val="32"/>
          <w:szCs w:val="32"/>
          <w:rtl/>
          <w:lang w:val="he-IL"/>
        </w:rPr>
        <w:t>14</w:t>
      </w:r>
      <w:r>
        <w:rPr>
          <w:rStyle w:val="big-number"/>
          <w:rFonts w:cs="Miriam"/>
          <w:rtl/>
        </w:rPr>
        <w:t>.</w:t>
      </w:r>
      <w:r>
        <w:rPr>
          <w:rtl/>
          <w:lang w:val="he-IL"/>
        </w:rPr>
        <w:tab/>
      </w:r>
      <w:r w:rsidR="0001410D">
        <w:rPr>
          <w:rFonts w:cs="FrankRuehl" w:hint="cs"/>
          <w:rtl/>
          <w:lang w:eastAsia="en-US"/>
        </w:rPr>
        <w:t>(</w:t>
      </w:r>
      <w:hyperlink r:id="rId20" w:tooltip="אזכורים" w:history="1">
        <w:r w:rsidR="00952B30" w:rsidRPr="00952B30">
          <w:rPr>
            <w:rStyle w:val="Hyperlink"/>
            <w:rtl/>
          </w:rPr>
          <w:t>*</w:t>
        </w:r>
      </w:hyperlink>
      <w:r w:rsidR="0001410D">
        <w:rPr>
          <w:rFonts w:cs="FrankRuehl" w:hint="cs"/>
          <w:rtl/>
          <w:lang w:eastAsia="en-US"/>
        </w:rPr>
        <w:t>א)</w:t>
      </w:r>
      <w:r w:rsidR="0001410D">
        <w:rPr>
          <w:rFonts w:cs="FrankRuehl" w:hint="cs"/>
          <w:rtl/>
          <w:lang w:eastAsia="en-US"/>
        </w:rPr>
        <w:tab/>
        <w:t xml:space="preserve">היתה העיריה מוסמכת לחייב בעל נכס בתשלום היטל קודם (להלן </w:t>
      </w:r>
      <w:r w:rsidR="0001410D">
        <w:rPr>
          <w:rFonts w:cs="FrankRuehl"/>
          <w:rtl/>
          <w:lang w:eastAsia="en-US"/>
        </w:rPr>
        <w:t>–</w:t>
      </w:r>
      <w:r w:rsidR="0001410D">
        <w:rPr>
          <w:rFonts w:cs="FrankRuehl" w:hint="cs"/>
          <w:rtl/>
          <w:lang w:eastAsia="en-US"/>
        </w:rPr>
        <w:t xml:space="preserve"> החיוב הקודם) וזה לא נדרש על ידה, ישלם בעל הנכס לעיריה, לפי דרישתה, את ההיטל הקודם וזאת בהתאם להוראות חוק העזר הקודם שמכוחו היתה העיריה מוסמכת להטילו בכפוף לסעיפים קטנים (ב) ו-(ג).</w:t>
      </w:r>
    </w:p>
    <w:p w:rsidR="0001410D" w:rsidRDefault="0001410D" w:rsidP="0001410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6D280A">
        <w:rPr>
          <w:rFonts w:cs="FrankRuehl" w:hint="cs"/>
          <w:rtl/>
          <w:lang w:eastAsia="en-US"/>
        </w:rPr>
        <w:t>סכום החיוב הקודם שישלם בעל נכס כאמור בסעיף קטן (א) ייקבע לפי תעריפי ההיטל הקודם.</w:t>
      </w:r>
    </w:p>
    <w:p w:rsidR="006D280A" w:rsidRDefault="006D280A" w:rsidP="006D280A">
      <w:pPr>
        <w:pStyle w:val="P00"/>
        <w:spacing w:before="72"/>
        <w:ind w:left="0" w:right="1134"/>
        <w:rPr>
          <w:rFonts w:cs="FrankRuehl" w:hint="cs"/>
          <w:rtl/>
          <w:lang w:val="he-IL"/>
        </w:rPr>
      </w:pPr>
      <w:r>
        <w:rPr>
          <w:rFonts w:cs="FrankRuehl" w:hint="cs"/>
          <w:rtl/>
          <w:lang w:eastAsia="en-US"/>
        </w:rPr>
        <w:tab/>
        <w:t>(ג)</w:t>
      </w:r>
      <w:r>
        <w:rPr>
          <w:rFonts w:cs="FrankRuehl" w:hint="cs"/>
          <w:rtl/>
          <w:lang w:eastAsia="en-US"/>
        </w:rPr>
        <w:tab/>
        <w:t>הוראת סעיף קטן (א) תחול ביחס לשטח הקרקע ושטח הבניין כפי שהיו במועד היווצרות החיוב הקודם; אין בתשלום היטל קודם כאמור בסעיף קטן (א) כדי לגרוע מחובתו של בעל נכס בתשלום היטל בעבור בניה חדשה שנבנתה בנכס או שנתבקשה בנייתה לאחר מועד היווצרות החיוב הקודם בהתאם לקבוע בחוק עזר זה.</w:t>
      </w:r>
    </w:p>
    <w:p w:rsidR="006F653E" w:rsidRDefault="006F653E" w:rsidP="00952B30">
      <w:pPr>
        <w:pStyle w:val="P00"/>
        <w:spacing w:before="72"/>
        <w:ind w:left="0" w:right="1134"/>
        <w:rPr>
          <w:rFonts w:cs="FrankRuehl" w:hint="cs"/>
          <w:rtl/>
          <w:lang w:val="he-IL"/>
        </w:rPr>
      </w:pPr>
      <w:bookmarkStart w:id="14" w:name="Seif15"/>
      <w:bookmarkEnd w:id="14"/>
      <w:r w:rsidRPr="006F653E">
        <w:rPr>
          <w:rFonts w:cs="Miriam"/>
          <w:sz w:val="32"/>
          <w:szCs w:val="32"/>
          <w:lang w:val="he-IL"/>
        </w:rPr>
        <w:pict>
          <v:rect id="_x0000_s1070" style="position:absolute;left:0;text-align:left;margin-left:464.5pt;margin-top:8.05pt;width:75.05pt;height:15.55pt;z-index:251662336" o:allowincell="f" filled="f" stroked="f" strokecolor="lime" strokeweight=".25pt">
            <v:textbox inset="0,0,0,0">
              <w:txbxContent>
                <w:p w:rsidR="007245B1" w:rsidRDefault="006D280A" w:rsidP="006F653E">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6D280A">
        <w:rPr>
          <w:rFonts w:cs="Miriam" w:hint="cs"/>
          <w:sz w:val="32"/>
          <w:szCs w:val="32"/>
          <w:rtl/>
          <w:lang w:val="he-IL"/>
        </w:rPr>
        <w:t>15</w:t>
      </w:r>
      <w:r>
        <w:rPr>
          <w:rStyle w:val="big-number"/>
          <w:rFonts w:cs="Miriam"/>
          <w:rtl/>
        </w:rPr>
        <w:t>.</w:t>
      </w:r>
      <w:r>
        <w:rPr>
          <w:rtl/>
          <w:lang w:val="he-IL"/>
        </w:rPr>
        <w:tab/>
      </w:r>
      <w:r w:rsidR="006D280A">
        <w:rPr>
          <w:rFonts w:cs="FrankRuehl" w:hint="cs"/>
          <w:rtl/>
          <w:lang w:eastAsia="en-US"/>
        </w:rPr>
        <w:t>ה</w:t>
      </w:r>
      <w:hyperlink r:id="rId21" w:tooltip="אזכורים" w:history="1">
        <w:r w:rsidR="00952B30" w:rsidRPr="00952B30">
          <w:rPr>
            <w:rStyle w:val="Hyperlink"/>
            <w:rtl/>
          </w:rPr>
          <w:t>*</w:t>
        </w:r>
      </w:hyperlink>
      <w:r w:rsidR="006D280A">
        <w:rPr>
          <w:rFonts w:cs="FrankRuehl" w:hint="cs"/>
          <w:rtl/>
          <w:lang w:eastAsia="en-US"/>
        </w:rPr>
        <w:t>אמור בחוק עזר זה אינו בא לגרוע מסמכות או סעד המוקנים לעיריה על פי דין או מעונש בשל עבירה על הוראות חוק עזר זה, לפי כל דין.</w:t>
      </w:r>
    </w:p>
    <w:p w:rsidR="000B7269" w:rsidRDefault="006F653E" w:rsidP="00952B30">
      <w:pPr>
        <w:pStyle w:val="P00"/>
        <w:spacing w:before="72"/>
        <w:ind w:left="0" w:right="1134"/>
        <w:rPr>
          <w:rFonts w:cs="FrankRuehl" w:hint="cs"/>
          <w:rtl/>
          <w:lang w:val="he-IL"/>
        </w:rPr>
      </w:pPr>
      <w:bookmarkStart w:id="15" w:name="Seif16"/>
      <w:bookmarkEnd w:id="15"/>
      <w:r w:rsidRPr="006F653E">
        <w:rPr>
          <w:rFonts w:cs="Miriam"/>
          <w:sz w:val="32"/>
          <w:szCs w:val="32"/>
          <w:lang w:val="he-IL"/>
        </w:rPr>
        <w:pict>
          <v:rect id="_x0000_s1071" style="position:absolute;left:0;text-align:left;margin-left:464.5pt;margin-top:8.05pt;width:75.05pt;height:27.4pt;z-index:251663360" o:allowincell="f" filled="f" stroked="f" strokecolor="lime" strokeweight=".25pt">
            <v:textbox inset="0,0,0,0">
              <w:txbxContent>
                <w:p w:rsidR="007245B1" w:rsidRDefault="000B7269" w:rsidP="006F653E">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sidR="006D280A">
        <w:rPr>
          <w:rFonts w:cs="Miriam" w:hint="cs"/>
          <w:sz w:val="32"/>
          <w:szCs w:val="32"/>
          <w:rtl/>
          <w:lang w:val="he-IL"/>
        </w:rPr>
        <w:t>16</w:t>
      </w:r>
      <w:r>
        <w:rPr>
          <w:rStyle w:val="big-number"/>
          <w:rFonts w:cs="Miriam"/>
          <w:rtl/>
        </w:rPr>
        <w:t>.</w:t>
      </w:r>
      <w:r>
        <w:rPr>
          <w:rtl/>
          <w:lang w:val="he-IL"/>
        </w:rPr>
        <w:tab/>
      </w:r>
      <w:r w:rsidR="000B7269">
        <w:rPr>
          <w:rFonts w:cs="FrankRuehl" w:hint="cs"/>
          <w:rtl/>
          <w:lang w:eastAsia="en-US"/>
        </w:rPr>
        <w:t>ב</w:t>
      </w:r>
      <w:hyperlink r:id="rId22" w:tooltip="אזכורים" w:history="1">
        <w:r w:rsidR="00952B30" w:rsidRPr="00952B30">
          <w:rPr>
            <w:rStyle w:val="Hyperlink"/>
            <w:rtl/>
          </w:rPr>
          <w:t>*</w:t>
        </w:r>
      </w:hyperlink>
      <w:r w:rsidR="000B7269">
        <w:rPr>
          <w:rFonts w:cs="FrankRuehl" w:hint="cs"/>
          <w:rtl/>
          <w:lang w:eastAsia="en-US"/>
        </w:rPr>
        <w:t>תוספת לחוק עזר לבת ים (הצמדה למדד), התשמ"ד-1984</w:t>
      </w:r>
      <w:r w:rsidR="000B7269">
        <w:rPr>
          <w:rFonts w:cs="FrankRuehl" w:hint="cs"/>
          <w:rtl/>
          <w:lang w:val="he-IL"/>
        </w:rPr>
        <w:t>, במקום "חוק עזר לבת ים (ביוב), התשכ"ט-1969", יבוא "חוק עזר לבת ים (ביוב), התשס"ח-2008".</w:t>
      </w:r>
    </w:p>
    <w:p w:rsidR="006F653E" w:rsidRDefault="006F653E" w:rsidP="00952B30">
      <w:pPr>
        <w:pStyle w:val="P00"/>
        <w:spacing w:before="72"/>
        <w:ind w:left="0" w:right="1134"/>
        <w:rPr>
          <w:rFonts w:cs="FrankRuehl" w:hint="cs"/>
          <w:rtl/>
          <w:lang w:val="he-IL"/>
        </w:rPr>
      </w:pPr>
      <w:bookmarkStart w:id="16" w:name="Seif17"/>
      <w:bookmarkEnd w:id="16"/>
      <w:r w:rsidRPr="006F653E">
        <w:rPr>
          <w:rFonts w:cs="Miriam"/>
          <w:sz w:val="32"/>
          <w:szCs w:val="32"/>
          <w:lang w:val="he-IL"/>
        </w:rPr>
        <w:pict>
          <v:rect id="_x0000_s1072" style="position:absolute;left:0;text-align:left;margin-left:464.5pt;margin-top:8.05pt;width:75.05pt;height:16.9pt;z-index:251664384" o:allowincell="f" filled="f" stroked="f" strokecolor="lime" strokeweight=".25pt">
            <v:textbox inset="0,0,0,0">
              <w:txbxContent>
                <w:p w:rsidR="007245B1" w:rsidRDefault="00C21D45" w:rsidP="006F653E">
                  <w:pPr>
                    <w:spacing w:line="160" w:lineRule="exact"/>
                    <w:jc w:val="left"/>
                    <w:rPr>
                      <w:rFonts w:cs="Miriam" w:hint="cs"/>
                      <w:noProof/>
                      <w:sz w:val="18"/>
                      <w:szCs w:val="18"/>
                      <w:rtl/>
                    </w:rPr>
                  </w:pPr>
                  <w:r>
                    <w:rPr>
                      <w:rFonts w:cs="Miriam" w:hint="cs"/>
                      <w:sz w:val="18"/>
                      <w:szCs w:val="18"/>
                      <w:rtl/>
                    </w:rPr>
                    <w:t>מגבלת גביה</w:t>
                  </w:r>
                </w:p>
              </w:txbxContent>
            </v:textbox>
            <w10:anchorlock/>
          </v:rect>
        </w:pict>
      </w:r>
      <w:r w:rsidR="000B7269">
        <w:rPr>
          <w:rFonts w:cs="Miriam" w:hint="cs"/>
          <w:sz w:val="32"/>
          <w:szCs w:val="32"/>
          <w:rtl/>
          <w:lang w:val="he-IL"/>
        </w:rPr>
        <w:t>17</w:t>
      </w:r>
      <w:r>
        <w:rPr>
          <w:rStyle w:val="big-number"/>
          <w:rFonts w:cs="Miriam"/>
          <w:rtl/>
        </w:rPr>
        <w:t>.</w:t>
      </w:r>
      <w:r>
        <w:rPr>
          <w:rtl/>
          <w:lang w:val="he-IL"/>
        </w:rPr>
        <w:tab/>
      </w:r>
      <w:r w:rsidR="00C21D45">
        <w:rPr>
          <w:rFonts w:cs="FrankRuehl" w:hint="cs"/>
          <w:rtl/>
          <w:lang w:eastAsia="en-US"/>
        </w:rPr>
        <w:t>ה</w:t>
      </w:r>
      <w:hyperlink r:id="rId23" w:tooltip="אזכורים" w:history="1">
        <w:r w:rsidR="00952B30" w:rsidRPr="00952B30">
          <w:rPr>
            <w:rStyle w:val="Hyperlink"/>
            <w:rtl/>
          </w:rPr>
          <w:t>*</w:t>
        </w:r>
      </w:hyperlink>
      <w:r w:rsidR="00C21D45">
        <w:rPr>
          <w:rFonts w:cs="FrankRuehl" w:hint="cs"/>
          <w:rtl/>
          <w:lang w:eastAsia="en-US"/>
        </w:rPr>
        <w:t>חל מיום ו' בטבת התשע"ב (1 בינואר 2012), הטלת היטלים לפי חוק עזר זה טעונה אישור של מועצת העיריה ושל שר הפנים.</w:t>
      </w:r>
    </w:p>
    <w:p w:rsidR="006F653E" w:rsidRDefault="006F653E" w:rsidP="00952B30">
      <w:pPr>
        <w:pStyle w:val="P00"/>
        <w:spacing w:before="72"/>
        <w:ind w:left="0" w:right="1134"/>
        <w:rPr>
          <w:rFonts w:cs="FrankRuehl" w:hint="cs"/>
          <w:rtl/>
          <w:lang w:val="he-IL"/>
        </w:rPr>
      </w:pPr>
      <w:bookmarkStart w:id="17" w:name="Seif18"/>
      <w:bookmarkEnd w:id="17"/>
      <w:r w:rsidRPr="006F653E">
        <w:rPr>
          <w:rFonts w:cs="Miriam"/>
          <w:sz w:val="32"/>
          <w:szCs w:val="32"/>
          <w:lang w:val="he-IL"/>
        </w:rPr>
        <w:pict>
          <v:rect id="_x0000_s1073" style="position:absolute;left:0;text-align:left;margin-left:464.5pt;margin-top:8.05pt;width:75.05pt;height:12pt;z-index:251665408" o:allowincell="f" filled="f" stroked="f" strokecolor="lime" strokeweight=".25pt">
            <v:textbox inset="0,0,0,0">
              <w:txbxContent>
                <w:p w:rsidR="007245B1" w:rsidRDefault="00C21D45" w:rsidP="006F653E">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C21D45">
        <w:rPr>
          <w:rFonts w:cs="Miriam" w:hint="cs"/>
          <w:sz w:val="32"/>
          <w:szCs w:val="32"/>
          <w:rtl/>
          <w:lang w:val="he-IL"/>
        </w:rPr>
        <w:t>18</w:t>
      </w:r>
      <w:r>
        <w:rPr>
          <w:rStyle w:val="big-number"/>
          <w:rFonts w:cs="Miriam"/>
          <w:rtl/>
        </w:rPr>
        <w:t>.</w:t>
      </w:r>
      <w:r>
        <w:rPr>
          <w:rtl/>
          <w:lang w:val="he-IL"/>
        </w:rPr>
        <w:tab/>
      </w:r>
      <w:r w:rsidR="00C21D45">
        <w:rPr>
          <w:rFonts w:cs="FrankRuehl" w:hint="cs"/>
          <w:rtl/>
          <w:lang w:eastAsia="en-US"/>
        </w:rPr>
        <w:t>ח</w:t>
      </w:r>
      <w:hyperlink r:id="rId24" w:tooltip="אזכורים" w:history="1">
        <w:r w:rsidR="00952B30" w:rsidRPr="00952B30">
          <w:rPr>
            <w:rStyle w:val="Hyperlink"/>
            <w:rtl/>
          </w:rPr>
          <w:t>*</w:t>
        </w:r>
      </w:hyperlink>
      <w:r w:rsidR="00C21D45">
        <w:rPr>
          <w:rFonts w:cs="FrankRuehl" w:hint="cs"/>
          <w:rtl/>
          <w:lang w:eastAsia="en-US"/>
        </w:rPr>
        <w:t xml:space="preserve">וק עזר לבת ים (ביוב), התשכ"ט-1969 </w:t>
      </w:r>
      <w:r w:rsidR="00C21D45">
        <w:rPr>
          <w:rFonts w:cs="FrankRuehl"/>
          <w:rtl/>
          <w:lang w:eastAsia="en-US"/>
        </w:rPr>
        <w:t>–</w:t>
      </w:r>
      <w:r w:rsidR="00C21D45">
        <w:rPr>
          <w:rFonts w:cs="FrankRuehl" w:hint="cs"/>
          <w:rtl/>
          <w:lang w:eastAsia="en-US"/>
        </w:rPr>
        <w:t xml:space="preserve"> בטל.</w:t>
      </w:r>
    </w:p>
    <w:p w:rsidR="006F653E" w:rsidRDefault="006F653E" w:rsidP="00952B30">
      <w:pPr>
        <w:pStyle w:val="P00"/>
        <w:spacing w:before="72"/>
        <w:ind w:left="0" w:right="1134"/>
        <w:rPr>
          <w:rFonts w:cs="FrankRuehl" w:hint="cs"/>
          <w:rtl/>
          <w:lang w:val="he-IL"/>
        </w:rPr>
      </w:pPr>
      <w:bookmarkStart w:id="18" w:name="Seif19"/>
      <w:bookmarkEnd w:id="18"/>
      <w:r w:rsidRPr="006F653E">
        <w:rPr>
          <w:rFonts w:cs="Miriam"/>
          <w:sz w:val="32"/>
          <w:szCs w:val="32"/>
          <w:lang w:val="he-IL"/>
        </w:rPr>
        <w:pict>
          <v:rect id="_x0000_s1074" style="position:absolute;left:0;text-align:left;margin-left:464.5pt;margin-top:8.05pt;width:75.05pt;height:14.45pt;z-index:251666432" o:allowincell="f" filled="f" stroked="f" strokecolor="lime" strokeweight=".25pt">
            <v:textbox inset="0,0,0,0">
              <w:txbxContent>
                <w:p w:rsidR="007245B1" w:rsidRDefault="00D609B7" w:rsidP="006F653E">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C21D45">
        <w:rPr>
          <w:rFonts w:cs="Miriam" w:hint="cs"/>
          <w:sz w:val="32"/>
          <w:szCs w:val="32"/>
          <w:rtl/>
          <w:lang w:val="he-IL"/>
        </w:rPr>
        <w:t>19</w:t>
      </w:r>
      <w:r>
        <w:rPr>
          <w:rStyle w:val="big-number"/>
          <w:rFonts w:cs="Miriam"/>
          <w:rtl/>
        </w:rPr>
        <w:t>.</w:t>
      </w:r>
      <w:r>
        <w:rPr>
          <w:rtl/>
          <w:lang w:val="he-IL"/>
        </w:rPr>
        <w:tab/>
      </w:r>
      <w:r w:rsidR="00D609B7">
        <w:rPr>
          <w:rFonts w:cs="FrankRuehl" w:hint="cs"/>
          <w:rtl/>
          <w:lang w:eastAsia="en-US"/>
        </w:rPr>
        <w:t>ת</w:t>
      </w:r>
      <w:hyperlink r:id="rId25" w:tooltip="אזכורים" w:history="1">
        <w:r w:rsidR="00952B30" w:rsidRPr="00952B30">
          <w:rPr>
            <w:rStyle w:val="Hyperlink"/>
            <w:rtl/>
          </w:rPr>
          <w:t>*</w:t>
        </w:r>
      </w:hyperlink>
      <w:r w:rsidR="00D609B7">
        <w:rPr>
          <w:rFonts w:cs="FrankRuehl" w:hint="cs"/>
          <w:rtl/>
          <w:lang w:eastAsia="en-US"/>
        </w:rPr>
        <w:t>עריפי היטל הביוב הקבועים בחוק עזר זה יחולו על כל אזורי הבניה בעיר בת ים למעט מתחם תכנית בי/410 או כל תכנית אחרת שתתוכנן לגבי מתחם זה.</w:t>
      </w:r>
    </w:p>
    <w:p w:rsidR="006F653E" w:rsidRDefault="006F653E" w:rsidP="00952B30">
      <w:pPr>
        <w:pStyle w:val="P00"/>
        <w:spacing w:before="72"/>
        <w:ind w:left="0" w:right="1134"/>
        <w:rPr>
          <w:rFonts w:cs="FrankRuehl" w:hint="cs"/>
          <w:rtl/>
          <w:lang w:val="he-IL"/>
        </w:rPr>
      </w:pPr>
      <w:bookmarkStart w:id="19" w:name="Seif20"/>
      <w:bookmarkEnd w:id="19"/>
      <w:r w:rsidRPr="006F653E">
        <w:rPr>
          <w:rFonts w:cs="Miriam"/>
          <w:sz w:val="32"/>
          <w:szCs w:val="32"/>
          <w:lang w:val="he-IL"/>
        </w:rPr>
        <w:pict>
          <v:rect id="_x0000_s1075" style="position:absolute;left:0;text-align:left;margin-left:464.5pt;margin-top:8.05pt;width:75.05pt;height:15.15pt;z-index:251667456" o:allowincell="f" filled="f" stroked="f" strokecolor="lime" strokeweight=".25pt">
            <v:textbox inset="0,0,0,0">
              <w:txbxContent>
                <w:p w:rsidR="007245B1" w:rsidRDefault="00D609B7" w:rsidP="006F653E">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D609B7">
        <w:rPr>
          <w:rFonts w:cs="Miriam" w:hint="cs"/>
          <w:sz w:val="32"/>
          <w:szCs w:val="32"/>
          <w:rtl/>
          <w:lang w:val="he-IL"/>
        </w:rPr>
        <w:t>2</w:t>
      </w:r>
      <w:r>
        <w:rPr>
          <w:rFonts w:cs="Miriam" w:hint="cs"/>
          <w:sz w:val="32"/>
          <w:szCs w:val="32"/>
          <w:rtl/>
          <w:lang w:val="he-IL"/>
        </w:rPr>
        <w:t>0</w:t>
      </w:r>
      <w:r>
        <w:rPr>
          <w:rStyle w:val="big-number"/>
          <w:rFonts w:cs="Miriam"/>
          <w:rtl/>
        </w:rPr>
        <w:t>.</w:t>
      </w:r>
      <w:r>
        <w:rPr>
          <w:rtl/>
          <w:lang w:val="he-IL"/>
        </w:rPr>
        <w:tab/>
      </w:r>
      <w:r w:rsidR="00D609B7">
        <w:rPr>
          <w:rFonts w:cs="FrankRuehl" w:hint="cs"/>
          <w:rtl/>
          <w:lang w:eastAsia="en-US"/>
        </w:rPr>
        <w:t>ע</w:t>
      </w:r>
      <w:hyperlink r:id="rId26" w:tooltip="אזכורים" w:history="1">
        <w:r w:rsidR="00952B30" w:rsidRPr="00952B30">
          <w:rPr>
            <w:rStyle w:val="Hyperlink"/>
            <w:rtl/>
          </w:rPr>
          <w:t>*</w:t>
        </w:r>
      </w:hyperlink>
      <w:r w:rsidR="00D609B7">
        <w:rPr>
          <w:rFonts w:cs="FrankRuehl" w:hint="cs"/>
          <w:rtl/>
          <w:lang w:eastAsia="en-US"/>
        </w:rPr>
        <w:t xml:space="preserve">ל אף האמור בחוק עזר לבת ים (הצמדה למדד), התשמ"ד-1984, יעודכנו שיעורי ההיטל שנקבעו בתוספת ב-1 בחודש שלאחר פרסומו של חוק עזר זה (להלן </w:t>
      </w:r>
      <w:r w:rsidR="00D609B7">
        <w:rPr>
          <w:rFonts w:cs="FrankRuehl"/>
          <w:rtl/>
          <w:lang w:eastAsia="en-US"/>
        </w:rPr>
        <w:t>–</w:t>
      </w:r>
      <w:r w:rsidR="00D609B7">
        <w:rPr>
          <w:rFonts w:cs="FrankRuehl" w:hint="cs"/>
          <w:rtl/>
          <w:lang w:eastAsia="en-US"/>
        </w:rPr>
        <w:t xml:space="preserve"> יום העדכון הראשון), לפי שיעור שינוי מדד המחירים לצרכן (להלן </w:t>
      </w:r>
      <w:r w:rsidR="00D609B7">
        <w:rPr>
          <w:rFonts w:cs="FrankRuehl"/>
          <w:rtl/>
          <w:lang w:eastAsia="en-US"/>
        </w:rPr>
        <w:t>–</w:t>
      </w:r>
      <w:r w:rsidR="00D609B7">
        <w:rPr>
          <w:rFonts w:cs="FrankRuehl" w:hint="cs"/>
          <w:rtl/>
          <w:lang w:eastAsia="en-US"/>
        </w:rPr>
        <w:t xml:space="preserve"> מדד), שפורסם לאחרונה לפני יום העדכון הראשון לעומת מדד חודש נובמבר 2005.</w:t>
      </w:r>
    </w:p>
    <w:p w:rsidR="007245B1" w:rsidRPr="00D609B7" w:rsidRDefault="007245B1" w:rsidP="006F653E">
      <w:pPr>
        <w:pStyle w:val="P00"/>
        <w:spacing w:before="72"/>
        <w:ind w:left="0" w:right="1134"/>
        <w:rPr>
          <w:rFonts w:cs="FrankRuehl" w:hint="cs"/>
          <w:rtl/>
          <w:lang w:eastAsia="en-US"/>
        </w:rPr>
      </w:pPr>
    </w:p>
    <w:p w:rsidR="007245B1" w:rsidRPr="00D609B7" w:rsidRDefault="007245B1">
      <w:pPr>
        <w:pStyle w:val="medium2-header"/>
        <w:keepLines w:val="0"/>
        <w:spacing w:before="72"/>
        <w:ind w:left="0" w:right="1134"/>
        <w:rPr>
          <w:rFonts w:cs="FrankRuehl" w:hint="cs"/>
          <w:noProof/>
          <w:sz w:val="26"/>
          <w:szCs w:val="26"/>
          <w:rtl/>
        </w:rPr>
      </w:pPr>
      <w:bookmarkStart w:id="20" w:name="med0"/>
      <w:bookmarkEnd w:id="20"/>
      <w:r w:rsidRPr="00D609B7">
        <w:rPr>
          <w:rFonts w:cs="FrankRuehl" w:hint="cs"/>
          <w:noProof/>
          <w:sz w:val="26"/>
          <w:szCs w:val="26"/>
          <w:rtl/>
        </w:rPr>
        <w:t xml:space="preserve">תוספת </w:t>
      </w:r>
    </w:p>
    <w:p w:rsidR="007245B1" w:rsidRDefault="007245B1" w:rsidP="00D609B7">
      <w:pPr>
        <w:pStyle w:val="medium2-header"/>
        <w:keepLines w:val="0"/>
        <w:spacing w:before="72"/>
        <w:ind w:left="0" w:right="1134"/>
        <w:rPr>
          <w:rFonts w:cs="FrankRuehl" w:hint="cs"/>
          <w:bCs w:val="0"/>
          <w:noProof/>
          <w:rtl/>
        </w:rPr>
      </w:pPr>
      <w:bookmarkStart w:id="21" w:name="med1"/>
      <w:bookmarkEnd w:id="21"/>
      <w:r>
        <w:rPr>
          <w:rFonts w:cs="FrankRuehl" w:hint="cs"/>
          <w:bCs w:val="0"/>
          <w:noProof/>
          <w:rtl/>
        </w:rPr>
        <w:t xml:space="preserve">(סעיפים </w:t>
      </w:r>
      <w:r w:rsidR="00D609B7">
        <w:rPr>
          <w:rFonts w:cs="FrankRuehl" w:hint="cs"/>
          <w:bCs w:val="0"/>
          <w:noProof/>
          <w:rtl/>
        </w:rPr>
        <w:t>3 עד 4</w:t>
      </w:r>
      <w:r>
        <w:rPr>
          <w:rFonts w:cs="FrankRuehl" w:hint="cs"/>
          <w:bCs w:val="0"/>
          <w:noProof/>
          <w:rtl/>
        </w:rPr>
        <w:t>)</w:t>
      </w:r>
    </w:p>
    <w:p w:rsidR="00D609B7" w:rsidRPr="00D609B7" w:rsidRDefault="00D609B7" w:rsidP="00D609B7">
      <w:pPr>
        <w:pStyle w:val="medium2-header"/>
        <w:keepLines w:val="0"/>
        <w:spacing w:before="72"/>
        <w:ind w:left="0" w:right="1134"/>
        <w:rPr>
          <w:rFonts w:cs="FrankRuehl" w:hint="cs"/>
          <w:b/>
          <w:noProof/>
          <w:sz w:val="22"/>
          <w:szCs w:val="22"/>
          <w:rtl/>
        </w:rPr>
      </w:pPr>
      <w:bookmarkStart w:id="22" w:name="med2"/>
      <w:bookmarkEnd w:id="22"/>
      <w:r w:rsidRPr="00D609B7">
        <w:rPr>
          <w:rFonts w:cs="FrankRuehl" w:hint="cs"/>
          <w:b/>
          <w:noProof/>
          <w:sz w:val="22"/>
          <w:szCs w:val="22"/>
          <w:rtl/>
        </w:rPr>
        <w:t>היטל ביוב</w:t>
      </w:r>
    </w:p>
    <w:p w:rsidR="00D609B7" w:rsidRPr="00D609B7" w:rsidRDefault="00D609B7" w:rsidP="00D609B7">
      <w:pPr>
        <w:pStyle w:val="P22"/>
        <w:tabs>
          <w:tab w:val="clear" w:pos="1474"/>
          <w:tab w:val="clear" w:pos="1928"/>
          <w:tab w:val="clear" w:pos="2381"/>
          <w:tab w:val="clear" w:pos="2835"/>
          <w:tab w:val="clear" w:pos="6259"/>
          <w:tab w:val="center" w:pos="6407"/>
        </w:tabs>
        <w:spacing w:before="72"/>
        <w:ind w:left="0" w:right="1134"/>
        <w:rPr>
          <w:rStyle w:val="default"/>
          <w:rFonts w:hint="cs"/>
          <w:sz w:val="22"/>
          <w:szCs w:val="22"/>
          <w:rtl/>
        </w:rPr>
      </w:pPr>
      <w:r w:rsidRPr="00D609B7">
        <w:rPr>
          <w:rStyle w:val="default"/>
          <w:rFonts w:hint="cs"/>
          <w:sz w:val="22"/>
          <w:szCs w:val="22"/>
          <w:rtl/>
        </w:rPr>
        <w:tab/>
        <w:t>שיעורי ההיטל</w:t>
      </w:r>
    </w:p>
    <w:p w:rsidR="00D609B7" w:rsidRPr="00D609B7" w:rsidRDefault="00D609B7" w:rsidP="00D609B7">
      <w:pPr>
        <w:pStyle w:val="P22"/>
        <w:tabs>
          <w:tab w:val="clear" w:pos="1474"/>
          <w:tab w:val="clear" w:pos="1928"/>
          <w:tab w:val="clear" w:pos="2381"/>
          <w:tab w:val="clear" w:pos="2835"/>
          <w:tab w:val="clear" w:pos="6259"/>
          <w:tab w:val="center" w:pos="6407"/>
        </w:tabs>
        <w:spacing w:before="0"/>
        <w:ind w:left="0" w:right="1134"/>
        <w:rPr>
          <w:rStyle w:val="default"/>
          <w:rFonts w:hint="cs"/>
          <w:sz w:val="22"/>
          <w:szCs w:val="22"/>
          <w:u w:val="single"/>
          <w:rtl/>
        </w:rPr>
      </w:pPr>
      <w:r w:rsidRPr="00D609B7">
        <w:rPr>
          <w:rStyle w:val="default"/>
          <w:rFonts w:hint="cs"/>
          <w:sz w:val="22"/>
          <w:szCs w:val="22"/>
          <w:rtl/>
        </w:rPr>
        <w:tab/>
      </w:r>
      <w:r w:rsidRPr="00D609B7">
        <w:rPr>
          <w:rStyle w:val="default"/>
          <w:rFonts w:hint="cs"/>
          <w:sz w:val="22"/>
          <w:szCs w:val="22"/>
          <w:u w:val="single"/>
          <w:rtl/>
        </w:rPr>
        <w:t>בשקלים חדשים</w:t>
      </w:r>
    </w:p>
    <w:p w:rsidR="00D609B7" w:rsidRPr="00D609B7" w:rsidRDefault="00D609B7" w:rsidP="00D609B7">
      <w:pPr>
        <w:pStyle w:val="P22"/>
        <w:spacing w:before="72"/>
        <w:ind w:left="0" w:right="1134"/>
        <w:rPr>
          <w:rStyle w:val="default"/>
          <w:rFonts w:hint="cs"/>
          <w:b/>
          <w:bCs/>
          <w:sz w:val="22"/>
          <w:szCs w:val="22"/>
          <w:rtl/>
        </w:rPr>
      </w:pPr>
      <w:r w:rsidRPr="00D609B7">
        <w:rPr>
          <w:rStyle w:val="default"/>
          <w:rFonts w:hint="cs"/>
          <w:b/>
          <w:bCs/>
          <w:sz w:val="22"/>
          <w:szCs w:val="22"/>
          <w:rtl/>
        </w:rPr>
        <w:t>שטח קרקע</w:t>
      </w:r>
    </w:p>
    <w:p w:rsidR="00D609B7" w:rsidRDefault="00D609B7" w:rsidP="00D609B7">
      <w:pPr>
        <w:pStyle w:val="P22"/>
        <w:tabs>
          <w:tab w:val="clear" w:pos="1474"/>
          <w:tab w:val="clear" w:pos="1928"/>
          <w:tab w:val="clear" w:pos="2381"/>
          <w:tab w:val="clear" w:pos="2835"/>
          <w:tab w:val="clear" w:pos="6259"/>
          <w:tab w:val="left" w:pos="6237"/>
        </w:tabs>
        <w:spacing w:before="72"/>
        <w:ind w:left="0" w:right="1134"/>
        <w:rPr>
          <w:rStyle w:val="default"/>
          <w:rFonts w:hint="cs"/>
          <w:rtl/>
        </w:rPr>
      </w:pPr>
      <w:r>
        <w:rPr>
          <w:rStyle w:val="default"/>
          <w:rFonts w:hint="cs"/>
          <w:rtl/>
        </w:rPr>
        <w:t>לכל מ"ר משטח הקרקע (כולל השטח שעליו עומד בניין)</w:t>
      </w:r>
      <w:r>
        <w:rPr>
          <w:rStyle w:val="default"/>
          <w:rFonts w:hint="cs"/>
          <w:rtl/>
        </w:rPr>
        <w:tab/>
        <w:t>10.86</w:t>
      </w:r>
    </w:p>
    <w:p w:rsidR="007245B1" w:rsidRPr="00D609B7" w:rsidRDefault="00D609B7" w:rsidP="00D609B7">
      <w:pPr>
        <w:pStyle w:val="P22"/>
        <w:spacing w:before="72"/>
        <w:ind w:left="0" w:right="1134"/>
        <w:rPr>
          <w:rStyle w:val="default"/>
          <w:rFonts w:hint="cs"/>
          <w:b/>
          <w:bCs/>
          <w:sz w:val="22"/>
          <w:szCs w:val="22"/>
          <w:rtl/>
        </w:rPr>
      </w:pPr>
      <w:r w:rsidRPr="00D609B7">
        <w:rPr>
          <w:rStyle w:val="default"/>
          <w:rFonts w:hint="cs"/>
          <w:b/>
          <w:bCs/>
          <w:sz w:val="22"/>
          <w:szCs w:val="22"/>
          <w:rtl/>
        </w:rPr>
        <w:t>שטח ונפח בניין</w:t>
      </w:r>
    </w:p>
    <w:p w:rsidR="00D609B7" w:rsidRDefault="00D609B7" w:rsidP="00D609B7">
      <w:pPr>
        <w:pStyle w:val="P22"/>
        <w:tabs>
          <w:tab w:val="clear" w:pos="1474"/>
          <w:tab w:val="clear" w:pos="1928"/>
          <w:tab w:val="clear" w:pos="2381"/>
          <w:tab w:val="clear" w:pos="2835"/>
          <w:tab w:val="clear" w:pos="6259"/>
          <w:tab w:val="left" w:pos="6237"/>
        </w:tabs>
        <w:spacing w:before="72"/>
        <w:ind w:left="0" w:right="1134"/>
        <w:rPr>
          <w:rStyle w:val="default"/>
          <w:rFonts w:hint="cs"/>
          <w:rtl/>
        </w:rPr>
      </w:pPr>
      <w:r>
        <w:rPr>
          <w:rStyle w:val="default"/>
          <w:rFonts w:hint="cs"/>
          <w:rtl/>
        </w:rPr>
        <w:t>בעד בניין המהווה נכס למגורים, לכל מ"ר משטח הבניין</w:t>
      </w:r>
      <w:r>
        <w:rPr>
          <w:rStyle w:val="default"/>
          <w:rFonts w:hint="cs"/>
          <w:rtl/>
        </w:rPr>
        <w:tab/>
        <w:t>54.96</w:t>
      </w:r>
    </w:p>
    <w:p w:rsidR="00D609B7" w:rsidRDefault="00D609B7" w:rsidP="00D609B7">
      <w:pPr>
        <w:pStyle w:val="P22"/>
        <w:tabs>
          <w:tab w:val="clear" w:pos="1474"/>
          <w:tab w:val="clear" w:pos="1928"/>
          <w:tab w:val="clear" w:pos="2381"/>
          <w:tab w:val="clear" w:pos="2835"/>
          <w:tab w:val="clear" w:pos="6259"/>
          <w:tab w:val="left" w:pos="6237"/>
        </w:tabs>
        <w:spacing w:before="72"/>
        <w:ind w:left="0" w:right="1134"/>
        <w:rPr>
          <w:rStyle w:val="default"/>
          <w:rFonts w:hint="cs"/>
          <w:rtl/>
        </w:rPr>
      </w:pPr>
      <w:r>
        <w:rPr>
          <w:rStyle w:val="default"/>
          <w:rFonts w:hint="cs"/>
          <w:rtl/>
        </w:rPr>
        <w:t>בעד בניין המהווה נכס אחר, לכל מ"ר מנפח הבניין</w:t>
      </w:r>
      <w:r>
        <w:rPr>
          <w:rStyle w:val="default"/>
          <w:rFonts w:hint="cs"/>
          <w:rtl/>
        </w:rPr>
        <w:tab/>
        <w:t>13.69</w:t>
      </w:r>
    </w:p>
    <w:p w:rsidR="00FB0961" w:rsidRDefault="00FB0961">
      <w:pPr>
        <w:pStyle w:val="P22"/>
        <w:tabs>
          <w:tab w:val="right" w:pos="6259"/>
        </w:tabs>
        <w:spacing w:before="72"/>
        <w:ind w:left="-3" w:right="1134"/>
        <w:rPr>
          <w:rStyle w:val="default"/>
          <w:rFonts w:hint="cs"/>
          <w:rtl/>
        </w:rPr>
      </w:pPr>
    </w:p>
    <w:p w:rsidR="00FB0961" w:rsidRDefault="00FB0961">
      <w:pPr>
        <w:pStyle w:val="P22"/>
        <w:tabs>
          <w:tab w:val="right" w:pos="6259"/>
        </w:tabs>
        <w:spacing w:before="72"/>
        <w:ind w:left="-3" w:right="1134"/>
        <w:rPr>
          <w:rStyle w:val="default"/>
          <w:rFonts w:hint="cs"/>
          <w:rtl/>
        </w:rPr>
      </w:pPr>
    </w:p>
    <w:p w:rsidR="007245B1" w:rsidRDefault="00D609B7" w:rsidP="00D609B7">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 באדר ב' התשס"ח (27 במרס 2008)</w:t>
      </w:r>
      <w:r w:rsidR="007245B1">
        <w:rPr>
          <w:rFonts w:cs="FrankRuehl" w:hint="cs"/>
          <w:sz w:val="28"/>
          <w:szCs w:val="26"/>
          <w:rtl/>
        </w:rPr>
        <w:tab/>
      </w:r>
      <w:r>
        <w:rPr>
          <w:rFonts w:cs="FrankRuehl" w:hint="cs"/>
          <w:sz w:val="28"/>
          <w:szCs w:val="26"/>
          <w:rtl/>
        </w:rPr>
        <w:t>שלמה לחיאני</w:t>
      </w:r>
    </w:p>
    <w:p w:rsidR="007245B1" w:rsidRPr="00D609B7" w:rsidRDefault="007245B1" w:rsidP="00D609B7">
      <w:pPr>
        <w:pStyle w:val="sig-1"/>
        <w:widowControl/>
        <w:tabs>
          <w:tab w:val="clear" w:pos="851"/>
          <w:tab w:val="clear" w:pos="2835"/>
          <w:tab w:val="clear" w:pos="4820"/>
          <w:tab w:val="center" w:pos="5103"/>
        </w:tabs>
        <w:ind w:left="0" w:right="1134"/>
        <w:rPr>
          <w:rFonts w:cs="FrankRuehl" w:hint="cs"/>
          <w:sz w:val="22"/>
          <w:rtl/>
        </w:rPr>
      </w:pPr>
      <w:r w:rsidRPr="00D609B7">
        <w:rPr>
          <w:rFonts w:cs="FrankRuehl" w:hint="cs"/>
          <w:sz w:val="22"/>
          <w:rtl/>
        </w:rPr>
        <w:tab/>
      </w:r>
      <w:r w:rsidR="00D609B7" w:rsidRPr="00D609B7">
        <w:rPr>
          <w:rFonts w:cs="FrankRuehl" w:hint="cs"/>
          <w:sz w:val="22"/>
          <w:rtl/>
        </w:rPr>
        <w:t>ר</w:t>
      </w:r>
      <w:r w:rsidRPr="00D609B7">
        <w:rPr>
          <w:rFonts w:cs="FrankRuehl" w:hint="cs"/>
          <w:sz w:val="22"/>
          <w:rtl/>
        </w:rPr>
        <w:t>א</w:t>
      </w:r>
      <w:r w:rsidR="00D609B7" w:rsidRPr="00D609B7">
        <w:rPr>
          <w:rFonts w:cs="FrankRuehl" w:hint="cs"/>
          <w:sz w:val="22"/>
          <w:rtl/>
        </w:rPr>
        <w:t xml:space="preserve">ש עיריית בת </w:t>
      </w:r>
      <w:r w:rsidRPr="00D609B7">
        <w:rPr>
          <w:rFonts w:cs="FrankRuehl" w:hint="cs"/>
          <w:sz w:val="22"/>
          <w:rtl/>
        </w:rPr>
        <w:t>ים</w:t>
      </w:r>
    </w:p>
    <w:p w:rsidR="007245B1" w:rsidRPr="00D609B7" w:rsidRDefault="007245B1" w:rsidP="00D609B7">
      <w:pPr>
        <w:pStyle w:val="P00"/>
        <w:spacing w:before="72"/>
        <w:ind w:left="0" w:right="1134"/>
        <w:rPr>
          <w:rFonts w:cs="FrankRuehl"/>
          <w:rtl/>
          <w:lang w:eastAsia="en-US"/>
        </w:rPr>
      </w:pPr>
    </w:p>
    <w:p w:rsidR="007245B1" w:rsidRPr="00D609B7" w:rsidRDefault="007245B1" w:rsidP="00D609B7">
      <w:pPr>
        <w:pStyle w:val="P00"/>
        <w:spacing w:before="72"/>
        <w:ind w:left="0" w:right="1134"/>
        <w:rPr>
          <w:rFonts w:cs="FrankRuehl"/>
          <w:rtl/>
          <w:lang w:eastAsia="en-US"/>
        </w:rPr>
      </w:pPr>
    </w:p>
    <w:p w:rsidR="007245B1" w:rsidRDefault="007245B1" w:rsidP="00D609B7">
      <w:pPr>
        <w:pStyle w:val="P00"/>
        <w:spacing w:before="72"/>
        <w:ind w:left="0" w:right="1134"/>
        <w:rPr>
          <w:rFonts w:cs="FrankRuehl" w:hint="cs"/>
          <w:rtl/>
          <w:lang w:eastAsia="en-US"/>
        </w:rPr>
      </w:pPr>
      <w:bookmarkStart w:id="23" w:name="LawPartEnd"/>
      <w:bookmarkEnd w:id="23"/>
    </w:p>
    <w:p w:rsidR="00D609B7" w:rsidRPr="00D609B7" w:rsidRDefault="00D609B7" w:rsidP="00D609B7">
      <w:pPr>
        <w:pStyle w:val="P00"/>
        <w:spacing w:before="72"/>
        <w:ind w:left="0" w:right="1134"/>
        <w:rPr>
          <w:rFonts w:cs="FrankRuehl" w:hint="cs"/>
          <w:rtl/>
          <w:lang w:eastAsia="en-US"/>
        </w:rPr>
      </w:pPr>
    </w:p>
    <w:sectPr w:rsidR="00D609B7" w:rsidRPr="00D609B7">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1BB" w:rsidRDefault="000761BB">
      <w:r>
        <w:separator/>
      </w:r>
    </w:p>
  </w:endnote>
  <w:endnote w:type="continuationSeparator" w:id="0">
    <w:p w:rsidR="000761BB" w:rsidRDefault="00076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B1" w:rsidRDefault="007245B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245B1" w:rsidRDefault="007245B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45B1" w:rsidRDefault="007245B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2B30">
      <w:rPr>
        <w:rFonts w:cs="TopType Jerushalmi"/>
        <w:noProof/>
        <w:color w:val="000000"/>
        <w:sz w:val="14"/>
        <w:szCs w:val="14"/>
      </w:rPr>
      <w:t>Z:\000000000000-law\yael\08-07-28\tav\mek_006_001a.doc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B1" w:rsidRDefault="007245B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2456">
      <w:rPr>
        <w:rFonts w:hAnsi="FrankRuehl" w:cs="FrankRuehl"/>
        <w:noProof/>
        <w:sz w:val="24"/>
        <w:szCs w:val="24"/>
        <w:rtl/>
      </w:rPr>
      <w:t>1</w:t>
    </w:r>
    <w:r>
      <w:rPr>
        <w:rFonts w:hAnsi="FrankRuehl" w:cs="FrankRuehl"/>
        <w:sz w:val="24"/>
        <w:szCs w:val="24"/>
        <w:rtl/>
      </w:rPr>
      <w:fldChar w:fldCharType="end"/>
    </w:r>
  </w:p>
  <w:p w:rsidR="007245B1" w:rsidRDefault="007245B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245B1" w:rsidRDefault="007245B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52B30">
      <w:rPr>
        <w:rFonts w:cs="TopType Jerushalmi"/>
        <w:noProof/>
        <w:color w:val="000000"/>
        <w:sz w:val="14"/>
        <w:szCs w:val="14"/>
      </w:rPr>
      <w:t>Z:\000000000000-law\yael\08-07-28\tav\mek_006_001a.doc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1BB" w:rsidRDefault="000761BB" w:rsidP="007951CA">
      <w:pPr>
        <w:spacing w:before="60" w:line="240" w:lineRule="auto"/>
        <w:ind w:right="1134"/>
      </w:pPr>
      <w:r>
        <w:separator/>
      </w:r>
    </w:p>
  </w:footnote>
  <w:footnote w:type="continuationSeparator" w:id="0">
    <w:p w:rsidR="000761BB" w:rsidRDefault="000761BB">
      <w:r>
        <w:continuationSeparator/>
      </w:r>
    </w:p>
  </w:footnote>
  <w:footnote w:id="1">
    <w:p w:rsidR="00321FA3" w:rsidRDefault="007245B1" w:rsidP="00321F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vertAlign w:val="baseline"/>
        </w:rPr>
        <w:t>*</w:t>
      </w:r>
      <w:r>
        <w:rPr>
          <w:rFonts w:cs="FrankRuehl"/>
          <w:rtl/>
        </w:rPr>
        <w:t>פ</w:t>
      </w:r>
      <w:r>
        <w:rPr>
          <w:rFonts w:cs="FrankRuehl" w:hint="cs"/>
          <w:rtl/>
        </w:rPr>
        <w:t xml:space="preserve">ורסמו </w:t>
      </w:r>
      <w:hyperlink r:id="rId1" w:history="1">
        <w:r w:rsidRPr="00321FA3">
          <w:rPr>
            <w:rStyle w:val="Hyperlink"/>
            <w:rFonts w:cs="FrankRuehl" w:hint="cs"/>
            <w:rtl/>
          </w:rPr>
          <w:t>ק"ת חש"ם תשס"ח מס' 721</w:t>
        </w:r>
      </w:hyperlink>
      <w:r>
        <w:rPr>
          <w:rFonts w:cs="FrankRuehl" w:hint="cs"/>
          <w:rtl/>
        </w:rPr>
        <w:t xml:space="preserve"> מיום 15.7.2008 עמ' 362.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B1" w:rsidRDefault="007245B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7245B1" w:rsidRDefault="007245B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45B1" w:rsidRDefault="007245B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5B1" w:rsidRDefault="007245B1" w:rsidP="007951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לבת ים (ביוב), תשס"ח-2008</w:t>
    </w:r>
  </w:p>
  <w:p w:rsidR="007245B1" w:rsidRDefault="007245B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245B1" w:rsidRDefault="007245B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56893"/>
    <w:multiLevelType w:val="hybridMultilevel"/>
    <w:tmpl w:val="52AE57DC"/>
    <w:lvl w:ilvl="0" w:tplc="DC3EC61A">
      <w:start w:val="1"/>
      <w:numFmt w:val="decimal"/>
      <w:lvlText w:val="(%1)"/>
      <w:lvlJc w:val="left"/>
      <w:pPr>
        <w:tabs>
          <w:tab w:val="num" w:pos="1350"/>
        </w:tabs>
        <w:ind w:left="1350" w:right="1350" w:hanging="360"/>
      </w:pPr>
      <w:rPr>
        <w:rFonts w:hint="default"/>
      </w:rPr>
    </w:lvl>
    <w:lvl w:ilvl="1" w:tplc="040D0019" w:tentative="1">
      <w:start w:val="1"/>
      <w:numFmt w:val="lowerLetter"/>
      <w:lvlText w:val="%2."/>
      <w:lvlJc w:val="left"/>
      <w:pPr>
        <w:tabs>
          <w:tab w:val="num" w:pos="2070"/>
        </w:tabs>
        <w:ind w:left="2070" w:right="2070" w:hanging="360"/>
      </w:pPr>
    </w:lvl>
    <w:lvl w:ilvl="2" w:tplc="040D001B" w:tentative="1">
      <w:start w:val="1"/>
      <w:numFmt w:val="lowerRoman"/>
      <w:lvlText w:val="%3."/>
      <w:lvlJc w:val="right"/>
      <w:pPr>
        <w:tabs>
          <w:tab w:val="num" w:pos="2790"/>
        </w:tabs>
        <w:ind w:left="2790" w:right="2790" w:hanging="180"/>
      </w:pPr>
    </w:lvl>
    <w:lvl w:ilvl="3" w:tplc="040D000F" w:tentative="1">
      <w:start w:val="1"/>
      <w:numFmt w:val="decimal"/>
      <w:lvlText w:val="%4."/>
      <w:lvlJc w:val="left"/>
      <w:pPr>
        <w:tabs>
          <w:tab w:val="num" w:pos="3510"/>
        </w:tabs>
        <w:ind w:left="3510" w:right="3510" w:hanging="360"/>
      </w:pPr>
    </w:lvl>
    <w:lvl w:ilvl="4" w:tplc="040D0019" w:tentative="1">
      <w:start w:val="1"/>
      <w:numFmt w:val="lowerLetter"/>
      <w:lvlText w:val="%5."/>
      <w:lvlJc w:val="left"/>
      <w:pPr>
        <w:tabs>
          <w:tab w:val="num" w:pos="4230"/>
        </w:tabs>
        <w:ind w:left="4230" w:right="4230" w:hanging="360"/>
      </w:pPr>
    </w:lvl>
    <w:lvl w:ilvl="5" w:tplc="040D001B" w:tentative="1">
      <w:start w:val="1"/>
      <w:numFmt w:val="lowerRoman"/>
      <w:lvlText w:val="%6."/>
      <w:lvlJc w:val="right"/>
      <w:pPr>
        <w:tabs>
          <w:tab w:val="num" w:pos="4950"/>
        </w:tabs>
        <w:ind w:left="4950" w:right="4950" w:hanging="180"/>
      </w:pPr>
    </w:lvl>
    <w:lvl w:ilvl="6" w:tplc="040D000F" w:tentative="1">
      <w:start w:val="1"/>
      <w:numFmt w:val="decimal"/>
      <w:lvlText w:val="%7."/>
      <w:lvlJc w:val="left"/>
      <w:pPr>
        <w:tabs>
          <w:tab w:val="num" w:pos="5670"/>
        </w:tabs>
        <w:ind w:left="5670" w:right="5670" w:hanging="360"/>
      </w:pPr>
    </w:lvl>
    <w:lvl w:ilvl="7" w:tplc="040D0019" w:tentative="1">
      <w:start w:val="1"/>
      <w:numFmt w:val="lowerLetter"/>
      <w:lvlText w:val="%8."/>
      <w:lvlJc w:val="left"/>
      <w:pPr>
        <w:tabs>
          <w:tab w:val="num" w:pos="6390"/>
        </w:tabs>
        <w:ind w:left="6390" w:right="6390" w:hanging="360"/>
      </w:pPr>
    </w:lvl>
    <w:lvl w:ilvl="8" w:tplc="040D001B" w:tentative="1">
      <w:start w:val="1"/>
      <w:numFmt w:val="lowerRoman"/>
      <w:lvlText w:val="%9."/>
      <w:lvlJc w:val="right"/>
      <w:pPr>
        <w:tabs>
          <w:tab w:val="num" w:pos="7110"/>
        </w:tabs>
        <w:ind w:left="7110" w:right="7110" w:hanging="180"/>
      </w:pPr>
    </w:lvl>
  </w:abstractNum>
  <w:num w:numId="1" w16cid:durableId="77583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7226"/>
    <w:rsid w:val="0001410D"/>
    <w:rsid w:val="000144B3"/>
    <w:rsid w:val="000761BB"/>
    <w:rsid w:val="000B0231"/>
    <w:rsid w:val="000B7269"/>
    <w:rsid w:val="001516AB"/>
    <w:rsid w:val="001A20FD"/>
    <w:rsid w:val="00246C2E"/>
    <w:rsid w:val="002A07C8"/>
    <w:rsid w:val="00321FA3"/>
    <w:rsid w:val="00327112"/>
    <w:rsid w:val="00351F8B"/>
    <w:rsid w:val="003604C8"/>
    <w:rsid w:val="003B0CBA"/>
    <w:rsid w:val="003D2F47"/>
    <w:rsid w:val="004863ED"/>
    <w:rsid w:val="004A1261"/>
    <w:rsid w:val="004E2CB2"/>
    <w:rsid w:val="006D280A"/>
    <w:rsid w:val="006F653E"/>
    <w:rsid w:val="007245B1"/>
    <w:rsid w:val="007951CA"/>
    <w:rsid w:val="007A6554"/>
    <w:rsid w:val="008B6F62"/>
    <w:rsid w:val="00952B30"/>
    <w:rsid w:val="00A61585"/>
    <w:rsid w:val="00A934C7"/>
    <w:rsid w:val="00AC3EE3"/>
    <w:rsid w:val="00C21D45"/>
    <w:rsid w:val="00C364D9"/>
    <w:rsid w:val="00C934AB"/>
    <w:rsid w:val="00CF6102"/>
    <w:rsid w:val="00D609B7"/>
    <w:rsid w:val="00EC7226"/>
    <w:rsid w:val="00EE17AF"/>
    <w:rsid w:val="00F22456"/>
    <w:rsid w:val="00FB0961"/>
    <w:rsid w:val="00FD55A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1001EB8-C175-4878-A6CF-A66C0C33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pIzcurLaw=&#1495;&#1493;&#1511;%20&#1506;&#1494;&#1512;%20&#1500;&#1489;&#1514;%20&#1497;&#1501;%20(&#1489;&#1497;&#1493;&#1489;)&amp;pIzcurNum=2" TargetMode="External"/><Relationship Id="rId13" Type="http://schemas.openxmlformats.org/officeDocument/2006/relationships/hyperlink" Target="http://www.nevo.co.il/links/psika/?pIzcurLaw=&#1495;&#1493;&#1511;%20&#1506;&#1494;&#1512;%20&#1500;&#1489;&#1514;%20&#1497;&#1501;%20(&#1489;&#1497;&#1493;&#1489;)&amp;pIzcurNum=7" TargetMode="External"/><Relationship Id="rId18" Type="http://schemas.openxmlformats.org/officeDocument/2006/relationships/hyperlink" Target="http://www.nevo.co.il/links/psika/?pIzcurLaw=&#1495;&#1493;&#1511;%20&#1506;&#1494;&#1512;%20&#1500;&#1489;&#1514;%20&#1497;&#1501;%20(&#1489;&#1497;&#1493;&#1489;)&amp;pIzcurNum=12" TargetMode="External"/><Relationship Id="rId26" Type="http://schemas.openxmlformats.org/officeDocument/2006/relationships/hyperlink" Target="http://www.nevo.co.il/links/psika/?pIzcurLaw=&#1495;&#1493;&#1511;%20&#1506;&#1494;&#1512;%20&#1500;&#1489;&#1514;%20&#1497;&#1501;%20(&#1489;&#1497;&#1493;&#1489;)&amp;pIzcurNum=20" TargetMode="External"/><Relationship Id="rId3" Type="http://schemas.openxmlformats.org/officeDocument/2006/relationships/settings" Target="settings.xml"/><Relationship Id="rId21" Type="http://schemas.openxmlformats.org/officeDocument/2006/relationships/hyperlink" Target="http://www.nevo.co.il/links/psika/?pIzcurLaw=&#1495;&#1493;&#1511;%20&#1506;&#1494;&#1512;%20&#1500;&#1489;&#1514;%20&#1497;&#1501;%20(&#1489;&#1497;&#1493;&#1489;)&amp;pIzcurNum=15" TargetMode="External"/><Relationship Id="rId7" Type="http://schemas.openxmlformats.org/officeDocument/2006/relationships/hyperlink" Target="http://www.nevo.co.il/links/psika/?pIzcurLaw=&#1495;&#1493;&#1511;%20&#1506;&#1494;&#1512;%20&#1500;&#1489;&#1514;%20&#1497;&#1501;%20(&#1489;&#1497;&#1493;&#1489;)&amp;pIzcurNum=1" TargetMode="External"/><Relationship Id="rId12" Type="http://schemas.openxmlformats.org/officeDocument/2006/relationships/hyperlink" Target="http://www.nevo.co.il/links/psika/?pIzcurLaw=&#1495;&#1493;&#1511;%20&#1506;&#1494;&#1512;%20&#1500;&#1489;&#1514;%20&#1497;&#1501;%20(&#1489;&#1497;&#1493;&#1489;)&amp;pIzcurNum=6" TargetMode="External"/><Relationship Id="rId17" Type="http://schemas.openxmlformats.org/officeDocument/2006/relationships/hyperlink" Target="http://www.nevo.co.il/links/psika/?pIzcurLaw=&#1495;&#1493;&#1511;%20&#1506;&#1494;&#1512;%20&#1500;&#1489;&#1514;%20&#1497;&#1501;%20(&#1489;&#1497;&#1493;&#1489;)&amp;pIzcurNum=11" TargetMode="External"/><Relationship Id="rId25" Type="http://schemas.openxmlformats.org/officeDocument/2006/relationships/hyperlink" Target="http://www.nevo.co.il/links/psika/?pIzcurLaw=&#1495;&#1493;&#1511;%20&#1506;&#1494;&#1512;%20&#1500;&#1489;&#1514;%20&#1497;&#1501;%20(&#1489;&#1497;&#1493;&#1489;)&amp;pIzcurNum=19" TargetMode="External"/><Relationship Id="rId2" Type="http://schemas.openxmlformats.org/officeDocument/2006/relationships/styles" Target="styles.xml"/><Relationship Id="rId16" Type="http://schemas.openxmlformats.org/officeDocument/2006/relationships/hyperlink" Target="http://www.nevo.co.il/links/psika/?pIzcurLaw=&#1495;&#1493;&#1511;%20&#1506;&#1494;&#1512;%20&#1500;&#1489;&#1514;%20&#1497;&#1501;%20(&#1489;&#1497;&#1493;&#1489;)&amp;pIzcurNum=10" TargetMode="External"/><Relationship Id="rId20" Type="http://schemas.openxmlformats.org/officeDocument/2006/relationships/hyperlink" Target="http://www.nevo.co.il/links/psika/?pIzcurLaw=&#1495;&#1493;&#1511;%20&#1506;&#1494;&#1512;%20&#1500;&#1489;&#1514;%20&#1497;&#1501;%20(&#1489;&#1497;&#1493;&#1489;)&amp;pIzcurNum=14"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pIzcurLaw=&#1495;&#1493;&#1511;%20&#1506;&#1494;&#1512;%20&#1500;&#1489;&#1514;%20&#1497;&#1501;%20(&#1489;&#1497;&#1493;&#1489;)&amp;pIzcurNum=5" TargetMode="External"/><Relationship Id="rId24" Type="http://schemas.openxmlformats.org/officeDocument/2006/relationships/hyperlink" Target="http://www.nevo.co.il/links/psika/?pIzcurLaw=&#1495;&#1493;&#1511;%20&#1506;&#1494;&#1512;%20&#1500;&#1489;&#1514;%20&#1497;&#1501;%20(&#1489;&#1497;&#1493;&#1489;)&amp;pIzcurNum=1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inks/psika/?pIzcurLaw=&#1495;&#1493;&#1511;%20&#1506;&#1494;&#1512;%20&#1500;&#1489;&#1514;%20&#1497;&#1501;%20(&#1489;&#1497;&#1493;&#1489;)&amp;pIzcurNum=9" TargetMode="External"/><Relationship Id="rId23" Type="http://schemas.openxmlformats.org/officeDocument/2006/relationships/hyperlink" Target="http://www.nevo.co.il/links/psika/?pIzcurLaw=&#1495;&#1493;&#1511;%20&#1506;&#1494;&#1512;%20&#1500;&#1489;&#1514;%20&#1497;&#1501;%20(&#1489;&#1497;&#1493;&#1489;)&amp;pIzcurNum=17" TargetMode="External"/><Relationship Id="rId28" Type="http://schemas.openxmlformats.org/officeDocument/2006/relationships/header" Target="header2.xml"/><Relationship Id="rId10" Type="http://schemas.openxmlformats.org/officeDocument/2006/relationships/hyperlink" Target="http://www.nevo.co.il/links/psika/?pIzcurLaw=&#1495;&#1493;&#1511;%20&#1506;&#1494;&#1512;%20&#1500;&#1489;&#1514;%20&#1497;&#1501;%20(&#1489;&#1497;&#1493;&#1489;)&amp;pIzcurNum=4" TargetMode="External"/><Relationship Id="rId19" Type="http://schemas.openxmlformats.org/officeDocument/2006/relationships/hyperlink" Target="http://www.nevo.co.il/links/psika/?pIzcurLaw=&#1495;&#1493;&#1511;%20&#1506;&#1494;&#1512;%20&#1500;&#1489;&#1514;%20&#1497;&#1501;%20(&#1489;&#1497;&#1493;&#1489;)&amp;pIzcurNum=1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inks/psika/?pIzcurLaw=&#1495;&#1493;&#1511;%20&#1506;&#1494;&#1512;%20&#1500;&#1489;&#1514;%20&#1497;&#1501;%20(&#1489;&#1497;&#1493;&#1489;)&amp;pIzcurNum=3" TargetMode="External"/><Relationship Id="rId14" Type="http://schemas.openxmlformats.org/officeDocument/2006/relationships/hyperlink" Target="http://www.nevo.co.il/links/psika/?pIzcurLaw=&#1495;&#1493;&#1511;%20&#1506;&#1494;&#1512;%20&#1500;&#1489;&#1514;%20&#1497;&#1501;%20(&#1489;&#1497;&#1493;&#1489;)&amp;pIzcurNum=8" TargetMode="External"/><Relationship Id="rId22" Type="http://schemas.openxmlformats.org/officeDocument/2006/relationships/hyperlink" Target="http://www.nevo.co.il/links/psika/?pIzcurLaw=&#1495;&#1493;&#1511;%20&#1506;&#1494;&#1512;%20&#1500;&#1489;&#1514;%20&#1497;&#1501;%20(&#1489;&#1497;&#1493;&#1489;)&amp;pIzcurNum=16"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72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2552</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17065</CharactersWithSpaces>
  <SharedDoc>false</SharedDoc>
  <HLinks>
    <vt:vector size="264" baseType="variant">
      <vt:variant>
        <vt:i4>98304112</vt:i4>
      </vt:variant>
      <vt:variant>
        <vt:i4>195</vt:i4>
      </vt:variant>
      <vt:variant>
        <vt:i4>0</vt:i4>
      </vt:variant>
      <vt:variant>
        <vt:i4>5</vt:i4>
      </vt:variant>
      <vt:variant>
        <vt:lpwstr>http://www.nevo.co.il/links/psika/?pIzcurLaw=חוק עזר לבת ים (ביוב)&amp;pIzcurNum=20</vt:lpwstr>
      </vt:variant>
      <vt:variant>
        <vt:lpwstr/>
      </vt:variant>
      <vt:variant>
        <vt:i4>98500720</vt:i4>
      </vt:variant>
      <vt:variant>
        <vt:i4>192</vt:i4>
      </vt:variant>
      <vt:variant>
        <vt:i4>0</vt:i4>
      </vt:variant>
      <vt:variant>
        <vt:i4>5</vt:i4>
      </vt:variant>
      <vt:variant>
        <vt:lpwstr>http://www.nevo.co.il/links/psika/?pIzcurLaw=חוק עזר לבת ים (ביוב)&amp;pIzcurNum=19</vt:lpwstr>
      </vt:variant>
      <vt:variant>
        <vt:lpwstr/>
      </vt:variant>
      <vt:variant>
        <vt:i4>98500720</vt:i4>
      </vt:variant>
      <vt:variant>
        <vt:i4>189</vt:i4>
      </vt:variant>
      <vt:variant>
        <vt:i4>0</vt:i4>
      </vt:variant>
      <vt:variant>
        <vt:i4>5</vt:i4>
      </vt:variant>
      <vt:variant>
        <vt:lpwstr>http://www.nevo.co.il/links/psika/?pIzcurLaw=חוק עזר לבת ים (ביוב)&amp;pIzcurNum=18</vt:lpwstr>
      </vt:variant>
      <vt:variant>
        <vt:lpwstr/>
      </vt:variant>
      <vt:variant>
        <vt:i4>98500720</vt:i4>
      </vt:variant>
      <vt:variant>
        <vt:i4>186</vt:i4>
      </vt:variant>
      <vt:variant>
        <vt:i4>0</vt:i4>
      </vt:variant>
      <vt:variant>
        <vt:i4>5</vt:i4>
      </vt:variant>
      <vt:variant>
        <vt:lpwstr>http://www.nevo.co.il/links/psika/?pIzcurLaw=חוק עזר לבת ים (ביוב)&amp;pIzcurNum=17</vt:lpwstr>
      </vt:variant>
      <vt:variant>
        <vt:lpwstr/>
      </vt:variant>
      <vt:variant>
        <vt:i4>98500720</vt:i4>
      </vt:variant>
      <vt:variant>
        <vt:i4>183</vt:i4>
      </vt:variant>
      <vt:variant>
        <vt:i4>0</vt:i4>
      </vt:variant>
      <vt:variant>
        <vt:i4>5</vt:i4>
      </vt:variant>
      <vt:variant>
        <vt:lpwstr>http://www.nevo.co.il/links/psika/?pIzcurLaw=חוק עזר לבת ים (ביוב)&amp;pIzcurNum=16</vt:lpwstr>
      </vt:variant>
      <vt:variant>
        <vt:lpwstr/>
      </vt:variant>
      <vt:variant>
        <vt:i4>98500720</vt:i4>
      </vt:variant>
      <vt:variant>
        <vt:i4>180</vt:i4>
      </vt:variant>
      <vt:variant>
        <vt:i4>0</vt:i4>
      </vt:variant>
      <vt:variant>
        <vt:i4>5</vt:i4>
      </vt:variant>
      <vt:variant>
        <vt:lpwstr>http://www.nevo.co.il/links/psika/?pIzcurLaw=חוק עזר לבת ים (ביוב)&amp;pIzcurNum=15</vt:lpwstr>
      </vt:variant>
      <vt:variant>
        <vt:lpwstr/>
      </vt:variant>
      <vt:variant>
        <vt:i4>98500720</vt:i4>
      </vt:variant>
      <vt:variant>
        <vt:i4>177</vt:i4>
      </vt:variant>
      <vt:variant>
        <vt:i4>0</vt:i4>
      </vt:variant>
      <vt:variant>
        <vt:i4>5</vt:i4>
      </vt:variant>
      <vt:variant>
        <vt:lpwstr>http://www.nevo.co.il/links/psika/?pIzcurLaw=חוק עזר לבת ים (ביוב)&amp;pIzcurNum=14</vt:lpwstr>
      </vt:variant>
      <vt:variant>
        <vt:lpwstr/>
      </vt:variant>
      <vt:variant>
        <vt:i4>98500720</vt:i4>
      </vt:variant>
      <vt:variant>
        <vt:i4>174</vt:i4>
      </vt:variant>
      <vt:variant>
        <vt:i4>0</vt:i4>
      </vt:variant>
      <vt:variant>
        <vt:i4>5</vt:i4>
      </vt:variant>
      <vt:variant>
        <vt:lpwstr>http://www.nevo.co.il/links/psika/?pIzcurLaw=חוק עזר לבת ים (ביוב)&amp;pIzcurNum=13</vt:lpwstr>
      </vt:variant>
      <vt:variant>
        <vt:lpwstr/>
      </vt:variant>
      <vt:variant>
        <vt:i4>98500720</vt:i4>
      </vt:variant>
      <vt:variant>
        <vt:i4>171</vt:i4>
      </vt:variant>
      <vt:variant>
        <vt:i4>0</vt:i4>
      </vt:variant>
      <vt:variant>
        <vt:i4>5</vt:i4>
      </vt:variant>
      <vt:variant>
        <vt:lpwstr>http://www.nevo.co.il/links/psika/?pIzcurLaw=חוק עזר לבת ים (ביוב)&amp;pIzcurNum=12</vt:lpwstr>
      </vt:variant>
      <vt:variant>
        <vt:lpwstr/>
      </vt:variant>
      <vt:variant>
        <vt:i4>98500720</vt:i4>
      </vt:variant>
      <vt:variant>
        <vt:i4>168</vt:i4>
      </vt:variant>
      <vt:variant>
        <vt:i4>0</vt:i4>
      </vt:variant>
      <vt:variant>
        <vt:i4>5</vt:i4>
      </vt:variant>
      <vt:variant>
        <vt:lpwstr>http://www.nevo.co.il/links/psika/?pIzcurLaw=חוק עזר לבת ים (ביוב)&amp;pIzcurNum=11</vt:lpwstr>
      </vt:variant>
      <vt:variant>
        <vt:lpwstr/>
      </vt:variant>
      <vt:variant>
        <vt:i4>98500720</vt:i4>
      </vt:variant>
      <vt:variant>
        <vt:i4>165</vt:i4>
      </vt:variant>
      <vt:variant>
        <vt:i4>0</vt:i4>
      </vt:variant>
      <vt:variant>
        <vt:i4>5</vt:i4>
      </vt:variant>
      <vt:variant>
        <vt:lpwstr>http://www.nevo.co.il/links/psika/?pIzcurLaw=חוק עזר לבת ים (ביוב)&amp;pIzcurNum=10</vt:lpwstr>
      </vt:variant>
      <vt:variant>
        <vt:lpwstr/>
      </vt:variant>
      <vt:variant>
        <vt:i4>97976432</vt:i4>
      </vt:variant>
      <vt:variant>
        <vt:i4>162</vt:i4>
      </vt:variant>
      <vt:variant>
        <vt:i4>0</vt:i4>
      </vt:variant>
      <vt:variant>
        <vt:i4>5</vt:i4>
      </vt:variant>
      <vt:variant>
        <vt:lpwstr>http://www.nevo.co.il/links/psika/?pIzcurLaw=חוק עזר לבת ים (ביוב)&amp;pIzcurNum=9</vt:lpwstr>
      </vt:variant>
      <vt:variant>
        <vt:lpwstr/>
      </vt:variant>
      <vt:variant>
        <vt:i4>97910896</vt:i4>
      </vt:variant>
      <vt:variant>
        <vt:i4>159</vt:i4>
      </vt:variant>
      <vt:variant>
        <vt:i4>0</vt:i4>
      </vt:variant>
      <vt:variant>
        <vt:i4>5</vt:i4>
      </vt:variant>
      <vt:variant>
        <vt:lpwstr>http://www.nevo.co.il/links/psika/?pIzcurLaw=חוק עזר לבת ים (ביוב)&amp;pIzcurNum=8</vt:lpwstr>
      </vt:variant>
      <vt:variant>
        <vt:lpwstr/>
      </vt:variant>
      <vt:variant>
        <vt:i4>98107504</vt:i4>
      </vt:variant>
      <vt:variant>
        <vt:i4>156</vt:i4>
      </vt:variant>
      <vt:variant>
        <vt:i4>0</vt:i4>
      </vt:variant>
      <vt:variant>
        <vt:i4>5</vt:i4>
      </vt:variant>
      <vt:variant>
        <vt:lpwstr>http://www.nevo.co.il/links/psika/?pIzcurLaw=חוק עזר לבת ים (ביוב)&amp;pIzcurNum=7</vt:lpwstr>
      </vt:variant>
      <vt:variant>
        <vt:lpwstr/>
      </vt:variant>
      <vt:variant>
        <vt:i4>98041968</vt:i4>
      </vt:variant>
      <vt:variant>
        <vt:i4>153</vt:i4>
      </vt:variant>
      <vt:variant>
        <vt:i4>0</vt:i4>
      </vt:variant>
      <vt:variant>
        <vt:i4>5</vt:i4>
      </vt:variant>
      <vt:variant>
        <vt:lpwstr>http://www.nevo.co.il/links/psika/?pIzcurLaw=חוק עזר לבת ים (ביוב)&amp;pIzcurNum=6</vt:lpwstr>
      </vt:variant>
      <vt:variant>
        <vt:lpwstr/>
      </vt:variant>
      <vt:variant>
        <vt:i4>98238576</vt:i4>
      </vt:variant>
      <vt:variant>
        <vt:i4>150</vt:i4>
      </vt:variant>
      <vt:variant>
        <vt:i4>0</vt:i4>
      </vt:variant>
      <vt:variant>
        <vt:i4>5</vt:i4>
      </vt:variant>
      <vt:variant>
        <vt:lpwstr>http://www.nevo.co.il/links/psika/?pIzcurLaw=חוק עזר לבת ים (ביוב)&amp;pIzcurNum=5</vt:lpwstr>
      </vt:variant>
      <vt:variant>
        <vt:lpwstr/>
      </vt:variant>
      <vt:variant>
        <vt:i4>98173040</vt:i4>
      </vt:variant>
      <vt:variant>
        <vt:i4>147</vt:i4>
      </vt:variant>
      <vt:variant>
        <vt:i4>0</vt:i4>
      </vt:variant>
      <vt:variant>
        <vt:i4>5</vt:i4>
      </vt:variant>
      <vt:variant>
        <vt:lpwstr>http://www.nevo.co.il/links/psika/?pIzcurLaw=חוק עזר לבת ים (ביוב)&amp;pIzcurNum=4</vt:lpwstr>
      </vt:variant>
      <vt:variant>
        <vt:lpwstr/>
      </vt:variant>
      <vt:variant>
        <vt:i4>98369648</vt:i4>
      </vt:variant>
      <vt:variant>
        <vt:i4>144</vt:i4>
      </vt:variant>
      <vt:variant>
        <vt:i4>0</vt:i4>
      </vt:variant>
      <vt:variant>
        <vt:i4>5</vt:i4>
      </vt:variant>
      <vt:variant>
        <vt:lpwstr>http://www.nevo.co.il/links/psika/?pIzcurLaw=חוק עזר לבת ים (ביוב)&amp;pIzcurNum=3</vt:lpwstr>
      </vt:variant>
      <vt:variant>
        <vt:lpwstr/>
      </vt:variant>
      <vt:variant>
        <vt:i4>98304112</vt:i4>
      </vt:variant>
      <vt:variant>
        <vt:i4>141</vt:i4>
      </vt:variant>
      <vt:variant>
        <vt:i4>0</vt:i4>
      </vt:variant>
      <vt:variant>
        <vt:i4>5</vt:i4>
      </vt:variant>
      <vt:variant>
        <vt:lpwstr>http://www.nevo.co.il/links/psika/?pIzcurLaw=חוק עזר לבת ים (ביוב)&amp;pIzcurNum=2</vt:lpwstr>
      </vt:variant>
      <vt:variant>
        <vt:lpwstr/>
      </vt:variant>
      <vt:variant>
        <vt:i4>98500720</vt:i4>
      </vt:variant>
      <vt:variant>
        <vt:i4>138</vt:i4>
      </vt:variant>
      <vt:variant>
        <vt:i4>0</vt:i4>
      </vt:variant>
      <vt:variant>
        <vt:i4>5</vt:i4>
      </vt:variant>
      <vt:variant>
        <vt:lpwstr>http://www.nevo.co.il/links/psika/?pIzcurLaw=חוק עזר לבת ים (ביוב)&amp;pIzcurNum=1</vt:lpwstr>
      </vt:variant>
      <vt:variant>
        <vt:lpwstr/>
      </vt:variant>
      <vt:variant>
        <vt:i4>5701641</vt:i4>
      </vt:variant>
      <vt:variant>
        <vt:i4>132</vt:i4>
      </vt:variant>
      <vt:variant>
        <vt:i4>0</vt:i4>
      </vt:variant>
      <vt:variant>
        <vt:i4>5</vt:i4>
      </vt:variant>
      <vt:variant>
        <vt:lpwstr/>
      </vt:variant>
      <vt:variant>
        <vt:lpwstr>med2</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Seif9</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8060959</vt:i4>
      </vt:variant>
      <vt:variant>
        <vt:i4>0</vt:i4>
      </vt:variant>
      <vt:variant>
        <vt:i4>0</vt:i4>
      </vt:variant>
      <vt:variant>
        <vt:i4>5</vt:i4>
      </vt:variant>
      <vt:variant>
        <vt:lpwstr>http://www.nevo.co.il/Law_word/law07/mekomi-0721.pdf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2/178</dc:title>
  <dc:subject/>
  <dc:creator>eli</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p178m2</vt:lpwstr>
  </property>
  <property fmtid="{D5CDD505-2E9C-101B-9397-08002B2CF9AE}" pid="3" name="CHNAME">
    <vt:lpwstr>חוקי עזר</vt:lpwstr>
  </property>
  <property fmtid="{D5CDD505-2E9C-101B-9397-08002B2CF9AE}" pid="4" name="LAWNAME">
    <vt:lpwstr>חוק עזר לבת ים (ביוב), תשס"ח-2008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http://www.nevo.co.il/Law_word/law07/mekomi-0721.pdf;‎רשומות - תקנות כלליות#פורסמו ק"ת חש"ם ‏תשס"ח מס' 721 #מיום 15.7.2008 עמ' 362‏</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MEKOR_NAME1">
    <vt:lpwstr>פקודת העיריות </vt:lpwstr>
  </property>
  <property fmtid="{D5CDD505-2E9C-101B-9397-08002B2CF9AE}" pid="24" name="MEKOR_SAIF1">
    <vt:lpwstr>250X;251X</vt:lpwstr>
  </property>
  <property fmtid="{D5CDD505-2E9C-101B-9397-08002B2CF9AE}" pid="25" name="MEKOR_NAME2">
    <vt:lpwstr>חוק הרשויות המקומיות (ביוב)</vt:lpwstr>
  </property>
  <property fmtid="{D5CDD505-2E9C-101B-9397-08002B2CF9AE}" pid="26" name="MEKOR_SAIF2">
    <vt:lpwstr>17X</vt:lpwstr>
  </property>
  <property fmtid="{D5CDD505-2E9C-101B-9397-08002B2CF9AE}" pid="27" name="NOSE11">
    <vt:lpwstr>רשויות ומשפט מנהלי</vt:lpwstr>
  </property>
  <property fmtid="{D5CDD505-2E9C-101B-9397-08002B2CF9AE}" pid="28" name="NOSE21">
    <vt:lpwstr>רשויות מקומיות</vt:lpwstr>
  </property>
  <property fmtid="{D5CDD505-2E9C-101B-9397-08002B2CF9AE}" pid="29" name="NOSE31">
    <vt:lpwstr>ביוב</vt:lpwstr>
  </property>
  <property fmtid="{D5CDD505-2E9C-101B-9397-08002B2CF9AE}" pid="30" name="NOSE41">
    <vt:lpwstr/>
  </property>
  <property fmtid="{D5CDD505-2E9C-101B-9397-08002B2CF9AE}" pid="31" name="NOSE12">
    <vt:lpwstr>רשויות ומשפט מנהלי</vt:lpwstr>
  </property>
  <property fmtid="{D5CDD505-2E9C-101B-9397-08002B2CF9AE}" pid="32" name="NOSE22">
    <vt:lpwstr>רשויות מקומיות</vt:lpwstr>
  </property>
  <property fmtid="{D5CDD505-2E9C-101B-9397-08002B2CF9AE}" pid="33" name="NOSE32">
    <vt:lpwstr>חוקי עזר</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