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EAD1" w14:textId="77777777" w:rsidR="0091524D" w:rsidRDefault="0091524D" w:rsidP="0049652F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עזר </w:t>
      </w:r>
      <w:r w:rsidR="0049652F">
        <w:rPr>
          <w:rFonts w:cs="FrankRuehl" w:hint="cs"/>
          <w:sz w:val="32"/>
          <w:rtl/>
        </w:rPr>
        <w:t>להרצליה</w:t>
      </w:r>
      <w:r w:rsidR="007546B3">
        <w:rPr>
          <w:rFonts w:cs="FrankRuehl" w:hint="cs"/>
          <w:sz w:val="32"/>
          <w:rtl/>
        </w:rPr>
        <w:t xml:space="preserve"> (רוכלים</w:t>
      </w:r>
      <w:r w:rsidR="00DF4603">
        <w:rPr>
          <w:rFonts w:cs="FrankRuehl" w:hint="cs"/>
          <w:sz w:val="32"/>
          <w:rtl/>
        </w:rPr>
        <w:t xml:space="preserve">), </w:t>
      </w:r>
      <w:r w:rsidR="00271817">
        <w:rPr>
          <w:rFonts w:cs="FrankRuehl" w:hint="cs"/>
          <w:sz w:val="32"/>
          <w:rtl/>
        </w:rPr>
        <w:t>תשכ"</w:t>
      </w:r>
      <w:r w:rsidR="0049652F">
        <w:rPr>
          <w:rFonts w:cs="FrankRuehl" w:hint="cs"/>
          <w:sz w:val="32"/>
          <w:rtl/>
        </w:rPr>
        <w:t>ו-1965</w:t>
      </w:r>
    </w:p>
    <w:p w14:paraId="67872F43" w14:textId="77777777" w:rsidR="00DF4603" w:rsidRPr="00DF4603" w:rsidRDefault="00DF4603" w:rsidP="00DF4603">
      <w:pPr>
        <w:spacing w:line="320" w:lineRule="auto"/>
        <w:jc w:val="left"/>
        <w:rPr>
          <w:rFonts w:cs="FrankRuehl"/>
          <w:szCs w:val="26"/>
          <w:rtl/>
        </w:rPr>
      </w:pPr>
    </w:p>
    <w:p w14:paraId="482D074A" w14:textId="77777777" w:rsidR="00DF4603" w:rsidRDefault="00DF4603" w:rsidP="00DF4603">
      <w:pPr>
        <w:spacing w:line="320" w:lineRule="auto"/>
        <w:jc w:val="left"/>
        <w:rPr>
          <w:rtl/>
        </w:rPr>
      </w:pPr>
    </w:p>
    <w:p w14:paraId="027D7595" w14:textId="77777777" w:rsidR="00DF4603" w:rsidRDefault="00DF4603" w:rsidP="00DF4603">
      <w:pPr>
        <w:spacing w:line="320" w:lineRule="auto"/>
        <w:jc w:val="left"/>
        <w:rPr>
          <w:rFonts w:cs="Miriam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רשויות מקומיות – חוקי עזר</w:t>
      </w:r>
    </w:p>
    <w:p w14:paraId="2214847C" w14:textId="77777777" w:rsidR="00DF4603" w:rsidRPr="00DF4603" w:rsidRDefault="00DF4603" w:rsidP="00DF4603">
      <w:pPr>
        <w:spacing w:line="320" w:lineRule="auto"/>
        <w:jc w:val="left"/>
        <w:rPr>
          <w:rFonts w:cs="Miriam" w:hint="cs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רישוי – רישוי עסקים</w:t>
      </w:r>
    </w:p>
    <w:p w14:paraId="082B5B19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2E09" w:rsidRPr="004B2E09" w14:paraId="3038C58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529498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51B3BC6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0D0E961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9625E7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5717129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FF28EF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3D21E95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שטחים אסורים ברוכלות</w:t>
            </w:r>
          </w:p>
        </w:tc>
        <w:tc>
          <w:tcPr>
            <w:tcW w:w="567" w:type="dxa"/>
          </w:tcPr>
          <w:p w14:paraId="1EEC1817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טחים אסורים ברוכלות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64FBA7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11D596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309A99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2A7A977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</w:t>
            </w:r>
          </w:p>
        </w:tc>
        <w:tc>
          <w:tcPr>
            <w:tcW w:w="567" w:type="dxa"/>
          </w:tcPr>
          <w:p w14:paraId="751CF173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חניה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67C3F6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04E3A4F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FF4A84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1DA891C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 שלא בשעת התעסקות</w:t>
            </w:r>
          </w:p>
        </w:tc>
        <w:tc>
          <w:tcPr>
            <w:tcW w:w="567" w:type="dxa"/>
          </w:tcPr>
          <w:p w14:paraId="17CAEB3D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סור חניה שלא בשעת התעסקות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AF447F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0001AAB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3C4FA1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0C79A4C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לקשור במבנה</w:t>
            </w:r>
          </w:p>
        </w:tc>
        <w:tc>
          <w:tcPr>
            <w:tcW w:w="567" w:type="dxa"/>
          </w:tcPr>
          <w:p w14:paraId="2477220A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איסור לקשור במבנה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61979A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78C82B7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FFEC8D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722B98A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מקום החזקת עגלה</w:t>
            </w:r>
          </w:p>
        </w:tc>
        <w:tc>
          <w:tcPr>
            <w:tcW w:w="567" w:type="dxa"/>
          </w:tcPr>
          <w:p w14:paraId="7A349C13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מקום החזקת עגלה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5486E7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1B31DEE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37CB52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17FDC09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להכריז על טובין ואיסור פרסומת</w:t>
            </w:r>
          </w:p>
        </w:tc>
        <w:tc>
          <w:tcPr>
            <w:tcW w:w="567" w:type="dxa"/>
          </w:tcPr>
          <w:p w14:paraId="4129178B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להכריז על טובין ואיסור פרסומת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78F3E7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4FBA257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4112AA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5276004A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נקיון</w:t>
            </w:r>
          </w:p>
        </w:tc>
        <w:tc>
          <w:tcPr>
            <w:tcW w:w="567" w:type="dxa"/>
          </w:tcPr>
          <w:p w14:paraId="13F5EC61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נקיון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7A0261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5E58D60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3C4B74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2B277955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שעות הרוכלות</w:t>
            </w:r>
          </w:p>
        </w:tc>
        <w:tc>
          <w:tcPr>
            <w:tcW w:w="567" w:type="dxa"/>
          </w:tcPr>
          <w:p w14:paraId="246683B4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עות הרוכלות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D7515B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6FEA24B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183080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6809636F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היתר התעסקות</w:t>
            </w:r>
          </w:p>
        </w:tc>
        <w:tc>
          <w:tcPr>
            <w:tcW w:w="567" w:type="dxa"/>
          </w:tcPr>
          <w:p w14:paraId="4B38775C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יתר התעסקות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47DCB0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2B89698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8FD6C8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1D2F56A7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ימי הרוכלות</w:t>
            </w:r>
          </w:p>
        </w:tc>
        <w:tc>
          <w:tcPr>
            <w:tcW w:w="567" w:type="dxa"/>
          </w:tcPr>
          <w:p w14:paraId="3C1C0DA6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ימי הרוכלות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447000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0FE4B0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A2E684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71723ACE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דרישה לסלק עגלות</w:t>
            </w:r>
          </w:p>
        </w:tc>
        <w:tc>
          <w:tcPr>
            <w:tcW w:w="567" w:type="dxa"/>
          </w:tcPr>
          <w:p w14:paraId="4646DD68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דרישה לסלק עגלות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A8C044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4A2DCF8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4A158F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5C2A0363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סילוק עגלות</w:t>
            </w:r>
          </w:p>
        </w:tc>
        <w:tc>
          <w:tcPr>
            <w:tcW w:w="567" w:type="dxa"/>
          </w:tcPr>
          <w:p w14:paraId="52D0D125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סילוק עגלות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F44CAA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6DDD45B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7F499B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603797CC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תפיסת כלים והחרמתם</w:t>
            </w:r>
          </w:p>
        </w:tc>
        <w:tc>
          <w:tcPr>
            <w:tcW w:w="567" w:type="dxa"/>
          </w:tcPr>
          <w:p w14:paraId="4FC75ACE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פיסת כלים והחרמתם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F367AE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7F344D3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C77C14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14:paraId="6BEFF0F1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הפרעה</w:t>
            </w:r>
          </w:p>
        </w:tc>
        <w:tc>
          <w:tcPr>
            <w:tcW w:w="567" w:type="dxa"/>
          </w:tcPr>
          <w:p w14:paraId="6EFB3A0B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איסור הפרעה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EEB8CC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7CF059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8402EA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14:paraId="27709843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567" w:type="dxa"/>
          </w:tcPr>
          <w:p w14:paraId="258E003C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ענשים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ABB29F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63C00B1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B0DCDE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14:paraId="3B1605B1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56E5375C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ביטול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899904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2E09" w:rsidRPr="004B2E09" w14:paraId="60FC61F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755222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14:paraId="04DCBCB8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3409492" w14:textId="77777777" w:rsidR="004B2E09" w:rsidRPr="004B2E09" w:rsidRDefault="004B2E09" w:rsidP="004B2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השם" w:history="1">
              <w:r w:rsidRPr="004B2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906194" w14:textId="77777777" w:rsidR="004B2E09" w:rsidRPr="004B2E09" w:rsidRDefault="004B2E09" w:rsidP="004B2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D478D5C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4D06DE95" w14:textId="77777777" w:rsidR="0091524D" w:rsidRDefault="0091524D" w:rsidP="00AB3C51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AB3C51">
        <w:rPr>
          <w:rFonts w:cs="FrankRuehl" w:hint="cs"/>
          <w:sz w:val="32"/>
          <w:rtl/>
        </w:rPr>
        <w:lastRenderedPageBreak/>
        <w:t>חוק עזר להרצליה (רוכלים), תשכ"ו-1965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B95E401" w14:textId="77777777" w:rsidR="0091524D" w:rsidRDefault="0091524D" w:rsidP="00AB3C51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</w:t>
      </w:r>
      <w:r w:rsidR="00AB3C51">
        <w:rPr>
          <w:rFonts w:cs="FrankRuehl" w:hint="cs"/>
          <w:rtl/>
          <w:lang w:val="he-IL"/>
        </w:rPr>
        <w:t>ה</w:t>
      </w:r>
      <w:r>
        <w:rPr>
          <w:rFonts w:cs="FrankRuehl"/>
          <w:rtl/>
          <w:lang w:val="he-IL"/>
        </w:rPr>
        <w:t xml:space="preserve"> לפי </w:t>
      </w:r>
      <w:r w:rsidR="00AB3C51">
        <w:rPr>
          <w:rFonts w:cs="FrankRuehl" w:hint="cs"/>
          <w:rtl/>
          <w:lang w:val="he-IL"/>
        </w:rPr>
        <w:t>ה</w:t>
      </w:r>
      <w:r w:rsidR="00177D89">
        <w:rPr>
          <w:rFonts w:cs="FrankRuehl" w:hint="cs"/>
          <w:rtl/>
          <w:lang w:val="he-IL"/>
        </w:rPr>
        <w:t>סעיפים 250, 251 ו-254</w:t>
      </w:r>
      <w:r w:rsidR="00B67497">
        <w:rPr>
          <w:rFonts w:cs="FrankRuehl" w:hint="cs"/>
          <w:rtl/>
          <w:lang w:val="he-IL"/>
        </w:rPr>
        <w:t xml:space="preserve"> לפקודת העיריות</w:t>
      </w:r>
      <w:r w:rsidR="00C64CE6">
        <w:rPr>
          <w:rFonts w:cs="FrankRuehl" w:hint="cs"/>
          <w:rtl/>
          <w:lang w:val="he-IL"/>
        </w:rPr>
        <w:t>, מתק</w:t>
      </w:r>
      <w:r w:rsidR="00544992">
        <w:rPr>
          <w:rFonts w:cs="FrankRuehl" w:hint="cs"/>
          <w:rtl/>
          <w:lang w:val="he-IL"/>
        </w:rPr>
        <w:t>י</w:t>
      </w:r>
      <w:r w:rsidR="00C64CE6">
        <w:rPr>
          <w:rFonts w:cs="FrankRuehl" w:hint="cs"/>
          <w:rtl/>
          <w:lang w:val="he-IL"/>
        </w:rPr>
        <w:t xml:space="preserve">נה מועצת עירית </w:t>
      </w:r>
      <w:r w:rsidR="00AB3C51">
        <w:rPr>
          <w:rFonts w:cs="FrankRuehl" w:hint="cs"/>
          <w:rtl/>
          <w:lang w:val="he-IL"/>
        </w:rPr>
        <w:t>הרצליה</w:t>
      </w:r>
      <w:r w:rsidR="00AB6741"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14:paraId="6058C717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3ACEFEE0">
          <v:rect id="_x0000_s1026" style="position:absolute;left:0;text-align:left;margin-left:464.5pt;margin-top:8.05pt;width:75.05pt;height:12pt;z-index:251644928" o:allowincell="f" filled="f" stroked="f" strokecolor="lime" strokeweight=".25pt">
            <v:textbox style="mso-next-textbox:#_x0000_s1026" inset="0,0,0,0">
              <w:txbxContent>
                <w:p w14:paraId="254994CD" w14:textId="77777777" w:rsidR="00776ECA" w:rsidRDefault="00776E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B6741">
        <w:rPr>
          <w:rStyle w:val="default"/>
          <w:rFonts w:hint="cs"/>
          <w:rtl/>
        </w:rPr>
        <w:t xml:space="preserve">בחוק עזר זה </w:t>
      </w:r>
      <w:r w:rsidR="00AB6741">
        <w:rPr>
          <w:rStyle w:val="default"/>
          <w:rtl/>
        </w:rPr>
        <w:t>–</w:t>
      </w:r>
    </w:p>
    <w:p w14:paraId="48DA9732" w14:textId="77777777" w:rsidR="00C56F44" w:rsidRDefault="00C56F44" w:rsidP="00A726B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"דוכן"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A726BC">
        <w:rPr>
          <w:rStyle w:val="default"/>
          <w:rFonts w:hint="cs"/>
          <w:rtl/>
        </w:rPr>
        <w:t xml:space="preserve">כל </w:t>
      </w:r>
      <w:r>
        <w:rPr>
          <w:rStyle w:val="default"/>
          <w:rFonts w:hint="cs"/>
          <w:rtl/>
        </w:rPr>
        <w:t xml:space="preserve">שולחן או כלי אחר המשמשים להחזקת טובין </w:t>
      </w:r>
      <w:r w:rsidR="00C64CE6">
        <w:rPr>
          <w:rStyle w:val="default"/>
          <w:rFonts w:hint="cs"/>
          <w:rtl/>
        </w:rPr>
        <w:t>לשם מכיר</w:t>
      </w:r>
      <w:r w:rsidR="00A726BC">
        <w:rPr>
          <w:rStyle w:val="default"/>
          <w:rFonts w:hint="cs"/>
          <w:rtl/>
        </w:rPr>
        <w:t>ת</w:t>
      </w:r>
      <w:r w:rsidR="00B67497">
        <w:rPr>
          <w:rStyle w:val="default"/>
          <w:rFonts w:hint="cs"/>
          <w:rtl/>
        </w:rPr>
        <w:t>ם</w:t>
      </w:r>
      <w:r>
        <w:rPr>
          <w:rStyle w:val="default"/>
          <w:rFonts w:hint="cs"/>
          <w:rtl/>
        </w:rPr>
        <w:t>;</w:t>
      </w:r>
    </w:p>
    <w:p w14:paraId="04E72AD7" w14:textId="77777777" w:rsidR="00340AFB" w:rsidRDefault="00340AFB" w:rsidP="00C64CE6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"ימי מנוחה"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הימים שנקבעו </w:t>
      </w:r>
      <w:r w:rsidR="00C56F44">
        <w:rPr>
          <w:rStyle w:val="default"/>
          <w:rFonts w:hint="cs"/>
          <w:rtl/>
        </w:rPr>
        <w:t>בפקודת ימי מנוחה</w:t>
      </w:r>
      <w:r>
        <w:rPr>
          <w:rStyle w:val="default"/>
          <w:rFonts w:hint="cs"/>
          <w:rtl/>
        </w:rPr>
        <w:t xml:space="preserve">, תש"ח-1948, כימי מנוחה </w:t>
      </w:r>
      <w:r w:rsidR="00C56F44"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תחילתם חצי שעה לפני </w:t>
      </w:r>
      <w:r w:rsidR="0053683B">
        <w:rPr>
          <w:rStyle w:val="default"/>
          <w:rFonts w:hint="cs"/>
          <w:rtl/>
        </w:rPr>
        <w:t>שקיעת החמה בערב</w:t>
      </w:r>
      <w:r w:rsidR="00C56F44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 </w:t>
      </w:r>
      <w:r w:rsidR="00C56F44">
        <w:rPr>
          <w:rStyle w:val="default"/>
          <w:rFonts w:hint="cs"/>
          <w:rtl/>
        </w:rPr>
        <w:t xml:space="preserve">ימי </w:t>
      </w:r>
      <w:r>
        <w:rPr>
          <w:rStyle w:val="default"/>
          <w:rFonts w:hint="cs"/>
          <w:rtl/>
        </w:rPr>
        <w:t xml:space="preserve">מנוחה וסופם </w:t>
      </w:r>
      <w:r w:rsidR="0053683B">
        <w:rPr>
          <w:rStyle w:val="default"/>
          <w:rFonts w:hint="cs"/>
          <w:rtl/>
        </w:rPr>
        <w:t xml:space="preserve">במוצאי </w:t>
      </w:r>
      <w:r w:rsidR="00C56F44">
        <w:rPr>
          <w:rStyle w:val="default"/>
          <w:rFonts w:hint="cs"/>
          <w:rtl/>
        </w:rPr>
        <w:t xml:space="preserve">ימי </w:t>
      </w:r>
      <w:r w:rsidR="0053683B">
        <w:rPr>
          <w:rStyle w:val="default"/>
          <w:rFonts w:hint="cs"/>
          <w:rtl/>
        </w:rPr>
        <w:t>מנוחה</w:t>
      </w:r>
      <w:r w:rsidR="00C56F44">
        <w:rPr>
          <w:rStyle w:val="default"/>
          <w:rFonts w:hint="cs"/>
          <w:rtl/>
        </w:rPr>
        <w:t xml:space="preserve"> עם צאת הכוכבים</w:t>
      </w:r>
      <w:r>
        <w:rPr>
          <w:rStyle w:val="default"/>
          <w:rFonts w:hint="cs"/>
          <w:rtl/>
        </w:rPr>
        <w:t>;</w:t>
      </w:r>
    </w:p>
    <w:p w14:paraId="33632D22" w14:textId="77777777" w:rsidR="00DF4603" w:rsidRDefault="00DF4603" w:rsidP="005006D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5006DE">
        <w:rPr>
          <w:rStyle w:val="default"/>
          <w:rFonts w:hint="cs"/>
          <w:rtl/>
        </w:rPr>
        <w:t>ה</w:t>
      </w:r>
      <w:r>
        <w:rPr>
          <w:rStyle w:val="default"/>
          <w:rFonts w:hint="cs"/>
          <w:rtl/>
        </w:rPr>
        <w:t xml:space="preserve">מפקח"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מי </w:t>
      </w:r>
      <w:r w:rsidR="00B67497">
        <w:rPr>
          <w:rStyle w:val="default"/>
          <w:rFonts w:hint="cs"/>
          <w:rtl/>
        </w:rPr>
        <w:t>שמועצת</w:t>
      </w:r>
      <w:r>
        <w:rPr>
          <w:rStyle w:val="default"/>
          <w:rFonts w:hint="cs"/>
          <w:rtl/>
        </w:rPr>
        <w:t xml:space="preserve"> העיריה </w:t>
      </w:r>
      <w:r w:rsidR="00C56F44">
        <w:rPr>
          <w:rStyle w:val="default"/>
          <w:rFonts w:hint="cs"/>
          <w:rtl/>
        </w:rPr>
        <w:t>הרש</w:t>
      </w:r>
      <w:r w:rsidR="00B67497">
        <w:rPr>
          <w:rStyle w:val="default"/>
          <w:rFonts w:hint="cs"/>
          <w:rtl/>
        </w:rPr>
        <w:t>ת</w:t>
      </w:r>
      <w:r w:rsidR="00C56F44">
        <w:rPr>
          <w:rStyle w:val="default"/>
          <w:rFonts w:hint="cs"/>
          <w:rtl/>
        </w:rPr>
        <w:t>ה</w:t>
      </w:r>
      <w:r w:rsidR="005006DE">
        <w:rPr>
          <w:rStyle w:val="default"/>
          <w:rFonts w:hint="cs"/>
          <w:rtl/>
        </w:rPr>
        <w:t>ו</w:t>
      </w:r>
      <w:r w:rsidR="00935727">
        <w:rPr>
          <w:rStyle w:val="default"/>
          <w:rFonts w:hint="cs"/>
          <w:rtl/>
        </w:rPr>
        <w:t xml:space="preserve"> </w:t>
      </w:r>
      <w:r>
        <w:rPr>
          <w:rStyle w:val="default"/>
          <w:rFonts w:hint="cs"/>
          <w:rtl/>
        </w:rPr>
        <w:t xml:space="preserve">בכתב </w:t>
      </w:r>
      <w:r w:rsidR="00C56F44">
        <w:rPr>
          <w:rStyle w:val="default"/>
          <w:rFonts w:hint="cs"/>
          <w:rtl/>
        </w:rPr>
        <w:t>ל</w:t>
      </w:r>
      <w:r w:rsidR="0053683B">
        <w:rPr>
          <w:rStyle w:val="default"/>
          <w:rFonts w:hint="cs"/>
          <w:rtl/>
        </w:rPr>
        <w:t xml:space="preserve">פקח </w:t>
      </w:r>
      <w:r w:rsidR="00C56F44">
        <w:rPr>
          <w:rStyle w:val="default"/>
          <w:rFonts w:hint="cs"/>
          <w:rtl/>
        </w:rPr>
        <w:t xml:space="preserve">על מילוי הוראות </w:t>
      </w:r>
      <w:r>
        <w:rPr>
          <w:rStyle w:val="default"/>
          <w:rFonts w:hint="cs"/>
          <w:rtl/>
        </w:rPr>
        <w:t>חוק עזר זה;</w:t>
      </w:r>
    </w:p>
    <w:p w14:paraId="7EC73F93" w14:textId="77777777" w:rsidR="00C56F44" w:rsidRDefault="00C56F44" w:rsidP="00935727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"עגלה"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כלי הובלה, הנסחב או הנדחף ב</w:t>
      </w:r>
      <w:r w:rsidR="00B67497">
        <w:rPr>
          <w:rStyle w:val="default"/>
          <w:rFonts w:hint="cs"/>
          <w:rtl/>
        </w:rPr>
        <w:t>כוח מיכני, בכוח אדם או בכוח בעל</w:t>
      </w:r>
      <w:r w:rsidR="00935727">
        <w:rPr>
          <w:rStyle w:val="default"/>
          <w:rFonts w:hint="cs"/>
          <w:rtl/>
        </w:rPr>
        <w:t xml:space="preserve"> </w:t>
      </w:r>
      <w:r>
        <w:rPr>
          <w:rStyle w:val="default"/>
          <w:rFonts w:hint="cs"/>
          <w:rtl/>
        </w:rPr>
        <w:t>חיים;</w:t>
      </w:r>
    </w:p>
    <w:p w14:paraId="3CDEDC85" w14:textId="77777777" w:rsidR="00C56F44" w:rsidRDefault="00C56F44" w:rsidP="005006D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5006DE">
        <w:rPr>
          <w:rStyle w:val="default"/>
          <w:rFonts w:hint="cs"/>
          <w:rtl/>
        </w:rPr>
        <w:t>הרצליה</w:t>
      </w:r>
      <w:r>
        <w:rPr>
          <w:rStyle w:val="default"/>
          <w:rFonts w:hint="cs"/>
          <w:rtl/>
        </w:rPr>
        <w:t>;</w:t>
      </w:r>
    </w:p>
    <w:p w14:paraId="4CBEA65E" w14:textId="77777777" w:rsidR="00935727" w:rsidRDefault="006A2C45" w:rsidP="0053683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</w:t>
      </w:r>
      <w:r w:rsidR="005C2037">
        <w:rPr>
          <w:rStyle w:val="default"/>
          <w:rFonts w:hint="cs"/>
          <w:rtl/>
        </w:rPr>
        <w:t>מי</w:t>
      </w:r>
      <w:r>
        <w:rPr>
          <w:rStyle w:val="default"/>
          <w:rFonts w:hint="cs"/>
          <w:rtl/>
        </w:rPr>
        <w:t xml:space="preserve"> שראש העיריה </w:t>
      </w:r>
      <w:r w:rsidR="005C2037">
        <w:rPr>
          <w:rStyle w:val="default"/>
          <w:rFonts w:hint="cs"/>
          <w:rtl/>
        </w:rPr>
        <w:t xml:space="preserve">העביר אליו </w:t>
      </w:r>
      <w:r w:rsidR="0053683B">
        <w:rPr>
          <w:rStyle w:val="default"/>
          <w:rFonts w:hint="cs"/>
          <w:rtl/>
        </w:rPr>
        <w:t xml:space="preserve">את </w:t>
      </w:r>
      <w:r w:rsidR="005C2037">
        <w:rPr>
          <w:rStyle w:val="default"/>
          <w:rFonts w:hint="cs"/>
          <w:rtl/>
        </w:rPr>
        <w:t xml:space="preserve">סמכויותיו לפי </w:t>
      </w:r>
      <w:r>
        <w:rPr>
          <w:rStyle w:val="default"/>
          <w:rFonts w:hint="cs"/>
          <w:rtl/>
        </w:rPr>
        <w:t>חוק עזר זה</w:t>
      </w:r>
      <w:r w:rsidR="00C64CE6">
        <w:rPr>
          <w:rStyle w:val="default"/>
          <w:rFonts w:hint="cs"/>
          <w:rtl/>
        </w:rPr>
        <w:t>, כולן או מקצתן</w:t>
      </w:r>
      <w:r w:rsidR="00935727">
        <w:rPr>
          <w:rStyle w:val="default"/>
          <w:rFonts w:hint="cs"/>
          <w:rtl/>
        </w:rPr>
        <w:t>.</w:t>
      </w:r>
    </w:p>
    <w:p w14:paraId="49014C00" w14:textId="77777777" w:rsidR="0091524D" w:rsidRDefault="0091524D" w:rsidP="005006D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3214ABBF">
          <v:rect id="_x0000_s1027" style="position:absolute;left:0;text-align:left;margin-left:464.5pt;margin-top:8.05pt;width:75.05pt;height:21.1pt;z-index:251645952" o:allowincell="f" filled="f" stroked="f" strokecolor="lime" strokeweight=".25pt">
            <v:textbox style="mso-next-textbox:#_x0000_s1027" inset="0,0,0,0">
              <w:txbxContent>
                <w:p w14:paraId="74CAA1F1" w14:textId="77777777" w:rsidR="00776ECA" w:rsidRDefault="00C64CE6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שטחים אסורים</w:t>
                  </w:r>
                  <w:r w:rsidR="00C56F4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ברוכלות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C56F44">
        <w:rPr>
          <w:rFonts w:cs="FrankRuehl" w:hint="cs"/>
          <w:rtl/>
          <w:lang w:eastAsia="en-US"/>
        </w:rPr>
        <w:t xml:space="preserve">לא יעסוק רוכל </w:t>
      </w:r>
      <w:r w:rsidR="00C64CE6">
        <w:rPr>
          <w:rFonts w:cs="FrankRuehl" w:hint="cs"/>
          <w:rtl/>
          <w:lang w:eastAsia="en-US"/>
        </w:rPr>
        <w:t>בעסקו</w:t>
      </w:r>
      <w:r w:rsidR="005006DE">
        <w:rPr>
          <w:rFonts w:cs="FrankRuehl" w:hint="cs"/>
          <w:rtl/>
          <w:lang w:eastAsia="en-US"/>
        </w:rPr>
        <w:t xml:space="preserve"> </w:t>
      </w:r>
      <w:r w:rsidR="005006DE">
        <w:rPr>
          <w:rFonts w:cs="FrankRuehl"/>
          <w:rtl/>
          <w:lang w:eastAsia="en-US"/>
        </w:rPr>
        <w:t>–</w:t>
      </w:r>
      <w:r w:rsidR="00C64CE6">
        <w:rPr>
          <w:rFonts w:cs="FrankRuehl" w:hint="cs"/>
          <w:rtl/>
          <w:lang w:eastAsia="en-US"/>
        </w:rPr>
        <w:t xml:space="preserve"> בין </w:t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 xml:space="preserve">אמצעות עגלה ובין בצורה אחרת </w:t>
      </w:r>
      <w:r w:rsidR="00C64CE6">
        <w:rPr>
          <w:rFonts w:cs="FrankRuehl"/>
          <w:rtl/>
          <w:lang w:eastAsia="en-US"/>
        </w:rPr>
        <w:t>–</w:t>
      </w:r>
      <w:r w:rsidR="005006DE">
        <w:rPr>
          <w:rFonts w:cs="FrankRuehl" w:hint="cs"/>
          <w:rtl/>
          <w:lang w:eastAsia="en-US"/>
        </w:rPr>
        <w:t xml:space="preserve"> </w:t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רחוב או במקום ציבורי</w:t>
      </w:r>
      <w:r w:rsidR="005006DE">
        <w:rPr>
          <w:rFonts w:cs="FrankRuehl" w:hint="cs"/>
          <w:rtl/>
          <w:lang w:eastAsia="en-US"/>
        </w:rPr>
        <w:t>,</w:t>
      </w:r>
      <w:r w:rsidR="00C64CE6">
        <w:rPr>
          <w:rFonts w:cs="FrankRuehl" w:hint="cs"/>
          <w:rtl/>
          <w:lang w:eastAsia="en-US"/>
        </w:rPr>
        <w:t xml:space="preserve"> באופן שהתעסקותו מהווה מכשול לרבים</w:t>
      </w:r>
      <w:r w:rsidR="005006DE">
        <w:rPr>
          <w:rFonts w:cs="FrankRuehl" w:hint="cs"/>
          <w:rtl/>
          <w:lang w:eastAsia="en-US"/>
        </w:rPr>
        <w:t>.</w:t>
      </w:r>
    </w:p>
    <w:p w14:paraId="51CD6C66" w14:textId="77777777" w:rsidR="0091524D" w:rsidRDefault="0091524D" w:rsidP="005006D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5E0D8617">
          <v:rect id="_x0000_s1028" style="position:absolute;left:0;text-align:left;margin-left:464.35pt;margin-top:7.1pt;width:75.05pt;height:12.5pt;z-index:251646976" o:allowincell="f" filled="f" stroked="f" strokecolor="lime" strokeweight=".25pt">
            <v:textbox style="mso-next-textbox:#_x0000_s1028" inset="0,0,0,0">
              <w:txbxContent>
                <w:p w14:paraId="2F0009FC" w14:textId="77777777" w:rsidR="00C1768A" w:rsidRDefault="00C64CE6" w:rsidP="006A28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C64CE6">
        <w:rPr>
          <w:rFonts w:cs="FrankRuehl" w:hint="cs"/>
          <w:rtl/>
          <w:lang w:eastAsia="en-US"/>
        </w:rPr>
        <w:t>לא יעמיד רוכל ולא יניח</w:t>
      </w:r>
      <w:r w:rsidR="005006DE">
        <w:rPr>
          <w:rFonts w:cs="FrankRuehl" w:hint="cs"/>
          <w:rtl/>
          <w:lang w:eastAsia="en-US"/>
        </w:rPr>
        <w:t>,</w:t>
      </w:r>
      <w:r w:rsidR="00C64CE6">
        <w:rPr>
          <w:rFonts w:cs="FrankRuehl" w:hint="cs"/>
          <w:rtl/>
          <w:lang w:eastAsia="en-US"/>
        </w:rPr>
        <w:t xml:space="preserve"> ולא ירשה </w:t>
      </w:r>
      <w:r w:rsidR="005006DE">
        <w:rPr>
          <w:rFonts w:cs="FrankRuehl" w:hint="cs"/>
          <w:rtl/>
          <w:lang w:eastAsia="en-US"/>
        </w:rPr>
        <w:t>ולא</w:t>
      </w:r>
      <w:r w:rsidR="00C64CE6">
        <w:rPr>
          <w:rFonts w:cs="FrankRuehl" w:hint="cs"/>
          <w:rtl/>
          <w:lang w:eastAsia="en-US"/>
        </w:rPr>
        <w:t xml:space="preserve"> יגרום להעמיד או להניח עגלה, דוכן, תבנית, מגש או טובין בתחומי 20 מטר מגן ילדים, מבית</w:t>
      </w:r>
      <w:r w:rsidR="00935727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>ספר, ממגרש משחקים, מגינה או מגן</w:t>
      </w:r>
      <w:r w:rsidR="00CC4BAD">
        <w:rPr>
          <w:rFonts w:cs="FrankRuehl" w:hint="cs"/>
          <w:rtl/>
          <w:lang w:eastAsia="en-US"/>
        </w:rPr>
        <w:t>.</w:t>
      </w:r>
    </w:p>
    <w:p w14:paraId="50C45B12" w14:textId="77777777" w:rsidR="007C1296" w:rsidRDefault="0091524D" w:rsidP="0098696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6"/>
      <w:bookmarkEnd w:id="3"/>
      <w:r>
        <w:rPr>
          <w:lang w:val="he-IL"/>
        </w:rPr>
        <w:pict w14:anchorId="47DE1A0A">
          <v:rect id="_x0000_s1067" style="position:absolute;left:0;text-align:left;margin-left:464.5pt;margin-top:6.8pt;width:75.05pt;height:20.7pt;z-index:251650048" filled="f" stroked="f" strokecolor="lime" strokeweight=".25pt">
            <v:textbox style="mso-next-textbox:#_x0000_s1067" inset="0,0,0,0">
              <w:txbxContent>
                <w:p w14:paraId="68F8DC81" w14:textId="77777777" w:rsidR="00C1768A" w:rsidRDefault="00C64CE6" w:rsidP="00C1768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 שלא בשעת התעסקות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64CE6">
        <w:rPr>
          <w:rStyle w:val="default"/>
          <w:rFonts w:hint="cs"/>
          <w:rtl/>
        </w:rPr>
        <w:t>לא יעמיד רוכל ולא יניח ולא ירשה ולא יגרום להעמיד או להניח, ברחוב או במקום ציבורי, עגלה, דוכן, תבנית, מגש או טובין שלא בשעת עיסוקו או כשאיננו נמצא במקום</w:t>
      </w:r>
      <w:r w:rsidR="007C1296">
        <w:rPr>
          <w:rStyle w:val="default"/>
          <w:rFonts w:hint="cs"/>
          <w:rtl/>
        </w:rPr>
        <w:t>.</w:t>
      </w:r>
    </w:p>
    <w:p w14:paraId="17E6AF76" w14:textId="77777777" w:rsidR="00EC4A98" w:rsidRDefault="00EC4A98" w:rsidP="00B25F61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4" w:name="Seif15"/>
      <w:bookmarkEnd w:id="4"/>
      <w:r>
        <w:rPr>
          <w:lang w:val="he-IL"/>
        </w:rPr>
        <w:pict w14:anchorId="2E99CAE0">
          <v:rect id="_x0000_s1248" style="position:absolute;left:0;text-align:left;margin-left:464.5pt;margin-top:6.8pt;width:75.05pt;height:10.15pt;z-index:251666432" filled="f" stroked="f" strokecolor="lime" strokeweight=".25pt">
            <v:textbox style="mso-next-textbox:#_x0000_s1248" inset="0,0,0,0">
              <w:txbxContent>
                <w:p w14:paraId="0F1CD9D5" w14:textId="77777777" w:rsidR="00EC4A98" w:rsidRDefault="00B25F61" w:rsidP="00EC4A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לקשור במבנה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5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לא יקשור רוכל עגלה, דוכן, תבנית או מגש, בכל צורה שהיא, לבנין, לגדר, לעמוד או למבנה אחר</w:t>
      </w:r>
      <w:r>
        <w:rPr>
          <w:rStyle w:val="default"/>
          <w:rFonts w:hint="cs"/>
          <w:rtl/>
        </w:rPr>
        <w:t>.</w:t>
      </w:r>
    </w:p>
    <w:p w14:paraId="07E60741" w14:textId="77777777" w:rsidR="00EC4A98" w:rsidRDefault="00EC4A98" w:rsidP="00B67497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5" w:name="Seif16"/>
      <w:bookmarkEnd w:id="5"/>
      <w:r>
        <w:rPr>
          <w:lang w:val="he-IL"/>
        </w:rPr>
        <w:pict w14:anchorId="5D08B3A9">
          <v:rect id="_x0000_s1249" style="position:absolute;left:0;text-align:left;margin-left:464.5pt;margin-top:6.8pt;width:75.05pt;height:14.05pt;z-index:251667456" filled="f" stroked="f" strokecolor="lime" strokeweight=".25pt">
            <v:textbox style="mso-next-textbox:#_x0000_s1249" inset="0,0,0,0">
              <w:txbxContent>
                <w:p w14:paraId="5557197B" w14:textId="77777777" w:rsidR="00EC4A98" w:rsidRDefault="00B25F61" w:rsidP="00EC4A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החזקת 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6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רוכל יחזיק את עגלתו בצדו הימני של הרחוב</w:t>
      </w:r>
      <w:r w:rsidR="00986963">
        <w:rPr>
          <w:rStyle w:val="default"/>
          <w:rFonts w:hint="cs"/>
          <w:rtl/>
        </w:rPr>
        <w:t>,</w:t>
      </w:r>
      <w:r w:rsidR="00B25F61">
        <w:rPr>
          <w:rStyle w:val="default"/>
          <w:rFonts w:hint="cs"/>
          <w:rtl/>
        </w:rPr>
        <w:t xml:space="preserve"> קרוב לשפתה של המדרכה הימנית</w:t>
      </w:r>
      <w:r>
        <w:rPr>
          <w:rStyle w:val="default"/>
          <w:rFonts w:hint="cs"/>
          <w:rtl/>
        </w:rPr>
        <w:t>.</w:t>
      </w:r>
    </w:p>
    <w:p w14:paraId="1EB103BC" w14:textId="77777777" w:rsidR="00885311" w:rsidRDefault="0091524D" w:rsidP="0098696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6" w:name="Seif4"/>
      <w:bookmarkEnd w:id="6"/>
      <w:r>
        <w:rPr>
          <w:lang w:val="he-IL"/>
        </w:rPr>
        <w:pict w14:anchorId="31E154C1">
          <v:rect id="_x0000_s1029" style="position:absolute;left:0;text-align:left;margin-left:464.5pt;margin-top:8.05pt;width:75.05pt;height:18.3pt;z-index:251648000" o:allowincell="f" filled="f" stroked="f" strokecolor="lime" strokeweight=".25pt">
            <v:textbox style="mso-next-textbox:#_x0000_s1029" inset="0,0,0,0">
              <w:txbxContent>
                <w:p w14:paraId="23B82A4E" w14:textId="77777777" w:rsidR="00776ECA" w:rsidRDefault="00B25F61" w:rsidP="0098696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</w:t>
                  </w:r>
                  <w:r w:rsidR="00986963">
                    <w:rPr>
                      <w:rFonts w:cs="Miriam" w:hint="cs"/>
                      <w:sz w:val="18"/>
                      <w:szCs w:val="18"/>
                      <w:rtl/>
                    </w:rPr>
                    <w:t>להכריז על טובין ואיסור פרסומת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7</w:t>
      </w:r>
      <w:r w:rsidRPr="00475CCA">
        <w:rPr>
          <w:rStyle w:val="default"/>
          <w:rtl/>
        </w:rPr>
        <w:t>.</w:t>
      </w:r>
      <w:r w:rsidRPr="00475CCA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 xml:space="preserve">לא יכריז רוכל על טובין או על אומנותו </w:t>
      </w:r>
      <w:r w:rsidR="00986963">
        <w:rPr>
          <w:rStyle w:val="default"/>
          <w:rFonts w:hint="cs"/>
          <w:rtl/>
        </w:rPr>
        <w:t>ולא יקים רעש בשעת עיסוקו ולא יתלה על עגלתו, דוכנו, תבניתו או מגשו כל דבר פרסום או פרסומת</w:t>
      </w:r>
      <w:r w:rsidR="00885311">
        <w:rPr>
          <w:rStyle w:val="default"/>
          <w:rFonts w:hint="cs"/>
          <w:rtl/>
        </w:rPr>
        <w:t>.</w:t>
      </w:r>
    </w:p>
    <w:p w14:paraId="07E902D7" w14:textId="77777777" w:rsidR="008C4954" w:rsidRDefault="0091524D" w:rsidP="00B25F61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7" w:name="Seif5"/>
      <w:bookmarkEnd w:id="7"/>
      <w:r>
        <w:rPr>
          <w:lang w:val="he-IL"/>
        </w:rPr>
        <w:pict w14:anchorId="2C7D3B58">
          <v:rect id="_x0000_s1031" style="position:absolute;left:0;text-align:left;margin-left:464.5pt;margin-top:8.05pt;width:75.05pt;height:14.55pt;z-index:251649024" o:allowincell="f" filled="f" stroked="f" strokecolor="lime" strokeweight=".25pt">
            <v:textbox style="mso-next-textbox:#_x0000_s1031" inset="0,0,0,0">
              <w:txbxContent>
                <w:p w14:paraId="436598E0" w14:textId="77777777" w:rsidR="00712589" w:rsidRDefault="00B25F6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נקיון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25F61">
        <w:rPr>
          <w:rStyle w:val="default"/>
          <w:rFonts w:hint="cs"/>
          <w:rtl/>
        </w:rPr>
        <w:t xml:space="preserve">לא ילכלך רוכל ולא יגרום שילכלכו את השטח </w:t>
      </w:r>
      <w:r w:rsidR="00986963">
        <w:rPr>
          <w:rStyle w:val="default"/>
          <w:rFonts w:hint="cs"/>
          <w:rtl/>
        </w:rPr>
        <w:t>ש</w:t>
      </w:r>
      <w:r w:rsidR="00B25F61">
        <w:rPr>
          <w:rStyle w:val="default"/>
          <w:rFonts w:hint="cs"/>
          <w:rtl/>
        </w:rPr>
        <w:t>ליד מקום עסקו</w:t>
      </w:r>
      <w:r w:rsidR="008C4954">
        <w:rPr>
          <w:rStyle w:val="default"/>
          <w:rFonts w:hint="cs"/>
          <w:rtl/>
        </w:rPr>
        <w:t>.</w:t>
      </w:r>
    </w:p>
    <w:p w14:paraId="111EA6C9" w14:textId="77777777" w:rsidR="007B535C" w:rsidRDefault="007B535C" w:rsidP="0098696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8" w:name="Seif7"/>
      <w:bookmarkEnd w:id="8"/>
      <w:r>
        <w:rPr>
          <w:lang w:val="he-IL"/>
        </w:rPr>
        <w:pict w14:anchorId="5B5A6088">
          <v:rect id="_x0000_s1193" style="position:absolute;left:0;text-align:left;margin-left:464.5pt;margin-top:8.05pt;width:75.05pt;height:13.05pt;z-index:251651072" o:allowincell="f" filled="f" stroked="f" strokecolor="lime" strokeweight=".25pt">
            <v:textbox style="mso-next-textbox:#_x0000_s1193" inset="0,0,0,0">
              <w:txbxContent>
                <w:p w14:paraId="0627AE38" w14:textId="77777777" w:rsidR="00776ECA" w:rsidRDefault="00B25F61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שעות הרוכלות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9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729AE">
        <w:rPr>
          <w:rStyle w:val="default"/>
          <w:rFonts w:hint="cs"/>
          <w:rtl/>
        </w:rPr>
        <w:t xml:space="preserve">לא </w:t>
      </w:r>
      <w:r w:rsidR="00B25F61">
        <w:rPr>
          <w:rStyle w:val="default"/>
          <w:rFonts w:hint="cs"/>
          <w:rtl/>
        </w:rPr>
        <w:t xml:space="preserve">יעסוק רוכל בעסקו אלא בשעות שבין </w:t>
      </w:r>
      <w:r w:rsidR="00B67497">
        <w:rPr>
          <w:rStyle w:val="default"/>
          <w:rFonts w:hint="cs"/>
          <w:rtl/>
        </w:rPr>
        <w:t>0</w:t>
      </w:r>
      <w:r w:rsidR="00B25F61">
        <w:rPr>
          <w:rStyle w:val="default"/>
          <w:rFonts w:hint="cs"/>
          <w:rtl/>
        </w:rPr>
        <w:t>6</w:t>
      </w:r>
      <w:r w:rsidR="00986963">
        <w:rPr>
          <w:rStyle w:val="default"/>
          <w:rFonts w:hint="cs"/>
          <w:rtl/>
        </w:rPr>
        <w:t>.00</w:t>
      </w:r>
      <w:r w:rsidR="00B25F61">
        <w:rPr>
          <w:rStyle w:val="default"/>
          <w:rFonts w:hint="cs"/>
          <w:rtl/>
        </w:rPr>
        <w:t xml:space="preserve"> לבין 2</w:t>
      </w:r>
      <w:r w:rsidR="00986963">
        <w:rPr>
          <w:rStyle w:val="default"/>
          <w:rFonts w:hint="cs"/>
          <w:rtl/>
        </w:rPr>
        <w:t>1.00</w:t>
      </w:r>
      <w:r w:rsidR="002B3A03">
        <w:rPr>
          <w:rStyle w:val="default"/>
          <w:rFonts w:hint="cs"/>
          <w:rtl/>
        </w:rPr>
        <w:t>.</w:t>
      </w:r>
    </w:p>
    <w:p w14:paraId="5FF114BB" w14:textId="77777777" w:rsidR="00B743D7" w:rsidRDefault="007B535C" w:rsidP="005006D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9" w:name="Seif8"/>
      <w:bookmarkEnd w:id="9"/>
      <w:r>
        <w:rPr>
          <w:lang w:val="he-IL"/>
        </w:rPr>
        <w:pict w14:anchorId="353618C6">
          <v:rect id="_x0000_s1194" style="position:absolute;left:0;text-align:left;margin-left:464.5pt;margin-top:8.05pt;width:75.05pt;height:13.9pt;z-index:251652096" o:allowincell="f" filled="f" stroked="f" strokecolor="lime" strokeweight=".25pt">
            <v:textbox style="mso-next-textbox:#_x0000_s1194" inset="0,0,0,0">
              <w:txbxContent>
                <w:p w14:paraId="72DD3089" w14:textId="77777777" w:rsidR="00A67CD4" w:rsidRDefault="005006DE" w:rsidP="00B674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היתר התעסקות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006DE">
        <w:rPr>
          <w:rStyle w:val="default"/>
          <w:rFonts w:hint="cs"/>
          <w:rtl/>
        </w:rPr>
        <w:t>ראש העיריה רשאי, לפי שיקול דעתו ובתנאים שיקבע, להתיר לרוכל לעסוק בעסקו גם לאחר השעה 21.00</w:t>
      </w:r>
      <w:r w:rsidR="00B743D7">
        <w:rPr>
          <w:rStyle w:val="default"/>
          <w:rFonts w:hint="cs"/>
          <w:rtl/>
        </w:rPr>
        <w:t>.</w:t>
      </w:r>
    </w:p>
    <w:p w14:paraId="3EB52E1D" w14:textId="77777777" w:rsidR="00AB3C51" w:rsidRDefault="00AB3C51" w:rsidP="005006D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0" w:name="Seif18"/>
      <w:bookmarkEnd w:id="10"/>
      <w:r>
        <w:rPr>
          <w:lang w:val="he-IL"/>
        </w:rPr>
        <w:pict w14:anchorId="776135D3">
          <v:rect id="_x0000_s1255" style="position:absolute;left:0;text-align:left;margin-left:464.5pt;margin-top:8.05pt;width:75.05pt;height:13.9pt;z-index:251670528" o:allowincell="f" filled="f" stroked="f" strokecolor="lime" strokeweight=".25pt">
            <v:textbox style="mso-next-textbox:#_x0000_s1255" inset="0,0,0,0">
              <w:txbxContent>
                <w:p w14:paraId="4A9468AF" w14:textId="77777777" w:rsidR="00AB3C51" w:rsidRDefault="00AB3C51" w:rsidP="005006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ימי הר</w:t>
                  </w:r>
                  <w:r w:rsidR="005006DE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לא יעסוק רוכל בעסקו בימי מנוחה.</w:t>
      </w:r>
    </w:p>
    <w:p w14:paraId="47B6E2C1" w14:textId="77777777" w:rsidR="0006547D" w:rsidRDefault="007B535C" w:rsidP="00B0753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lang w:val="he-IL"/>
        </w:rPr>
        <w:pict w14:anchorId="675ACDF2">
          <v:rect id="_x0000_s1195" style="position:absolute;left:0;text-align:left;margin-left:464.5pt;margin-top:8.05pt;width:75.05pt;height:15.3pt;z-index:251653120" o:allowincell="f" filled="f" stroked="f" strokecolor="lime" strokeweight=".25pt">
            <v:textbox style="mso-next-textbox:#_x0000_s1195" inset="0,0,0,0">
              <w:txbxContent>
                <w:p w14:paraId="3CA47BDB" w14:textId="77777777" w:rsidR="00986963" w:rsidRDefault="00B0753C" w:rsidP="005006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תש"ן-1989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0753C">
        <w:rPr>
          <w:rStyle w:val="default"/>
          <w:rFonts w:hint="cs"/>
          <w:rtl/>
        </w:rPr>
        <w:t>(בוטל)</w:t>
      </w:r>
      <w:r w:rsidR="0006547D">
        <w:rPr>
          <w:rStyle w:val="default"/>
          <w:rFonts w:hint="cs"/>
          <w:rtl/>
        </w:rPr>
        <w:t>.</w:t>
      </w:r>
    </w:p>
    <w:p w14:paraId="4E25E63F" w14:textId="77777777" w:rsidR="007B535C" w:rsidRDefault="007B535C" w:rsidP="00B0753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lang w:val="he-IL"/>
        </w:rPr>
        <w:pict w14:anchorId="219BA524">
          <v:rect id="_x0000_s1196" style="position:absolute;left:0;text-align:left;margin-left:464.5pt;margin-top:8.05pt;width:75.05pt;height:17.9pt;z-index:251654144" o:allowincell="f" filled="f" stroked="f" strokecolor="lime" strokeweight=".25pt">
            <v:textbox style="mso-next-textbox:#_x0000_s1196" inset="0,0,0,0">
              <w:txbxContent>
                <w:p w14:paraId="144A7036" w14:textId="77777777" w:rsidR="00986963" w:rsidRDefault="00B0753C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0753C">
        <w:rPr>
          <w:rStyle w:val="default"/>
          <w:rFonts w:hint="cs"/>
          <w:rtl/>
        </w:rPr>
        <w:t>(בוטל)</w:t>
      </w:r>
      <w:r w:rsidR="00A134E1">
        <w:rPr>
          <w:rStyle w:val="default"/>
          <w:rFonts w:hint="cs"/>
          <w:rtl/>
        </w:rPr>
        <w:t>.</w:t>
      </w:r>
    </w:p>
    <w:p w14:paraId="1EFEDA74" w14:textId="77777777" w:rsidR="00C94A30" w:rsidRDefault="007B535C" w:rsidP="00B0753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lang w:val="he-IL"/>
        </w:rPr>
        <w:lastRenderedPageBreak/>
        <w:pict w14:anchorId="6B1B22F4">
          <v:rect id="_x0000_s1197" style="position:absolute;left:0;text-align:left;margin-left:464.5pt;margin-top:8.05pt;width:75.05pt;height:17.15pt;z-index:251655168" o:allowincell="f" filled="f" stroked="f" strokecolor="lime" strokeweight=".25pt">
            <v:textbox style="mso-next-textbox:#_x0000_s1197" inset="0,0,0,0">
              <w:txbxContent>
                <w:p w14:paraId="520A09A5" w14:textId="77777777" w:rsidR="00776ECA" w:rsidRDefault="00B0753C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0753C">
        <w:rPr>
          <w:rStyle w:val="default"/>
          <w:rFonts w:ascii="Times New Roman" w:hAnsi="Times New Roman" w:hint="cs"/>
          <w:sz w:val="20"/>
          <w:rtl/>
        </w:rPr>
        <w:t>(בוטל)</w:t>
      </w:r>
      <w:r w:rsidR="00C94A30">
        <w:rPr>
          <w:rStyle w:val="default"/>
          <w:rFonts w:hint="cs"/>
          <w:rtl/>
        </w:rPr>
        <w:t>.</w:t>
      </w:r>
    </w:p>
    <w:p w14:paraId="320F4645" w14:textId="77777777" w:rsidR="007B535C" w:rsidRDefault="007B535C" w:rsidP="00B0753C">
      <w:pPr>
        <w:pStyle w:val="P00"/>
        <w:spacing w:before="72"/>
        <w:ind w:left="0" w:right="1134"/>
        <w:rPr>
          <w:rStyle w:val="default"/>
          <w:rFonts w:ascii="Times New Roman" w:hAnsi="Times New Roman" w:hint="cs"/>
          <w:sz w:val="20"/>
          <w:rtl/>
        </w:rPr>
      </w:pPr>
      <w:r w:rsidRPr="00353DBA">
        <w:rPr>
          <w:lang w:val="he-IL"/>
        </w:rPr>
        <w:pict w14:anchorId="0B18D26B">
          <v:rect id="_x0000_s1198" style="position:absolute;left:0;text-align:left;margin-left:464.5pt;margin-top:8.05pt;width:75.05pt;height:14.35pt;z-index:251656192" o:allowincell="f" filled="f" stroked="f" strokecolor="lime" strokeweight=".25pt">
            <v:textbox style="mso-next-textbox:#_x0000_s1198" inset="0,0,0,0">
              <w:txbxContent>
                <w:p w14:paraId="1AA30FEF" w14:textId="77777777" w:rsidR="00776ECA" w:rsidRDefault="00B0753C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תש"ן-1989</w:t>
                  </w:r>
                </w:p>
              </w:txbxContent>
            </v:textbox>
            <w10:anchorlock/>
          </v:rect>
        </w:pict>
      </w:r>
      <w:r w:rsidRPr="00353DBA">
        <w:rPr>
          <w:rStyle w:val="big-number"/>
          <w:rFonts w:ascii="Times New Roman" w:hAnsi="Times New Roman" w:cs="Miriam" w:hint="cs"/>
          <w:sz w:val="20"/>
          <w:rtl/>
        </w:rPr>
        <w:t>1</w:t>
      </w:r>
      <w:r w:rsidR="00285F24">
        <w:rPr>
          <w:rStyle w:val="big-number"/>
          <w:rFonts w:ascii="Times New Roman" w:hAnsi="Times New Roman" w:cs="Miriam" w:hint="cs"/>
          <w:sz w:val="20"/>
          <w:rtl/>
        </w:rPr>
        <w:t>5</w:t>
      </w:r>
      <w:r w:rsidRPr="00353DBA">
        <w:rPr>
          <w:rStyle w:val="big-number"/>
          <w:rFonts w:ascii="Times New Roman" w:hAnsi="Times New Roman" w:cs="Miriam"/>
          <w:sz w:val="20"/>
          <w:rtl/>
        </w:rPr>
        <w:t>.</w:t>
      </w:r>
      <w:r w:rsidRPr="00353DBA">
        <w:rPr>
          <w:rStyle w:val="big-number"/>
          <w:rFonts w:ascii="Times New Roman" w:hAnsi="Times New Roman" w:cs="Miriam"/>
          <w:sz w:val="20"/>
          <w:rtl/>
        </w:rPr>
        <w:tab/>
      </w:r>
      <w:r w:rsidR="00B0753C">
        <w:rPr>
          <w:rStyle w:val="default"/>
          <w:rFonts w:hint="cs"/>
          <w:rtl/>
        </w:rPr>
        <w:t>(בוטל)</w:t>
      </w:r>
      <w:r w:rsidR="002B7042">
        <w:rPr>
          <w:rStyle w:val="default"/>
          <w:rFonts w:ascii="Times New Roman" w:hAnsi="Times New Roman" w:hint="cs"/>
          <w:sz w:val="20"/>
          <w:rtl/>
        </w:rPr>
        <w:t>.</w:t>
      </w:r>
    </w:p>
    <w:p w14:paraId="0F078C67" w14:textId="77777777" w:rsidR="00C94A30" w:rsidRDefault="007B535C" w:rsidP="00B0753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lang w:val="he-IL"/>
        </w:rPr>
        <w:pict w14:anchorId="524D1C60">
          <v:rect id="_x0000_s1199" style="position:absolute;left:0;text-align:left;margin-left:464.5pt;margin-top:8.05pt;width:75.05pt;height:17.5pt;z-index:251657216" o:allowincell="f" filled="f" stroked="f" strokecolor="lime" strokeweight=".25pt">
            <v:textbox style="mso-next-textbox:#_x0000_s1199" inset="0,0,0,0">
              <w:txbxContent>
                <w:p w14:paraId="59937527" w14:textId="77777777" w:rsidR="00776ECA" w:rsidRDefault="00B0753C" w:rsidP="00B075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תש"ן-1989</w:t>
                  </w:r>
                  <w:r w:rsidR="00C14288">
                    <w:rPr>
                      <w:rFonts w:cs="Miriam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0753C">
        <w:rPr>
          <w:rStyle w:val="default"/>
          <w:rFonts w:hint="cs"/>
          <w:rtl/>
        </w:rPr>
        <w:t>(בוטל)</w:t>
      </w:r>
      <w:r w:rsidR="00C94A30">
        <w:rPr>
          <w:rStyle w:val="default"/>
          <w:rFonts w:hint="cs"/>
          <w:rtl/>
        </w:rPr>
        <w:t>.</w:t>
      </w:r>
    </w:p>
    <w:p w14:paraId="2FA1FBE6" w14:textId="77777777" w:rsidR="00775A21" w:rsidRDefault="007B535C" w:rsidP="00B0753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lang w:val="he-IL"/>
        </w:rPr>
        <w:pict w14:anchorId="73466FFB">
          <v:rect id="_x0000_s1200" style="position:absolute;left:0;text-align:left;margin-left:464.5pt;margin-top:8.05pt;width:75.05pt;height:12pt;z-index:251658240" o:allowincell="f" filled="f" stroked="f" strokecolor="lime" strokeweight=".25pt">
            <v:textbox style="mso-next-textbox:#_x0000_s1200" inset="0,0,0,0">
              <w:txbxContent>
                <w:p w14:paraId="76850664" w14:textId="77777777" w:rsidR="00415911" w:rsidRDefault="00B0753C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7</w:t>
      </w:r>
      <w:r w:rsidRPr="006136F0">
        <w:rPr>
          <w:rStyle w:val="default"/>
          <w:rtl/>
        </w:rPr>
        <w:t>.</w:t>
      </w:r>
      <w:r w:rsidRPr="006136F0">
        <w:rPr>
          <w:rStyle w:val="default"/>
          <w:rtl/>
        </w:rPr>
        <w:tab/>
      </w:r>
      <w:r w:rsidR="00B0753C">
        <w:rPr>
          <w:rStyle w:val="default"/>
          <w:rFonts w:hint="cs"/>
          <w:rtl/>
        </w:rPr>
        <w:t>(בוטל)</w:t>
      </w:r>
      <w:r w:rsidR="00775A21">
        <w:rPr>
          <w:rStyle w:val="default"/>
          <w:rFonts w:hint="cs"/>
          <w:rtl/>
        </w:rPr>
        <w:t>.</w:t>
      </w:r>
    </w:p>
    <w:p w14:paraId="74496E09" w14:textId="77777777" w:rsidR="00775A21" w:rsidRDefault="007B535C" w:rsidP="00B0753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lang w:val="he-IL"/>
        </w:rPr>
        <w:pict w14:anchorId="7042D99B">
          <v:rect id="_x0000_s1201" style="position:absolute;left:0;text-align:left;margin-left:464.5pt;margin-top:8.05pt;width:75.05pt;height:14.5pt;z-index:251659264" o:allowincell="f" filled="f" stroked="f" strokecolor="lime" strokeweight=".25pt">
            <v:textbox style="mso-next-textbox:#_x0000_s1201" inset="0,0,0,0">
              <w:txbxContent>
                <w:p w14:paraId="2238B274" w14:textId="77777777" w:rsidR="00415911" w:rsidRDefault="00B0753C" w:rsidP="0041591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0753C">
        <w:rPr>
          <w:rStyle w:val="default"/>
          <w:rFonts w:hint="cs"/>
          <w:rtl/>
        </w:rPr>
        <w:t>(בוטל)</w:t>
      </w:r>
      <w:r w:rsidR="00775A21">
        <w:rPr>
          <w:rStyle w:val="default"/>
          <w:rFonts w:hint="cs"/>
          <w:rtl/>
        </w:rPr>
        <w:t>.</w:t>
      </w:r>
    </w:p>
    <w:p w14:paraId="400F340C" w14:textId="77777777" w:rsidR="00EE4A27" w:rsidRDefault="00EC4A98" w:rsidP="00B0753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lang w:val="he-IL"/>
        </w:rPr>
        <w:pict w14:anchorId="4FA2FF07">
          <v:rect id="_x0000_s1250" style="position:absolute;left:0;text-align:left;margin-left:464.5pt;margin-top:8.05pt;width:75.05pt;height:12.1pt;z-index:251668480" o:allowincell="f" filled="f" stroked="f" strokecolor="lime" strokeweight=".25pt">
            <v:textbox style="mso-next-textbox:#_x0000_s1250" inset="0,0,0,0">
              <w:txbxContent>
                <w:p w14:paraId="6FD83D70" w14:textId="77777777" w:rsidR="00415911" w:rsidRDefault="00B0753C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תש"ן-1989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9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0753C">
        <w:rPr>
          <w:rStyle w:val="default"/>
          <w:rFonts w:hint="cs"/>
          <w:rtl/>
        </w:rPr>
        <w:t>(בוטל)</w:t>
      </w:r>
      <w:r w:rsidR="00EE4A27">
        <w:rPr>
          <w:rStyle w:val="default"/>
          <w:rFonts w:hint="cs"/>
          <w:rtl/>
        </w:rPr>
        <w:t>.</w:t>
      </w:r>
    </w:p>
    <w:p w14:paraId="224C960A" w14:textId="77777777" w:rsidR="00C14288" w:rsidRDefault="007B535C" w:rsidP="00415911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1" w:name="Seif9"/>
      <w:bookmarkEnd w:id="11"/>
      <w:r>
        <w:rPr>
          <w:lang w:val="he-IL"/>
        </w:rPr>
        <w:pict w14:anchorId="3B1E82CA">
          <v:rect id="_x0000_s1202" style="position:absolute;left:0;text-align:left;margin-left:464.5pt;margin-top:8.05pt;width:75.05pt;height:13.5pt;z-index:251660288" o:allowincell="f" filled="f" stroked="f" strokecolor="lime" strokeweight=".25pt">
            <v:textbox style="mso-next-textbox:#_x0000_s1202" inset="0,0,0,0">
              <w:txbxContent>
                <w:p w14:paraId="2B662DE8" w14:textId="77777777" w:rsidR="00415911" w:rsidRDefault="00415911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דרישה לסלק עגלות</w:t>
                  </w:r>
                </w:p>
              </w:txbxContent>
            </v:textbox>
            <w10:anchorlock/>
          </v:rect>
        </w:pict>
      </w:r>
      <w:r w:rsidR="00285F24">
        <w:rPr>
          <w:rStyle w:val="big-number"/>
          <w:rFonts w:cs="Miriam" w:hint="cs"/>
          <w:rtl/>
        </w:rPr>
        <w:t>20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ראש העיריה, מפקח או שוטר</w:t>
      </w:r>
      <w:r w:rsidR="00F859E3">
        <w:rPr>
          <w:rStyle w:val="default"/>
          <w:rFonts w:hint="cs"/>
          <w:rtl/>
        </w:rPr>
        <w:t>,</w:t>
      </w:r>
      <w:r w:rsidR="00415911">
        <w:rPr>
          <w:rStyle w:val="default"/>
          <w:rFonts w:hint="cs"/>
          <w:rtl/>
        </w:rPr>
        <w:t xml:space="preserve"> רשאים לצוות על רוכל לסלק את עגלתו, דוכנו, תבניתו, מגשו או הטובין ממקום בו הם נמצאים בניגוד להוראות חוק עזר זה</w:t>
      </w:r>
      <w:r w:rsidR="00C14288">
        <w:rPr>
          <w:rStyle w:val="default"/>
          <w:rFonts w:hint="cs"/>
          <w:rtl/>
        </w:rPr>
        <w:t>.</w:t>
      </w:r>
    </w:p>
    <w:p w14:paraId="6F24C3C3" w14:textId="77777777" w:rsidR="00010998" w:rsidRDefault="007546B3" w:rsidP="00F859E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2" w:name="Seif10"/>
      <w:bookmarkEnd w:id="12"/>
      <w:r>
        <w:rPr>
          <w:lang w:val="he-IL"/>
        </w:rPr>
        <w:pict w14:anchorId="1C8C51A8">
          <v:rect id="_x0000_s1208" style="position:absolute;left:0;text-align:left;margin-left:464.5pt;margin-top:8.05pt;width:75.05pt;height:14.25pt;z-index:251661312" o:allowincell="f" filled="f" stroked="f" strokecolor="lime" strokeweight=".25pt">
            <v:textbox style="mso-next-textbox:#_x0000_s1208" inset="0,0,0,0">
              <w:txbxContent>
                <w:p w14:paraId="2EB44477" w14:textId="77777777" w:rsidR="00415911" w:rsidRDefault="00415911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סילוק עגלות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לא סילק רוכל את עגלתו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דוכנו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תבניתו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מגשו או הטובין, לאחר שנצטווה לכך בהתאם לסעיף </w:t>
      </w:r>
      <w:r w:rsidR="00F859E3">
        <w:rPr>
          <w:rStyle w:val="default"/>
          <w:rFonts w:hint="cs"/>
          <w:rtl/>
        </w:rPr>
        <w:t>20</w:t>
      </w:r>
      <w:r w:rsidR="00415911">
        <w:rPr>
          <w:rStyle w:val="default"/>
          <w:rFonts w:hint="cs"/>
          <w:rtl/>
        </w:rPr>
        <w:t>, רשאי ראש העיריה, מפקח או שוטר לסלק את העגלה, הדוכן, התבנית, המגש או הטובין, בין בעצמו ובין על ידי אחרים</w:t>
      </w:r>
      <w:r w:rsidR="00010998">
        <w:rPr>
          <w:rStyle w:val="default"/>
          <w:rFonts w:hint="cs"/>
          <w:rtl/>
        </w:rPr>
        <w:t>.</w:t>
      </w:r>
    </w:p>
    <w:p w14:paraId="707710A4" w14:textId="77777777" w:rsidR="00CD1279" w:rsidRDefault="007546B3" w:rsidP="00F859E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3" w:name="Seif11"/>
      <w:bookmarkEnd w:id="13"/>
      <w:r>
        <w:rPr>
          <w:lang w:val="he-IL"/>
        </w:rPr>
        <w:pict w14:anchorId="4E255E71">
          <v:rect id="_x0000_s1209" style="position:absolute;left:0;text-align:left;margin-left:464.5pt;margin-top:8.05pt;width:75.05pt;height:16.35pt;z-index:251662336" o:allowincell="f" filled="f" stroked="f" strokecolor="lime" strokeweight=".25pt">
            <v:textbox style="mso-next-textbox:#_x0000_s1209" inset="0,0,0,0">
              <w:txbxContent>
                <w:p w14:paraId="6B7E4C85" w14:textId="77777777" w:rsidR="00776ECA" w:rsidRDefault="00415911" w:rsidP="00F859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תפיסת </w:t>
                  </w:r>
                  <w:r w:rsidR="00F859E3">
                    <w:rPr>
                      <w:rFonts w:cs="Miriam" w:hint="cs"/>
                      <w:sz w:val="18"/>
                      <w:szCs w:val="18"/>
                      <w:rtl/>
                    </w:rPr>
                    <w:t>כלים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והחרמתם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ראש העיריה או מפקח</w:t>
      </w:r>
      <w:r w:rsidR="00F859E3">
        <w:rPr>
          <w:rStyle w:val="default"/>
          <w:rFonts w:hint="cs"/>
          <w:rtl/>
        </w:rPr>
        <w:t>, רשאי</w:t>
      </w:r>
      <w:r w:rsidR="00415911">
        <w:rPr>
          <w:rStyle w:val="default"/>
          <w:rFonts w:hint="cs"/>
          <w:rtl/>
        </w:rPr>
        <w:t xml:space="preserve"> לתפוס ולהחרים כל עגלת יד, דוכן, תבנית או מגש של רוכל שאין לו רשיון להשתמש בהם בקשר למכירת טובין</w:t>
      </w:r>
      <w:r w:rsidR="00CD1279">
        <w:rPr>
          <w:rStyle w:val="default"/>
          <w:rFonts w:hint="cs"/>
          <w:rtl/>
        </w:rPr>
        <w:t>.</w:t>
      </w:r>
    </w:p>
    <w:p w14:paraId="22C646B6" w14:textId="77777777" w:rsidR="00CD1279" w:rsidRDefault="007546B3" w:rsidP="00F859E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4" w:name="Seif12"/>
      <w:bookmarkEnd w:id="14"/>
      <w:r>
        <w:rPr>
          <w:lang w:val="he-IL"/>
        </w:rPr>
        <w:pict w14:anchorId="0AA4E8AD">
          <v:rect id="_x0000_s1210" style="position:absolute;left:0;text-align:left;margin-left:464.5pt;margin-top:8.05pt;width:75.05pt;height:13.4pt;z-index:251663360" o:allowincell="f" filled="f" stroked="f" strokecolor="lime" strokeweight=".25pt">
            <v:textbox style="mso-next-textbox:#_x0000_s1210" inset="0,0,0,0">
              <w:txbxContent>
                <w:p w14:paraId="603D3800" w14:textId="77777777" w:rsidR="00B67497" w:rsidRDefault="00B67497" w:rsidP="00B674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הפרעה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67497">
        <w:rPr>
          <w:rStyle w:val="default"/>
          <w:rFonts w:hint="cs"/>
          <w:rtl/>
        </w:rPr>
        <w:t>לא יפריע אדם לראש העיריה או למפקח ולא ימנע בעדם מ</w:t>
      </w:r>
      <w:r w:rsidR="00F859E3">
        <w:rPr>
          <w:rStyle w:val="default"/>
          <w:rFonts w:hint="cs"/>
          <w:rtl/>
        </w:rPr>
        <w:t>ל</w:t>
      </w:r>
      <w:r w:rsidR="00415911">
        <w:rPr>
          <w:rStyle w:val="default"/>
          <w:rFonts w:hint="cs"/>
          <w:rtl/>
        </w:rPr>
        <w:t>השתמש בסמכויותי</w:t>
      </w:r>
      <w:r w:rsidR="00F859E3">
        <w:rPr>
          <w:rStyle w:val="default"/>
          <w:rFonts w:hint="cs"/>
          <w:rtl/>
        </w:rPr>
        <w:t>ו</w:t>
      </w:r>
      <w:r w:rsidR="00B67497">
        <w:rPr>
          <w:rStyle w:val="default"/>
          <w:rFonts w:hint="cs"/>
          <w:rtl/>
        </w:rPr>
        <w:t xml:space="preserve"> לפי חוק עזר זה</w:t>
      </w:r>
      <w:r w:rsidR="00CD1279">
        <w:rPr>
          <w:rStyle w:val="default"/>
          <w:rFonts w:hint="cs"/>
          <w:rtl/>
        </w:rPr>
        <w:t>.</w:t>
      </w:r>
    </w:p>
    <w:p w14:paraId="2B937395" w14:textId="77777777" w:rsidR="00CD1279" w:rsidRDefault="007546B3" w:rsidP="008F50B2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5" w:name="Seif13"/>
      <w:bookmarkEnd w:id="15"/>
      <w:r>
        <w:rPr>
          <w:lang w:val="he-IL"/>
        </w:rPr>
        <w:pict w14:anchorId="737EDD3B">
          <v:rect id="_x0000_s1211" style="position:absolute;left:0;text-align:left;margin-left:464.5pt;margin-top:8.05pt;width:75.05pt;height:19.7pt;z-index:251664384" o:allowincell="f" filled="f" stroked="f" strokecolor="lime" strokeweight=".25pt">
            <v:textbox style="mso-next-textbox:#_x0000_s1211" inset="0,0,0,0">
              <w:txbxContent>
                <w:p w14:paraId="2BDE4E52" w14:textId="77777777" w:rsidR="00B67497" w:rsidRDefault="00B67497" w:rsidP="00B674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ענשים</w:t>
                  </w:r>
                </w:p>
                <w:p w14:paraId="0A6F73F0" w14:textId="77777777" w:rsidR="008F50B2" w:rsidRDefault="008F50B2" w:rsidP="00B674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תיקון תשמ"ה-1985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324B1">
        <w:rPr>
          <w:rStyle w:val="default"/>
          <w:rFonts w:hint="cs"/>
          <w:rtl/>
        </w:rPr>
        <w:t xml:space="preserve">העובר על הוראה מהוראות חוק עזר זה, דינו </w:t>
      </w:r>
      <w:r w:rsidR="00C324B1">
        <w:rPr>
          <w:rStyle w:val="default"/>
          <w:rtl/>
        </w:rPr>
        <w:t>–</w:t>
      </w:r>
      <w:r w:rsidR="00C324B1">
        <w:rPr>
          <w:rStyle w:val="default"/>
          <w:rFonts w:hint="cs"/>
          <w:rtl/>
        </w:rPr>
        <w:t xml:space="preserve"> קנס </w:t>
      </w:r>
      <w:r w:rsidR="008F50B2">
        <w:rPr>
          <w:rStyle w:val="default"/>
          <w:rFonts w:hint="cs"/>
          <w:rtl/>
        </w:rPr>
        <w:t>80,000 שקלים</w:t>
      </w:r>
      <w:r w:rsidR="00C324B1">
        <w:rPr>
          <w:rStyle w:val="default"/>
          <w:rFonts w:hint="cs"/>
          <w:rtl/>
        </w:rPr>
        <w:t xml:space="preserve">, ובמקרה של עבירה נמשכת </w:t>
      </w:r>
      <w:r w:rsidR="00C324B1">
        <w:rPr>
          <w:rStyle w:val="default"/>
          <w:rtl/>
        </w:rPr>
        <w:t>–</w:t>
      </w:r>
      <w:r w:rsidR="00C324B1">
        <w:rPr>
          <w:rStyle w:val="default"/>
          <w:rFonts w:hint="cs"/>
          <w:rtl/>
        </w:rPr>
        <w:t xml:space="preserve"> קנס נוסף </w:t>
      </w:r>
      <w:r w:rsidR="008F50B2">
        <w:rPr>
          <w:rStyle w:val="default"/>
          <w:rFonts w:hint="cs"/>
          <w:rtl/>
        </w:rPr>
        <w:t>3,200 שקלים</w:t>
      </w:r>
      <w:r w:rsidR="00C324B1">
        <w:rPr>
          <w:rStyle w:val="default"/>
          <w:rFonts w:hint="cs"/>
          <w:rtl/>
        </w:rPr>
        <w:t xml:space="preserve"> לכל יום שבו נמשכת העבירה אחרי שנמסרה לו עליה הודעה בכתב מאת ראש העיריה או לאחר שחוייב בדין</w:t>
      </w:r>
      <w:r w:rsidR="00CD1279">
        <w:rPr>
          <w:rStyle w:val="default"/>
          <w:rFonts w:hint="cs"/>
          <w:rtl/>
        </w:rPr>
        <w:t>.</w:t>
      </w:r>
    </w:p>
    <w:p w14:paraId="52C5EF33" w14:textId="77777777" w:rsidR="007A3E0B" w:rsidRDefault="007546B3" w:rsidP="0019077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6" w:name="Seif14"/>
      <w:bookmarkEnd w:id="16"/>
      <w:r>
        <w:rPr>
          <w:lang w:val="he-IL"/>
        </w:rPr>
        <w:pict w14:anchorId="64FA1CF6">
          <v:rect id="_x0000_s1214" style="position:absolute;left:0;text-align:left;margin-left:464.5pt;margin-top:8.05pt;width:75.05pt;height:11.1pt;z-index:251665408" o:allowincell="f" filled="f" stroked="f" strokecolor="lime" strokeweight=".25pt">
            <v:textbox style="mso-next-textbox:#_x0000_s1214" inset="0,0,0,0">
              <w:txbxContent>
                <w:p w14:paraId="5D81AF4C" w14:textId="77777777" w:rsidR="00771BE9" w:rsidRDefault="00415911" w:rsidP="0049289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C324B1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 xml:space="preserve">חוק עזר </w:t>
      </w:r>
      <w:r w:rsidR="00190773">
        <w:rPr>
          <w:rStyle w:val="default"/>
          <w:rFonts w:hint="cs"/>
          <w:rtl/>
        </w:rPr>
        <w:t>להרצליה</w:t>
      </w:r>
      <w:r w:rsidR="00415911">
        <w:rPr>
          <w:rStyle w:val="default"/>
          <w:rFonts w:hint="cs"/>
          <w:rtl/>
        </w:rPr>
        <w:t xml:space="preserve"> (רשיונות לרוכלים והפיקוח עליהם), תשי"ז-1957 </w:t>
      </w:r>
      <w:r w:rsidR="00415911">
        <w:rPr>
          <w:rStyle w:val="default"/>
          <w:rtl/>
        </w:rPr>
        <w:t>–</w:t>
      </w:r>
      <w:r w:rsidR="00415911">
        <w:rPr>
          <w:rStyle w:val="default"/>
          <w:rFonts w:hint="cs"/>
          <w:rtl/>
        </w:rPr>
        <w:t xml:space="preserve"> בטל</w:t>
      </w:r>
      <w:r w:rsidR="00B67497">
        <w:rPr>
          <w:rStyle w:val="default"/>
          <w:rFonts w:hint="cs"/>
          <w:rtl/>
        </w:rPr>
        <w:t>.</w:t>
      </w:r>
    </w:p>
    <w:p w14:paraId="0E7649BA" w14:textId="77777777" w:rsidR="00773301" w:rsidRDefault="00773301" w:rsidP="0019077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7" w:name="Seif17"/>
      <w:bookmarkEnd w:id="17"/>
      <w:r>
        <w:rPr>
          <w:lang w:val="he-IL"/>
        </w:rPr>
        <w:pict w14:anchorId="6A36055F">
          <v:rect id="_x0000_s1254" style="position:absolute;left:0;text-align:left;margin-left:464.5pt;margin-top:8.05pt;width:75.05pt;height:11.1pt;z-index:251669504" o:allowincell="f" filled="f" stroked="f" strokecolor="lime" strokeweight=".25pt">
            <v:textbox style="mso-next-textbox:#_x0000_s1254" inset="0,0,0,0">
              <w:txbxContent>
                <w:p w14:paraId="1ED989E3" w14:textId="77777777" w:rsidR="00773301" w:rsidRDefault="00773301" w:rsidP="0077330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190773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לחוק עזר זה ייקרא "חוק עזר </w:t>
      </w:r>
      <w:r w:rsidR="00190773">
        <w:rPr>
          <w:rStyle w:val="default"/>
          <w:rFonts w:hint="cs"/>
          <w:rtl/>
        </w:rPr>
        <w:t>להרצליה</w:t>
      </w:r>
      <w:r>
        <w:rPr>
          <w:rStyle w:val="default"/>
          <w:rFonts w:hint="cs"/>
          <w:rtl/>
        </w:rPr>
        <w:t xml:space="preserve"> (רוכלים), תשכ"</w:t>
      </w:r>
      <w:r w:rsidR="00190773">
        <w:rPr>
          <w:rStyle w:val="default"/>
          <w:rFonts w:hint="cs"/>
          <w:rtl/>
        </w:rPr>
        <w:t>ו</w:t>
      </w:r>
      <w:r>
        <w:rPr>
          <w:rStyle w:val="default"/>
          <w:rFonts w:hint="cs"/>
          <w:rtl/>
        </w:rPr>
        <w:t>-196</w:t>
      </w:r>
      <w:r w:rsidR="00190773">
        <w:rPr>
          <w:rStyle w:val="default"/>
          <w:rFonts w:hint="cs"/>
          <w:rtl/>
        </w:rPr>
        <w:t>5</w:t>
      </w:r>
      <w:r w:rsidR="00415911">
        <w:rPr>
          <w:rStyle w:val="default"/>
          <w:rFonts w:hint="cs"/>
          <w:rtl/>
        </w:rPr>
        <w:t>"</w:t>
      </w:r>
      <w:r>
        <w:rPr>
          <w:rStyle w:val="default"/>
          <w:rFonts w:hint="cs"/>
          <w:rtl/>
        </w:rPr>
        <w:t>.</w:t>
      </w:r>
    </w:p>
    <w:p w14:paraId="6AF72202" w14:textId="77777777" w:rsidR="00DF4603" w:rsidRDefault="00DF460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25E0A4D5" w14:textId="77777777"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36204DD4" w14:textId="77777777" w:rsidR="00EB06A3" w:rsidRDefault="00EB06A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10569EAD" w14:textId="77777777" w:rsidR="00882B1E" w:rsidRDefault="00190773" w:rsidP="001907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ב' בחשון תשכ"ו (28 באוקטובר 1965</w:t>
      </w:r>
      <w:r w:rsidR="00882B1E">
        <w:rPr>
          <w:rFonts w:cs="FrankRuehl" w:hint="cs"/>
          <w:rtl/>
          <w:lang w:eastAsia="en-US"/>
        </w:rPr>
        <w:t>)</w:t>
      </w:r>
      <w:r w:rsidR="00882B1E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פסח יפהר</w:t>
      </w:r>
    </w:p>
    <w:p w14:paraId="66121276" w14:textId="77777777" w:rsidR="00882B1E" w:rsidRDefault="00882B1E" w:rsidP="001907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072EA2"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190773">
        <w:rPr>
          <w:rFonts w:cs="FrankRuehl" w:hint="cs"/>
          <w:sz w:val="22"/>
          <w:szCs w:val="22"/>
          <w:rtl/>
          <w:lang w:eastAsia="en-US"/>
        </w:rPr>
        <w:t>הרצליה</w:t>
      </w:r>
    </w:p>
    <w:p w14:paraId="5E5B1ADF" w14:textId="77777777" w:rsidR="0091524D" w:rsidRDefault="0091524D" w:rsidP="00B25F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ab/>
      </w:r>
      <w:r w:rsidR="00B25F61">
        <w:rPr>
          <w:rFonts w:cs="FrankRuehl" w:hint="cs"/>
          <w:rtl/>
          <w:lang w:eastAsia="en-US"/>
        </w:rPr>
        <w:t>חיים משה שפירא</w:t>
      </w:r>
    </w:p>
    <w:p w14:paraId="6822CD54" w14:textId="77777777" w:rsidR="0091524D" w:rsidRDefault="0091524D" w:rsidP="00882B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882B1E">
        <w:rPr>
          <w:rFonts w:cs="FrankRuehl" w:hint="cs"/>
          <w:sz w:val="22"/>
          <w:szCs w:val="22"/>
          <w:rtl/>
          <w:lang w:eastAsia="en-US"/>
        </w:rPr>
        <w:t>שר הפנים</w:t>
      </w:r>
    </w:p>
    <w:p w14:paraId="1A2BF412" w14:textId="77777777" w:rsidR="00AB3C51" w:rsidRDefault="00AB3C51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233F273D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48D11AB0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8" w:name="LawPartEnd"/>
      <w:bookmarkEnd w:id="18"/>
    </w:p>
    <w:p w14:paraId="18F9AF60" w14:textId="77777777" w:rsidR="004B2E09" w:rsidRDefault="004B2E09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3DC9BCC2" w14:textId="77777777" w:rsidR="004B2E09" w:rsidRDefault="004B2E09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7F5B31DE" w14:textId="77777777" w:rsidR="004B2E09" w:rsidRDefault="004B2E09" w:rsidP="004B2E09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68951838" w14:textId="77777777" w:rsidR="00A60385" w:rsidRPr="004B2E09" w:rsidRDefault="00A60385" w:rsidP="004B2E09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4B2E0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6669" w14:textId="77777777" w:rsidR="0046292C" w:rsidRDefault="0046292C">
      <w:r>
        <w:separator/>
      </w:r>
    </w:p>
  </w:endnote>
  <w:endnote w:type="continuationSeparator" w:id="0">
    <w:p w14:paraId="7CE530AF" w14:textId="77777777" w:rsidR="0046292C" w:rsidRDefault="0046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D18B" w14:textId="77777777"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F09843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10E2937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2E09">
      <w:rPr>
        <w:rFonts w:cs="TopType Jerushalmi"/>
        <w:noProof/>
        <w:color w:val="000000"/>
        <w:sz w:val="14"/>
        <w:szCs w:val="14"/>
      </w:rPr>
      <w:t>Z:\000-law\yael\2011\11-05-05\tav\mek_015_012.doc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7BD7" w14:textId="77777777"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2E0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F86A5AC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B8E84A9" w14:textId="77777777"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2E09">
      <w:rPr>
        <w:rFonts w:cs="TopType Jerushalmi"/>
        <w:noProof/>
        <w:color w:val="000000"/>
        <w:sz w:val="14"/>
        <w:szCs w:val="14"/>
      </w:rPr>
      <w:t>Z:\000-law\yael\2011\11-05-05\tav\mek_015_012.doc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FEF4" w14:textId="77777777" w:rsidR="0046292C" w:rsidRDefault="0046292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359F019" w14:textId="77777777" w:rsidR="0046292C" w:rsidRDefault="0046292C">
      <w:r>
        <w:continuationSeparator/>
      </w:r>
    </w:p>
  </w:footnote>
  <w:footnote w:id="1">
    <w:p w14:paraId="7F86F7F3" w14:textId="77777777" w:rsidR="00776ECA" w:rsidRDefault="00776ECA" w:rsidP="00AB3C51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תש</w:t>
        </w:r>
        <w:r w:rsidR="00271817">
          <w:rPr>
            <w:rStyle w:val="Hyperlink"/>
            <w:rFonts w:cs="FrankRuehl" w:hint="cs"/>
            <w:sz w:val="22"/>
            <w:szCs w:val="22"/>
            <w:rtl/>
          </w:rPr>
          <w:t>כ"</w:t>
        </w:r>
        <w:r w:rsidR="00AB3C51">
          <w:rPr>
            <w:rStyle w:val="Hyperlink"/>
            <w:rFonts w:cs="FrankRuehl" w:hint="cs"/>
            <w:sz w:val="22"/>
            <w:szCs w:val="22"/>
            <w:rtl/>
          </w:rPr>
          <w:t>ו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AB3C51">
          <w:rPr>
            <w:rStyle w:val="Hyperlink"/>
            <w:rFonts w:cs="FrankRuehl" w:hint="cs"/>
            <w:sz w:val="22"/>
            <w:szCs w:val="22"/>
            <w:rtl/>
          </w:rPr>
          <w:t>1803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AB3C51">
        <w:rPr>
          <w:rFonts w:cs="FrankRuehl" w:hint="cs"/>
          <w:sz w:val="22"/>
          <w:szCs w:val="22"/>
          <w:rtl/>
        </w:rPr>
        <w:t>2.12.1965</w:t>
      </w:r>
      <w:r>
        <w:rPr>
          <w:rFonts w:cs="FrankRuehl" w:hint="cs"/>
          <w:sz w:val="22"/>
          <w:szCs w:val="22"/>
          <w:rtl/>
        </w:rPr>
        <w:t xml:space="preserve"> עמ' </w:t>
      </w:r>
      <w:r w:rsidR="00AB3C51">
        <w:rPr>
          <w:rFonts w:cs="FrankRuehl" w:hint="cs"/>
          <w:sz w:val="22"/>
          <w:szCs w:val="22"/>
          <w:rtl/>
        </w:rPr>
        <w:t>372</w:t>
      </w:r>
      <w:r>
        <w:rPr>
          <w:rFonts w:cs="FrankRuehl" w:hint="cs"/>
          <w:sz w:val="22"/>
          <w:szCs w:val="22"/>
          <w:rtl/>
        </w:rPr>
        <w:t>.</w:t>
      </w:r>
    </w:p>
    <w:p w14:paraId="77E32B19" w14:textId="77777777" w:rsidR="000101A6" w:rsidRDefault="00776ECA" w:rsidP="00EB32EC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0101A6" w:rsidRPr="00EB32EC">
          <w:rPr>
            <w:rStyle w:val="Hyperlink"/>
            <w:rFonts w:cs="FrankRuehl" w:hint="cs"/>
            <w:sz w:val="22"/>
            <w:szCs w:val="22"/>
            <w:rtl/>
          </w:rPr>
          <w:t>ק"ת תשל"</w:t>
        </w:r>
        <w:r w:rsidR="00EB32EC" w:rsidRPr="00EB32EC">
          <w:rPr>
            <w:rStyle w:val="Hyperlink"/>
            <w:rFonts w:cs="FrankRuehl" w:hint="cs"/>
            <w:sz w:val="22"/>
            <w:szCs w:val="22"/>
            <w:rtl/>
          </w:rPr>
          <w:t>ז מס' 3731</w:t>
        </w:r>
      </w:hyperlink>
      <w:r w:rsidR="00EB32EC">
        <w:rPr>
          <w:rFonts w:cs="FrankRuehl" w:hint="cs"/>
          <w:sz w:val="22"/>
          <w:szCs w:val="22"/>
          <w:rtl/>
        </w:rPr>
        <w:t xml:space="preserve"> מיום 30.6.1977</w:t>
      </w:r>
      <w:r w:rsidR="000101A6">
        <w:rPr>
          <w:rFonts w:cs="FrankRuehl" w:hint="cs"/>
          <w:sz w:val="22"/>
          <w:szCs w:val="22"/>
          <w:rtl/>
        </w:rPr>
        <w:t xml:space="preserve"> עמ' 20</w:t>
      </w:r>
      <w:r w:rsidR="00EB32EC">
        <w:rPr>
          <w:rFonts w:cs="FrankRuehl" w:hint="cs"/>
          <w:sz w:val="22"/>
          <w:szCs w:val="22"/>
          <w:rtl/>
        </w:rPr>
        <w:t xml:space="preserve">61 </w:t>
      </w:r>
      <w:r w:rsidR="00EB32EC">
        <w:rPr>
          <w:rFonts w:cs="FrankRuehl"/>
          <w:sz w:val="22"/>
          <w:szCs w:val="22"/>
          <w:rtl/>
        </w:rPr>
        <w:t>–</w:t>
      </w:r>
      <w:r w:rsidR="00EB32EC">
        <w:rPr>
          <w:rFonts w:cs="FrankRuehl" w:hint="cs"/>
          <w:sz w:val="22"/>
          <w:szCs w:val="22"/>
          <w:rtl/>
        </w:rPr>
        <w:t xml:space="preserve"> תיקון תשל"ז-1977 בסעיף 1(28) לחוק עזר להרצליה (תיקון חוקי עזר), תשל"ז-1977.</w:t>
      </w:r>
    </w:p>
    <w:p w14:paraId="60F947CE" w14:textId="77777777" w:rsidR="006A1035" w:rsidRDefault="00EB32EC" w:rsidP="006A1035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="00190773" w:rsidRPr="00EB32EC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="000101A6" w:rsidRPr="00EB32EC">
          <w:rPr>
            <w:rStyle w:val="Hyperlink"/>
            <w:rFonts w:cs="FrankRuehl" w:hint="cs"/>
            <w:sz w:val="22"/>
            <w:szCs w:val="22"/>
            <w:rtl/>
          </w:rPr>
          <w:t>תשמ"ג מס' 176</w:t>
        </w:r>
      </w:hyperlink>
      <w:r w:rsidR="000101A6">
        <w:rPr>
          <w:rFonts w:cs="FrankRuehl" w:hint="cs"/>
          <w:sz w:val="22"/>
          <w:szCs w:val="22"/>
          <w:rtl/>
        </w:rPr>
        <w:t xml:space="preserve"> מיום 12.5.1983 עמ' 467 </w:t>
      </w:r>
      <w:r w:rsidR="000101A6">
        <w:rPr>
          <w:rFonts w:cs="FrankRuehl"/>
          <w:sz w:val="22"/>
          <w:szCs w:val="22"/>
          <w:rtl/>
        </w:rPr>
        <w:t>–</w:t>
      </w:r>
      <w:r w:rsidR="000101A6">
        <w:rPr>
          <w:rFonts w:cs="FrankRuehl" w:hint="cs"/>
          <w:sz w:val="22"/>
          <w:szCs w:val="22"/>
          <w:rtl/>
        </w:rPr>
        <w:t xml:space="preserve"> תיקון תשמ"ג-1983 בסעיף 1(25) לחוק עזר להרצליה (תיקון חוקי עזר), תשמ"ג-1983.</w:t>
      </w:r>
    </w:p>
    <w:p w14:paraId="56448F10" w14:textId="77777777" w:rsidR="00EB32EC" w:rsidRDefault="008F50B2" w:rsidP="006A1035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 w:rsidR="00EB32EC" w:rsidRPr="008F50B2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8F50B2">
          <w:rPr>
            <w:rStyle w:val="Hyperlink"/>
            <w:rFonts w:cs="FrankRuehl" w:hint="cs"/>
            <w:sz w:val="22"/>
            <w:szCs w:val="22"/>
            <w:rtl/>
          </w:rPr>
          <w:t>תשמ"ה מס' 273</w:t>
        </w:r>
      </w:hyperlink>
      <w:r>
        <w:rPr>
          <w:rFonts w:cs="FrankRuehl" w:hint="cs"/>
          <w:sz w:val="22"/>
          <w:szCs w:val="22"/>
          <w:rtl/>
        </w:rPr>
        <w:t xml:space="preserve"> מיום 30.4.1985 עמ' 283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תשמ"ה-1985 בסעיף 1(23) לחוק עזר להרצליה (תיקון חוקי עזר), תשמ"ה-1985.</w:t>
      </w:r>
    </w:p>
    <w:p w14:paraId="1F3141DD" w14:textId="77777777" w:rsidR="008F50B2" w:rsidRDefault="00B0753C" w:rsidP="006A1035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="008F50B2" w:rsidRPr="00B0753C">
          <w:rPr>
            <w:rStyle w:val="Hyperlink"/>
            <w:rFonts w:cs="FrankRuehl" w:hint="cs"/>
            <w:sz w:val="22"/>
            <w:szCs w:val="22"/>
            <w:rtl/>
          </w:rPr>
          <w:t>ק"ת חש"ם תש"ן מס' 415</w:t>
        </w:r>
      </w:hyperlink>
      <w:r w:rsidR="008F50B2">
        <w:rPr>
          <w:rFonts w:cs="FrankRuehl" w:hint="cs"/>
          <w:sz w:val="22"/>
          <w:szCs w:val="22"/>
          <w:rtl/>
        </w:rPr>
        <w:t xml:space="preserve"> מיום 14.12.1989 עמ' 100 </w:t>
      </w:r>
      <w:r w:rsidR="008F50B2">
        <w:rPr>
          <w:rFonts w:cs="FrankRuehl"/>
          <w:sz w:val="22"/>
          <w:szCs w:val="22"/>
          <w:rtl/>
        </w:rPr>
        <w:t>–</w:t>
      </w:r>
      <w:r w:rsidR="008F50B2">
        <w:rPr>
          <w:rFonts w:cs="FrankRuehl" w:hint="cs"/>
          <w:sz w:val="22"/>
          <w:szCs w:val="22"/>
          <w:rtl/>
        </w:rPr>
        <w:t xml:space="preserve"> תיקון תש"ן-1989.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F66A" w14:textId="77777777" w:rsidR="00776ECA" w:rsidRDefault="00776EC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315A3552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BC6B72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11069" w14:textId="77777777" w:rsidR="00776ECA" w:rsidRDefault="00776ECA" w:rsidP="0061652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616526">
      <w:rPr>
        <w:rFonts w:hAnsi="FrankRuehl" w:cs="FrankRuehl" w:hint="cs"/>
        <w:color w:val="000000"/>
        <w:sz w:val="28"/>
        <w:szCs w:val="28"/>
        <w:rtl/>
      </w:rPr>
      <w:t>להרצליה</w:t>
    </w:r>
    <w:r>
      <w:rPr>
        <w:rFonts w:hAnsi="FrankRuehl" w:cs="FrankRuehl" w:hint="cs"/>
        <w:color w:val="000000"/>
        <w:sz w:val="28"/>
        <w:szCs w:val="28"/>
        <w:rtl/>
      </w:rPr>
      <w:t xml:space="preserve"> (רוכלים), </w:t>
    </w:r>
    <w:r w:rsidR="00271817">
      <w:rPr>
        <w:rFonts w:hAnsi="FrankRuehl" w:cs="FrankRuehl" w:hint="cs"/>
        <w:color w:val="000000"/>
        <w:sz w:val="28"/>
        <w:szCs w:val="28"/>
        <w:rtl/>
      </w:rPr>
      <w:t>תשכ"</w:t>
    </w:r>
    <w:r w:rsidR="00616526">
      <w:rPr>
        <w:rFonts w:hAnsi="FrankRuehl" w:cs="FrankRuehl" w:hint="cs"/>
        <w:color w:val="000000"/>
        <w:sz w:val="28"/>
        <w:szCs w:val="28"/>
        <w:rtl/>
      </w:rPr>
      <w:t>ו-1965</w:t>
    </w:r>
  </w:p>
  <w:p w14:paraId="4D4F5D11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B2359B" w14:textId="77777777"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101A6"/>
    <w:rsid w:val="00010998"/>
    <w:rsid w:val="0006547D"/>
    <w:rsid w:val="00066298"/>
    <w:rsid w:val="00072EA2"/>
    <w:rsid w:val="00073816"/>
    <w:rsid w:val="000819EB"/>
    <w:rsid w:val="000946C5"/>
    <w:rsid w:val="000A4189"/>
    <w:rsid w:val="000B47B1"/>
    <w:rsid w:val="000E036A"/>
    <w:rsid w:val="000E6873"/>
    <w:rsid w:val="000E695D"/>
    <w:rsid w:val="00113B69"/>
    <w:rsid w:val="00124059"/>
    <w:rsid w:val="00127A04"/>
    <w:rsid w:val="0016436F"/>
    <w:rsid w:val="00177D89"/>
    <w:rsid w:val="00182A86"/>
    <w:rsid w:val="00184AC8"/>
    <w:rsid w:val="00190773"/>
    <w:rsid w:val="001976A7"/>
    <w:rsid w:val="001A344B"/>
    <w:rsid w:val="001B3849"/>
    <w:rsid w:val="001E63D3"/>
    <w:rsid w:val="00236E2D"/>
    <w:rsid w:val="00241EBA"/>
    <w:rsid w:val="002470F4"/>
    <w:rsid w:val="00255A94"/>
    <w:rsid w:val="00271817"/>
    <w:rsid w:val="0028407B"/>
    <w:rsid w:val="00285F24"/>
    <w:rsid w:val="0029007C"/>
    <w:rsid w:val="002B3A03"/>
    <w:rsid w:val="002B7042"/>
    <w:rsid w:val="002D66B4"/>
    <w:rsid w:val="002E5512"/>
    <w:rsid w:val="002F2A4E"/>
    <w:rsid w:val="00340AFB"/>
    <w:rsid w:val="00353DBA"/>
    <w:rsid w:val="003749E7"/>
    <w:rsid w:val="00384611"/>
    <w:rsid w:val="00386BA1"/>
    <w:rsid w:val="003D295E"/>
    <w:rsid w:val="003E41B5"/>
    <w:rsid w:val="003F3A1E"/>
    <w:rsid w:val="003F5A42"/>
    <w:rsid w:val="004127D8"/>
    <w:rsid w:val="00412D35"/>
    <w:rsid w:val="0041448F"/>
    <w:rsid w:val="00415911"/>
    <w:rsid w:val="00441245"/>
    <w:rsid w:val="0046292C"/>
    <w:rsid w:val="00475CCA"/>
    <w:rsid w:val="00492893"/>
    <w:rsid w:val="0049393F"/>
    <w:rsid w:val="00495A43"/>
    <w:rsid w:val="0049652F"/>
    <w:rsid w:val="004B2E09"/>
    <w:rsid w:val="004D3942"/>
    <w:rsid w:val="005006DE"/>
    <w:rsid w:val="00504B37"/>
    <w:rsid w:val="00521548"/>
    <w:rsid w:val="0053683B"/>
    <w:rsid w:val="00544992"/>
    <w:rsid w:val="0056656C"/>
    <w:rsid w:val="0056723B"/>
    <w:rsid w:val="00580F7C"/>
    <w:rsid w:val="00587B03"/>
    <w:rsid w:val="005A7AC9"/>
    <w:rsid w:val="005B4B85"/>
    <w:rsid w:val="005B62F1"/>
    <w:rsid w:val="005C1B2F"/>
    <w:rsid w:val="005C2037"/>
    <w:rsid w:val="005C5ACC"/>
    <w:rsid w:val="006136F0"/>
    <w:rsid w:val="00616526"/>
    <w:rsid w:val="006231C3"/>
    <w:rsid w:val="0063246D"/>
    <w:rsid w:val="00653865"/>
    <w:rsid w:val="006A1035"/>
    <w:rsid w:val="006A287D"/>
    <w:rsid w:val="006A2C45"/>
    <w:rsid w:val="006A2CDC"/>
    <w:rsid w:val="006A3518"/>
    <w:rsid w:val="006A5DE3"/>
    <w:rsid w:val="006C4ECE"/>
    <w:rsid w:val="00712589"/>
    <w:rsid w:val="007176F7"/>
    <w:rsid w:val="007546B3"/>
    <w:rsid w:val="007573AA"/>
    <w:rsid w:val="0076488D"/>
    <w:rsid w:val="00771BE9"/>
    <w:rsid w:val="00773301"/>
    <w:rsid w:val="00773F82"/>
    <w:rsid w:val="00775A21"/>
    <w:rsid w:val="00776ECA"/>
    <w:rsid w:val="007851F8"/>
    <w:rsid w:val="00797258"/>
    <w:rsid w:val="007A3E0B"/>
    <w:rsid w:val="007A4378"/>
    <w:rsid w:val="007B2B4D"/>
    <w:rsid w:val="007B535C"/>
    <w:rsid w:val="007C1296"/>
    <w:rsid w:val="007C395F"/>
    <w:rsid w:val="007E4FCB"/>
    <w:rsid w:val="00807BF1"/>
    <w:rsid w:val="008729AE"/>
    <w:rsid w:val="00882B1E"/>
    <w:rsid w:val="00885311"/>
    <w:rsid w:val="008867DF"/>
    <w:rsid w:val="008A08CE"/>
    <w:rsid w:val="008B35F0"/>
    <w:rsid w:val="008C4954"/>
    <w:rsid w:val="008C7048"/>
    <w:rsid w:val="008D0855"/>
    <w:rsid w:val="008E1BE4"/>
    <w:rsid w:val="008F50B2"/>
    <w:rsid w:val="0091524D"/>
    <w:rsid w:val="00917882"/>
    <w:rsid w:val="00923837"/>
    <w:rsid w:val="00925F50"/>
    <w:rsid w:val="00932347"/>
    <w:rsid w:val="00935727"/>
    <w:rsid w:val="009477BD"/>
    <w:rsid w:val="00960D62"/>
    <w:rsid w:val="00963439"/>
    <w:rsid w:val="00976500"/>
    <w:rsid w:val="00985D07"/>
    <w:rsid w:val="00986963"/>
    <w:rsid w:val="00996013"/>
    <w:rsid w:val="009D5DA5"/>
    <w:rsid w:val="00A109B3"/>
    <w:rsid w:val="00A1229D"/>
    <w:rsid w:val="00A134E1"/>
    <w:rsid w:val="00A13AD7"/>
    <w:rsid w:val="00A143E1"/>
    <w:rsid w:val="00A60385"/>
    <w:rsid w:val="00A67CD4"/>
    <w:rsid w:val="00A7257A"/>
    <w:rsid w:val="00A726BC"/>
    <w:rsid w:val="00A917C0"/>
    <w:rsid w:val="00A9617D"/>
    <w:rsid w:val="00A96AFC"/>
    <w:rsid w:val="00AA6A55"/>
    <w:rsid w:val="00AB3C51"/>
    <w:rsid w:val="00AB6741"/>
    <w:rsid w:val="00AD1720"/>
    <w:rsid w:val="00B04F91"/>
    <w:rsid w:val="00B0753C"/>
    <w:rsid w:val="00B25F61"/>
    <w:rsid w:val="00B44198"/>
    <w:rsid w:val="00B50B74"/>
    <w:rsid w:val="00B66A8A"/>
    <w:rsid w:val="00B67497"/>
    <w:rsid w:val="00B743D7"/>
    <w:rsid w:val="00B761DB"/>
    <w:rsid w:val="00B80590"/>
    <w:rsid w:val="00B971B7"/>
    <w:rsid w:val="00BA501E"/>
    <w:rsid w:val="00BB55FC"/>
    <w:rsid w:val="00BC4B6D"/>
    <w:rsid w:val="00BD495E"/>
    <w:rsid w:val="00BD77F4"/>
    <w:rsid w:val="00BE0A40"/>
    <w:rsid w:val="00C126C1"/>
    <w:rsid w:val="00C14288"/>
    <w:rsid w:val="00C16727"/>
    <w:rsid w:val="00C1768A"/>
    <w:rsid w:val="00C2478F"/>
    <w:rsid w:val="00C25EC7"/>
    <w:rsid w:val="00C324B1"/>
    <w:rsid w:val="00C56F44"/>
    <w:rsid w:val="00C64CE6"/>
    <w:rsid w:val="00C7029E"/>
    <w:rsid w:val="00C94A30"/>
    <w:rsid w:val="00CA7379"/>
    <w:rsid w:val="00CC4BAD"/>
    <w:rsid w:val="00CD1279"/>
    <w:rsid w:val="00CD3903"/>
    <w:rsid w:val="00CD4C92"/>
    <w:rsid w:val="00CE560D"/>
    <w:rsid w:val="00D12FCD"/>
    <w:rsid w:val="00D15DE0"/>
    <w:rsid w:val="00D422AF"/>
    <w:rsid w:val="00D51CBD"/>
    <w:rsid w:val="00D54A5D"/>
    <w:rsid w:val="00D64D20"/>
    <w:rsid w:val="00D94C1C"/>
    <w:rsid w:val="00DA5D0A"/>
    <w:rsid w:val="00DB00A5"/>
    <w:rsid w:val="00DB04BB"/>
    <w:rsid w:val="00DD189D"/>
    <w:rsid w:val="00DE5087"/>
    <w:rsid w:val="00DF3232"/>
    <w:rsid w:val="00DF4603"/>
    <w:rsid w:val="00E069F4"/>
    <w:rsid w:val="00E07F01"/>
    <w:rsid w:val="00E16B1D"/>
    <w:rsid w:val="00E21D69"/>
    <w:rsid w:val="00E52E2F"/>
    <w:rsid w:val="00E64A74"/>
    <w:rsid w:val="00E8191E"/>
    <w:rsid w:val="00E8696C"/>
    <w:rsid w:val="00E929D1"/>
    <w:rsid w:val="00E92E8C"/>
    <w:rsid w:val="00EB06A3"/>
    <w:rsid w:val="00EB32EC"/>
    <w:rsid w:val="00EB5096"/>
    <w:rsid w:val="00EC4A98"/>
    <w:rsid w:val="00EE4A27"/>
    <w:rsid w:val="00EF4C4A"/>
    <w:rsid w:val="00F0778C"/>
    <w:rsid w:val="00F127A7"/>
    <w:rsid w:val="00F35595"/>
    <w:rsid w:val="00F41737"/>
    <w:rsid w:val="00F50916"/>
    <w:rsid w:val="00F55BDB"/>
    <w:rsid w:val="00F668D2"/>
    <w:rsid w:val="00F80B63"/>
    <w:rsid w:val="00F859E3"/>
    <w:rsid w:val="00F86809"/>
    <w:rsid w:val="00F9406D"/>
    <w:rsid w:val="00FA444E"/>
    <w:rsid w:val="00FB3EB1"/>
    <w:rsid w:val="00FD1949"/>
    <w:rsid w:val="00FE04E4"/>
    <w:rsid w:val="00FE23C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40498C1"/>
  <w15:chartTrackingRefBased/>
  <w15:docId w15:val="{6B1C597E-8DCC-4DA8-A3C7-BF8FD96D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176.pdf" TargetMode="External"/><Relationship Id="rId2" Type="http://schemas.openxmlformats.org/officeDocument/2006/relationships/hyperlink" Target="http://www.nevo.co.il/Law_word/law06/tak-3731.pdf" TargetMode="External"/><Relationship Id="rId1" Type="http://schemas.openxmlformats.org/officeDocument/2006/relationships/hyperlink" Target="http://www.nevo.co.il/law_word/law06/tak-1803.pdf" TargetMode="External"/><Relationship Id="rId5" Type="http://schemas.openxmlformats.org/officeDocument/2006/relationships/hyperlink" Target="http://www.nevo.co.il/Law_word/law07/mekomi-0415.pdf" TargetMode="External"/><Relationship Id="rId4" Type="http://schemas.openxmlformats.org/officeDocument/2006/relationships/hyperlink" Target="http://www.nevo.co.il/Law_word/law07/mekomi-02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4688</CharactersWithSpaces>
  <SharedDoc>false</SharedDoc>
  <HLinks>
    <vt:vector size="144" baseType="variant">
      <vt:variant>
        <vt:i4>393283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3407915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3866667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3473451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http://www.nevo.co.il/Law_word/law07/mekomi-0415.pdf</vt:lpwstr>
      </vt:variant>
      <vt:variant>
        <vt:lpwstr/>
      </vt:variant>
      <vt:variant>
        <vt:i4>8126490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http://www.nevo.co.il/Law_word/law07/mekomi-0273.pdf</vt:lpwstr>
      </vt:variant>
      <vt:variant>
        <vt:lpwstr/>
      </vt:variant>
      <vt:variant>
        <vt:i4>7995418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http://www.nevo.co.il/Law_word/law07/mekomi-0176.pdf</vt:lpwstr>
      </vt:variant>
      <vt:variant>
        <vt:lpwstr/>
      </vt:variant>
      <vt:variant>
        <vt:i4>7929870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http://www.nevo.co.il/Law_word/law06/tak-3731.pdf</vt:lpwstr>
      </vt:variant>
      <vt:variant>
        <vt:lpwstr/>
      </vt:variant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להרצליה (רוכלים), תשכ"ו-1965</vt:lpwstr>
  </property>
  <property fmtid="{D5CDD505-2E9C-101B-9397-08002B2CF9AE}" pid="5" name="LAWNUMBER">
    <vt:lpwstr>015_012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רישוי</vt:lpwstr>
  </property>
  <property fmtid="{D5CDD505-2E9C-101B-9397-08002B2CF9AE}" pid="27" name="NOSE32">
    <vt:lpwstr>רישוי עסקים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העיריות</vt:lpwstr>
  </property>
  <property fmtid="{D5CDD505-2E9C-101B-9397-08002B2CF9AE}" pid="62" name="MEKOR_SAIF1">
    <vt:lpwstr>250X;251X;254X</vt:lpwstr>
  </property>
</Properties>
</file>