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0B47B1">
      <w:pPr>
        <w:pStyle w:val="big-header"/>
        <w:ind w:left="0" w:right="1134"/>
        <w:outlineLvl w:val="0"/>
        <w:rPr>
          <w:rFonts w:cs="FrankRuehl" w:hint="cs"/>
          <w:sz w:val="32"/>
          <w:rtl/>
        </w:rPr>
      </w:pPr>
      <w:r>
        <w:rPr>
          <w:rFonts w:cs="FrankRuehl" w:hint="cs"/>
          <w:sz w:val="32"/>
          <w:rtl/>
        </w:rPr>
        <w:t xml:space="preserve">חוק עזר </w:t>
      </w:r>
      <w:r w:rsidR="000B47B1">
        <w:rPr>
          <w:rFonts w:cs="FrankRuehl" w:hint="cs"/>
          <w:sz w:val="32"/>
          <w:rtl/>
        </w:rPr>
        <w:t>לירושלים</w:t>
      </w:r>
      <w:r w:rsidR="007546B3">
        <w:rPr>
          <w:rFonts w:cs="FrankRuehl" w:hint="cs"/>
          <w:sz w:val="32"/>
          <w:rtl/>
        </w:rPr>
        <w:t xml:space="preserve"> (רוכלים</w:t>
      </w:r>
      <w:r w:rsidR="00DF4603">
        <w:rPr>
          <w:rFonts w:cs="FrankRuehl" w:hint="cs"/>
          <w:sz w:val="32"/>
          <w:rtl/>
        </w:rPr>
        <w:t xml:space="preserve">), </w:t>
      </w:r>
      <w:r w:rsidR="000B47B1">
        <w:rPr>
          <w:rFonts w:cs="FrankRuehl" w:hint="cs"/>
          <w:sz w:val="32"/>
          <w:rtl/>
        </w:rPr>
        <w:t>תשכ"ב-1962</w:t>
      </w:r>
    </w:p>
    <w:p w:rsidR="00DF4603" w:rsidRPr="00DF4603" w:rsidRDefault="00DF4603" w:rsidP="00DF4603">
      <w:pPr>
        <w:spacing w:line="320" w:lineRule="auto"/>
        <w:jc w:val="left"/>
        <w:rPr>
          <w:rFonts w:cs="FrankRuehl"/>
          <w:szCs w:val="26"/>
          <w:rtl/>
        </w:rPr>
      </w:pPr>
    </w:p>
    <w:p w:rsidR="00DF4603" w:rsidRDefault="00DF4603" w:rsidP="00DF4603">
      <w:pPr>
        <w:spacing w:line="320" w:lineRule="auto"/>
        <w:jc w:val="left"/>
        <w:rPr>
          <w:rtl/>
        </w:rPr>
      </w:pPr>
    </w:p>
    <w:p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 </w:t>
            </w:r>
          </w:p>
        </w:tc>
        <w:tc>
          <w:tcPr>
            <w:tcW w:w="5669" w:type="dxa"/>
          </w:tcPr>
          <w:p w:rsidR="00C863C3" w:rsidRPr="00C863C3" w:rsidRDefault="00C863C3" w:rsidP="00C863C3">
            <w:pPr>
              <w:spacing w:line="240" w:lineRule="auto"/>
              <w:jc w:val="left"/>
              <w:rPr>
                <w:rFonts w:cs="Frankruhel"/>
                <w:sz w:val="24"/>
                <w:rtl/>
              </w:rPr>
            </w:pPr>
            <w:r>
              <w:rPr>
                <w:sz w:val="24"/>
                <w:rtl/>
              </w:rPr>
              <w:t>הגדרות</w:t>
            </w:r>
          </w:p>
        </w:tc>
        <w:tc>
          <w:tcPr>
            <w:tcW w:w="567" w:type="dxa"/>
          </w:tcPr>
          <w:p w:rsidR="00C863C3" w:rsidRPr="00C863C3" w:rsidRDefault="00C863C3" w:rsidP="00C863C3">
            <w:pPr>
              <w:spacing w:line="240" w:lineRule="auto"/>
              <w:jc w:val="left"/>
              <w:rPr>
                <w:rStyle w:val="Hyperlink"/>
                <w:rtl/>
              </w:rPr>
            </w:pPr>
            <w:hyperlink w:anchor="Seif1" w:tooltip="הגדר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2 </w:t>
            </w:r>
          </w:p>
        </w:tc>
        <w:tc>
          <w:tcPr>
            <w:tcW w:w="5669" w:type="dxa"/>
          </w:tcPr>
          <w:p w:rsidR="00C863C3" w:rsidRPr="00C863C3" w:rsidRDefault="00C863C3" w:rsidP="00C863C3">
            <w:pPr>
              <w:spacing w:line="240" w:lineRule="auto"/>
              <w:jc w:val="left"/>
              <w:rPr>
                <w:rFonts w:cs="Frankruhel"/>
                <w:sz w:val="24"/>
                <w:rtl/>
              </w:rPr>
            </w:pPr>
            <w:r>
              <w:rPr>
                <w:sz w:val="24"/>
                <w:rtl/>
              </w:rPr>
              <w:t>איסור רוכלות ללא רשיון</w:t>
            </w:r>
          </w:p>
        </w:tc>
        <w:tc>
          <w:tcPr>
            <w:tcW w:w="567" w:type="dxa"/>
          </w:tcPr>
          <w:p w:rsidR="00C863C3" w:rsidRPr="00C863C3" w:rsidRDefault="00C863C3" w:rsidP="00C863C3">
            <w:pPr>
              <w:spacing w:line="240" w:lineRule="auto"/>
              <w:jc w:val="left"/>
              <w:rPr>
                <w:rStyle w:val="Hyperlink"/>
                <w:rtl/>
              </w:rPr>
            </w:pPr>
            <w:hyperlink w:anchor="Seif2" w:tooltip="איסור רוכלות ללא רשיון"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3 </w:t>
            </w:r>
          </w:p>
        </w:tc>
        <w:tc>
          <w:tcPr>
            <w:tcW w:w="5669" w:type="dxa"/>
          </w:tcPr>
          <w:p w:rsidR="00C863C3" w:rsidRPr="00C863C3" w:rsidRDefault="00C863C3" w:rsidP="00C863C3">
            <w:pPr>
              <w:spacing w:line="240" w:lineRule="auto"/>
              <w:jc w:val="left"/>
              <w:rPr>
                <w:rFonts w:cs="Frankruhel"/>
                <w:sz w:val="24"/>
                <w:rtl/>
              </w:rPr>
            </w:pPr>
            <w:r>
              <w:rPr>
                <w:sz w:val="24"/>
                <w:rtl/>
              </w:rPr>
              <w:t>איסור חניה</w:t>
            </w:r>
          </w:p>
        </w:tc>
        <w:tc>
          <w:tcPr>
            <w:tcW w:w="567" w:type="dxa"/>
          </w:tcPr>
          <w:p w:rsidR="00C863C3" w:rsidRPr="00C863C3" w:rsidRDefault="00C863C3" w:rsidP="00C863C3">
            <w:pPr>
              <w:spacing w:line="240" w:lineRule="auto"/>
              <w:jc w:val="left"/>
              <w:rPr>
                <w:rStyle w:val="Hyperlink"/>
                <w:rtl/>
              </w:rPr>
            </w:pPr>
            <w:hyperlink w:anchor="Seif3" w:tooltip="איסור חני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4 </w:t>
            </w:r>
          </w:p>
        </w:tc>
        <w:tc>
          <w:tcPr>
            <w:tcW w:w="5669" w:type="dxa"/>
          </w:tcPr>
          <w:p w:rsidR="00C863C3" w:rsidRPr="00C863C3" w:rsidRDefault="00C863C3" w:rsidP="00C863C3">
            <w:pPr>
              <w:spacing w:line="240" w:lineRule="auto"/>
              <w:jc w:val="left"/>
              <w:rPr>
                <w:rFonts w:cs="Frankruhel"/>
                <w:sz w:val="24"/>
                <w:rtl/>
              </w:rPr>
            </w:pPr>
            <w:r>
              <w:rPr>
                <w:sz w:val="24"/>
                <w:rtl/>
              </w:rPr>
              <w:t>איסור חניה שלא בשעת התעסקות</w:t>
            </w:r>
          </w:p>
        </w:tc>
        <w:tc>
          <w:tcPr>
            <w:tcW w:w="567" w:type="dxa"/>
          </w:tcPr>
          <w:p w:rsidR="00C863C3" w:rsidRPr="00C863C3" w:rsidRDefault="00C863C3" w:rsidP="00C863C3">
            <w:pPr>
              <w:spacing w:line="240" w:lineRule="auto"/>
              <w:jc w:val="left"/>
              <w:rPr>
                <w:rStyle w:val="Hyperlink"/>
                <w:rtl/>
              </w:rPr>
            </w:pPr>
            <w:hyperlink w:anchor="Seif6" w:tooltip="איסור חניה שלא בשעת התעסק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5 </w:t>
            </w:r>
          </w:p>
        </w:tc>
        <w:tc>
          <w:tcPr>
            <w:tcW w:w="5669" w:type="dxa"/>
          </w:tcPr>
          <w:p w:rsidR="00C863C3" w:rsidRPr="00C863C3" w:rsidRDefault="00C863C3" w:rsidP="00C863C3">
            <w:pPr>
              <w:spacing w:line="240" w:lineRule="auto"/>
              <w:jc w:val="left"/>
              <w:rPr>
                <w:rFonts w:cs="Frankruhel"/>
                <w:sz w:val="24"/>
                <w:rtl/>
              </w:rPr>
            </w:pPr>
            <w:r>
              <w:rPr>
                <w:sz w:val="24"/>
                <w:rtl/>
              </w:rPr>
              <w:t>איסור לקשור במבנה</w:t>
            </w:r>
          </w:p>
        </w:tc>
        <w:tc>
          <w:tcPr>
            <w:tcW w:w="567" w:type="dxa"/>
          </w:tcPr>
          <w:p w:rsidR="00C863C3" w:rsidRPr="00C863C3" w:rsidRDefault="00C863C3" w:rsidP="00C863C3">
            <w:pPr>
              <w:spacing w:line="240" w:lineRule="auto"/>
              <w:jc w:val="left"/>
              <w:rPr>
                <w:rStyle w:val="Hyperlink"/>
                <w:rtl/>
              </w:rPr>
            </w:pPr>
            <w:hyperlink w:anchor="Seif4" w:tooltip="איסור לקשור במבנ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6 </w:t>
            </w:r>
          </w:p>
        </w:tc>
        <w:tc>
          <w:tcPr>
            <w:tcW w:w="5669" w:type="dxa"/>
          </w:tcPr>
          <w:p w:rsidR="00C863C3" w:rsidRPr="00C863C3" w:rsidRDefault="00C863C3" w:rsidP="00C863C3">
            <w:pPr>
              <w:spacing w:line="240" w:lineRule="auto"/>
              <w:jc w:val="left"/>
              <w:rPr>
                <w:rFonts w:cs="Frankruhel"/>
                <w:sz w:val="24"/>
                <w:rtl/>
              </w:rPr>
            </w:pPr>
            <w:r>
              <w:rPr>
                <w:sz w:val="24"/>
                <w:rtl/>
              </w:rPr>
              <w:t>איסור רעש</w:t>
            </w:r>
          </w:p>
        </w:tc>
        <w:tc>
          <w:tcPr>
            <w:tcW w:w="567" w:type="dxa"/>
          </w:tcPr>
          <w:p w:rsidR="00C863C3" w:rsidRPr="00C863C3" w:rsidRDefault="00C863C3" w:rsidP="00C863C3">
            <w:pPr>
              <w:spacing w:line="240" w:lineRule="auto"/>
              <w:jc w:val="left"/>
              <w:rPr>
                <w:rStyle w:val="Hyperlink"/>
                <w:rtl/>
              </w:rPr>
            </w:pPr>
            <w:hyperlink w:anchor="Seif5" w:tooltip="איסור רעש"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7 </w:t>
            </w:r>
          </w:p>
        </w:tc>
        <w:tc>
          <w:tcPr>
            <w:tcW w:w="5669" w:type="dxa"/>
          </w:tcPr>
          <w:p w:rsidR="00C863C3" w:rsidRPr="00C863C3" w:rsidRDefault="00C863C3" w:rsidP="00C863C3">
            <w:pPr>
              <w:spacing w:line="240" w:lineRule="auto"/>
              <w:jc w:val="left"/>
              <w:rPr>
                <w:rFonts w:cs="Frankruhel"/>
                <w:sz w:val="24"/>
                <w:rtl/>
              </w:rPr>
            </w:pPr>
            <w:r>
              <w:rPr>
                <w:sz w:val="24"/>
                <w:rtl/>
              </w:rPr>
              <w:t>נקיון</w:t>
            </w:r>
          </w:p>
        </w:tc>
        <w:tc>
          <w:tcPr>
            <w:tcW w:w="567" w:type="dxa"/>
          </w:tcPr>
          <w:p w:rsidR="00C863C3" w:rsidRPr="00C863C3" w:rsidRDefault="00C863C3" w:rsidP="00C863C3">
            <w:pPr>
              <w:spacing w:line="240" w:lineRule="auto"/>
              <w:jc w:val="left"/>
              <w:rPr>
                <w:rStyle w:val="Hyperlink"/>
                <w:rtl/>
              </w:rPr>
            </w:pPr>
            <w:hyperlink w:anchor="Seif7" w:tooltip="נקיון"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8 </w:t>
            </w:r>
          </w:p>
        </w:tc>
        <w:tc>
          <w:tcPr>
            <w:tcW w:w="5669" w:type="dxa"/>
          </w:tcPr>
          <w:p w:rsidR="00C863C3" w:rsidRPr="00C863C3" w:rsidRDefault="00C863C3" w:rsidP="00C863C3">
            <w:pPr>
              <w:spacing w:line="240" w:lineRule="auto"/>
              <w:jc w:val="left"/>
              <w:rPr>
                <w:rFonts w:cs="Frankruhel"/>
                <w:sz w:val="24"/>
                <w:rtl/>
              </w:rPr>
            </w:pPr>
            <w:r>
              <w:rPr>
                <w:sz w:val="24"/>
                <w:rtl/>
              </w:rPr>
              <w:t>שעות הרוכלות</w:t>
            </w:r>
          </w:p>
        </w:tc>
        <w:tc>
          <w:tcPr>
            <w:tcW w:w="567" w:type="dxa"/>
          </w:tcPr>
          <w:p w:rsidR="00C863C3" w:rsidRPr="00C863C3" w:rsidRDefault="00C863C3" w:rsidP="00C863C3">
            <w:pPr>
              <w:spacing w:line="240" w:lineRule="auto"/>
              <w:jc w:val="left"/>
              <w:rPr>
                <w:rStyle w:val="Hyperlink"/>
                <w:rtl/>
              </w:rPr>
            </w:pPr>
            <w:hyperlink w:anchor="Seif8" w:tooltip="שעות הרוכל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9 </w:t>
            </w:r>
          </w:p>
        </w:tc>
        <w:tc>
          <w:tcPr>
            <w:tcW w:w="5669" w:type="dxa"/>
          </w:tcPr>
          <w:p w:rsidR="00C863C3" w:rsidRPr="00C863C3" w:rsidRDefault="00C863C3" w:rsidP="00C863C3">
            <w:pPr>
              <w:spacing w:line="240" w:lineRule="auto"/>
              <w:jc w:val="left"/>
              <w:rPr>
                <w:rFonts w:cs="Frankruhel"/>
                <w:sz w:val="24"/>
                <w:rtl/>
              </w:rPr>
            </w:pPr>
            <w:r>
              <w:rPr>
                <w:sz w:val="24"/>
                <w:rtl/>
              </w:rPr>
              <w:t>היתר התעסקות</w:t>
            </w:r>
          </w:p>
        </w:tc>
        <w:tc>
          <w:tcPr>
            <w:tcW w:w="567" w:type="dxa"/>
          </w:tcPr>
          <w:p w:rsidR="00C863C3" w:rsidRPr="00C863C3" w:rsidRDefault="00C863C3" w:rsidP="00C863C3">
            <w:pPr>
              <w:spacing w:line="240" w:lineRule="auto"/>
              <w:jc w:val="left"/>
              <w:rPr>
                <w:rStyle w:val="Hyperlink"/>
                <w:rtl/>
              </w:rPr>
            </w:pPr>
            <w:hyperlink w:anchor="Seif9" w:tooltip="היתר התעסק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10 </w:t>
            </w:r>
          </w:p>
        </w:tc>
        <w:tc>
          <w:tcPr>
            <w:tcW w:w="5669" w:type="dxa"/>
          </w:tcPr>
          <w:p w:rsidR="00C863C3" w:rsidRPr="00C863C3" w:rsidRDefault="00C863C3" w:rsidP="00C863C3">
            <w:pPr>
              <w:spacing w:line="240" w:lineRule="auto"/>
              <w:jc w:val="left"/>
              <w:rPr>
                <w:rFonts w:cs="Frankruhel"/>
                <w:sz w:val="24"/>
                <w:rtl/>
              </w:rPr>
            </w:pPr>
            <w:r>
              <w:rPr>
                <w:sz w:val="24"/>
                <w:rtl/>
              </w:rPr>
              <w:t>ימי הרוכלות</w:t>
            </w:r>
          </w:p>
        </w:tc>
        <w:tc>
          <w:tcPr>
            <w:tcW w:w="567" w:type="dxa"/>
          </w:tcPr>
          <w:p w:rsidR="00C863C3" w:rsidRPr="00C863C3" w:rsidRDefault="00C863C3" w:rsidP="00C863C3">
            <w:pPr>
              <w:spacing w:line="240" w:lineRule="auto"/>
              <w:jc w:val="left"/>
              <w:rPr>
                <w:rStyle w:val="Hyperlink"/>
                <w:rtl/>
              </w:rPr>
            </w:pPr>
            <w:hyperlink w:anchor="Seif10" w:tooltip="ימי הרוכל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11 </w:t>
            </w:r>
          </w:p>
        </w:tc>
        <w:tc>
          <w:tcPr>
            <w:tcW w:w="5669" w:type="dxa"/>
          </w:tcPr>
          <w:p w:rsidR="00C863C3" w:rsidRPr="00C863C3" w:rsidRDefault="00C863C3" w:rsidP="00C863C3">
            <w:pPr>
              <w:spacing w:line="240" w:lineRule="auto"/>
              <w:jc w:val="left"/>
              <w:rPr>
                <w:rFonts w:cs="Frankruhel"/>
                <w:sz w:val="24"/>
                <w:rtl/>
              </w:rPr>
            </w:pPr>
            <w:r>
              <w:rPr>
                <w:sz w:val="24"/>
                <w:rtl/>
              </w:rPr>
              <w:t>רשיון לשימוש בעגלה</w:t>
            </w:r>
          </w:p>
        </w:tc>
        <w:tc>
          <w:tcPr>
            <w:tcW w:w="567" w:type="dxa"/>
          </w:tcPr>
          <w:p w:rsidR="00C863C3" w:rsidRPr="00C863C3" w:rsidRDefault="00C863C3" w:rsidP="00C863C3">
            <w:pPr>
              <w:spacing w:line="240" w:lineRule="auto"/>
              <w:jc w:val="left"/>
              <w:rPr>
                <w:rStyle w:val="Hyperlink"/>
                <w:rtl/>
              </w:rPr>
            </w:pPr>
            <w:hyperlink w:anchor="Seif11" w:tooltip="רשיון לשימוש בעגל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12 </w:t>
            </w:r>
          </w:p>
        </w:tc>
        <w:tc>
          <w:tcPr>
            <w:tcW w:w="5669" w:type="dxa"/>
          </w:tcPr>
          <w:p w:rsidR="00C863C3" w:rsidRPr="00C863C3" w:rsidRDefault="00C863C3" w:rsidP="00C863C3">
            <w:pPr>
              <w:spacing w:line="240" w:lineRule="auto"/>
              <w:jc w:val="left"/>
              <w:rPr>
                <w:rFonts w:cs="Frankruhel"/>
                <w:sz w:val="24"/>
                <w:rtl/>
              </w:rPr>
            </w:pPr>
            <w:r>
              <w:rPr>
                <w:sz w:val="24"/>
                <w:rtl/>
              </w:rPr>
              <w:t>תוקף הרשיון</w:t>
            </w:r>
          </w:p>
        </w:tc>
        <w:tc>
          <w:tcPr>
            <w:tcW w:w="567" w:type="dxa"/>
          </w:tcPr>
          <w:p w:rsidR="00C863C3" w:rsidRPr="00C863C3" w:rsidRDefault="00C863C3" w:rsidP="00C863C3">
            <w:pPr>
              <w:spacing w:line="240" w:lineRule="auto"/>
              <w:jc w:val="left"/>
              <w:rPr>
                <w:rStyle w:val="Hyperlink"/>
                <w:rtl/>
              </w:rPr>
            </w:pPr>
            <w:hyperlink w:anchor="Seif12" w:tooltip="תוקף הרשיון"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13 </w:t>
            </w:r>
          </w:p>
        </w:tc>
        <w:tc>
          <w:tcPr>
            <w:tcW w:w="5669" w:type="dxa"/>
          </w:tcPr>
          <w:p w:rsidR="00C863C3" w:rsidRPr="00C863C3" w:rsidRDefault="00C863C3" w:rsidP="00C863C3">
            <w:pPr>
              <w:spacing w:line="240" w:lineRule="auto"/>
              <w:jc w:val="left"/>
              <w:rPr>
                <w:rFonts w:cs="Frankruhel"/>
                <w:sz w:val="24"/>
                <w:rtl/>
              </w:rPr>
            </w:pPr>
            <w:r>
              <w:rPr>
                <w:sz w:val="24"/>
                <w:rtl/>
              </w:rPr>
              <w:t>אגרת רשיון</w:t>
            </w:r>
          </w:p>
        </w:tc>
        <w:tc>
          <w:tcPr>
            <w:tcW w:w="567" w:type="dxa"/>
          </w:tcPr>
          <w:p w:rsidR="00C863C3" w:rsidRPr="00C863C3" w:rsidRDefault="00C863C3" w:rsidP="00C863C3">
            <w:pPr>
              <w:spacing w:line="240" w:lineRule="auto"/>
              <w:jc w:val="left"/>
              <w:rPr>
                <w:rStyle w:val="Hyperlink"/>
                <w:rtl/>
              </w:rPr>
            </w:pPr>
            <w:hyperlink w:anchor="Seif13" w:tooltip="אגרת רשיון"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14 </w:t>
            </w:r>
          </w:p>
        </w:tc>
        <w:tc>
          <w:tcPr>
            <w:tcW w:w="5669" w:type="dxa"/>
          </w:tcPr>
          <w:p w:rsidR="00C863C3" w:rsidRPr="00C863C3" w:rsidRDefault="00C863C3" w:rsidP="00C863C3">
            <w:pPr>
              <w:spacing w:line="240" w:lineRule="auto"/>
              <w:jc w:val="left"/>
              <w:rPr>
                <w:rFonts w:cs="Frankruhel"/>
                <w:sz w:val="24"/>
                <w:rtl/>
              </w:rPr>
            </w:pPr>
            <w:r>
              <w:rPr>
                <w:sz w:val="24"/>
                <w:rtl/>
              </w:rPr>
              <w:t>תחולה</w:t>
            </w:r>
          </w:p>
        </w:tc>
        <w:tc>
          <w:tcPr>
            <w:tcW w:w="567" w:type="dxa"/>
          </w:tcPr>
          <w:p w:rsidR="00C863C3" w:rsidRPr="00C863C3" w:rsidRDefault="00C863C3" w:rsidP="00C863C3">
            <w:pPr>
              <w:spacing w:line="240" w:lineRule="auto"/>
              <w:jc w:val="left"/>
              <w:rPr>
                <w:rStyle w:val="Hyperlink"/>
                <w:rtl/>
              </w:rPr>
            </w:pPr>
            <w:hyperlink w:anchor="Seif14" w:tooltip="תחול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15 </w:t>
            </w:r>
          </w:p>
        </w:tc>
        <w:tc>
          <w:tcPr>
            <w:tcW w:w="5669" w:type="dxa"/>
          </w:tcPr>
          <w:p w:rsidR="00C863C3" w:rsidRPr="00C863C3" w:rsidRDefault="00C863C3" w:rsidP="00C863C3">
            <w:pPr>
              <w:spacing w:line="240" w:lineRule="auto"/>
              <w:jc w:val="left"/>
              <w:rPr>
                <w:rFonts w:cs="Frankruhel"/>
                <w:sz w:val="24"/>
                <w:rtl/>
              </w:rPr>
            </w:pPr>
            <w:r>
              <w:rPr>
                <w:sz w:val="24"/>
                <w:rtl/>
              </w:rPr>
              <w:t>מתן רשיונות או סירוב לתיתם</w:t>
            </w:r>
          </w:p>
        </w:tc>
        <w:tc>
          <w:tcPr>
            <w:tcW w:w="567" w:type="dxa"/>
          </w:tcPr>
          <w:p w:rsidR="00C863C3" w:rsidRPr="00C863C3" w:rsidRDefault="00C863C3" w:rsidP="00C863C3">
            <w:pPr>
              <w:spacing w:line="240" w:lineRule="auto"/>
              <w:jc w:val="left"/>
              <w:rPr>
                <w:rStyle w:val="Hyperlink"/>
                <w:rtl/>
              </w:rPr>
            </w:pPr>
            <w:hyperlink w:anchor="Seif15" w:tooltip="מתן רשיונות או סירוב לתיתם"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16 </w:t>
            </w:r>
          </w:p>
        </w:tc>
        <w:tc>
          <w:tcPr>
            <w:tcW w:w="5669" w:type="dxa"/>
          </w:tcPr>
          <w:p w:rsidR="00C863C3" w:rsidRPr="00C863C3" w:rsidRDefault="00C863C3" w:rsidP="00C863C3">
            <w:pPr>
              <w:spacing w:line="240" w:lineRule="auto"/>
              <w:jc w:val="left"/>
              <w:rPr>
                <w:rFonts w:cs="Frankruhel"/>
                <w:sz w:val="24"/>
                <w:rtl/>
              </w:rPr>
            </w:pPr>
            <w:r>
              <w:rPr>
                <w:sz w:val="24"/>
                <w:rtl/>
              </w:rPr>
              <w:t>תבניתן של עגלות</w:t>
            </w:r>
          </w:p>
        </w:tc>
        <w:tc>
          <w:tcPr>
            <w:tcW w:w="567" w:type="dxa"/>
          </w:tcPr>
          <w:p w:rsidR="00C863C3" w:rsidRPr="00C863C3" w:rsidRDefault="00C863C3" w:rsidP="00C863C3">
            <w:pPr>
              <w:spacing w:line="240" w:lineRule="auto"/>
              <w:jc w:val="left"/>
              <w:rPr>
                <w:rStyle w:val="Hyperlink"/>
                <w:rtl/>
              </w:rPr>
            </w:pPr>
            <w:hyperlink w:anchor="Seif16" w:tooltip="תבניתן של עגל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17 </w:t>
            </w:r>
          </w:p>
        </w:tc>
        <w:tc>
          <w:tcPr>
            <w:tcW w:w="5669" w:type="dxa"/>
          </w:tcPr>
          <w:p w:rsidR="00C863C3" w:rsidRPr="00C863C3" w:rsidRDefault="00C863C3" w:rsidP="00C863C3">
            <w:pPr>
              <w:spacing w:line="240" w:lineRule="auto"/>
              <w:jc w:val="left"/>
              <w:rPr>
                <w:rFonts w:cs="Frankruhel"/>
                <w:sz w:val="24"/>
                <w:rtl/>
              </w:rPr>
            </w:pPr>
            <w:r>
              <w:rPr>
                <w:sz w:val="24"/>
                <w:rtl/>
              </w:rPr>
              <w:t>לוחית מספר לעגלה</w:t>
            </w:r>
          </w:p>
        </w:tc>
        <w:tc>
          <w:tcPr>
            <w:tcW w:w="567" w:type="dxa"/>
          </w:tcPr>
          <w:p w:rsidR="00C863C3" w:rsidRPr="00C863C3" w:rsidRDefault="00C863C3" w:rsidP="00C863C3">
            <w:pPr>
              <w:spacing w:line="240" w:lineRule="auto"/>
              <w:jc w:val="left"/>
              <w:rPr>
                <w:rStyle w:val="Hyperlink"/>
                <w:rtl/>
              </w:rPr>
            </w:pPr>
            <w:hyperlink w:anchor="Seif17" w:tooltip="לוחית מספר לעגל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18 </w:t>
            </w:r>
          </w:p>
        </w:tc>
        <w:tc>
          <w:tcPr>
            <w:tcW w:w="5669" w:type="dxa"/>
          </w:tcPr>
          <w:p w:rsidR="00C863C3" w:rsidRPr="00C863C3" w:rsidRDefault="00C863C3" w:rsidP="00C863C3">
            <w:pPr>
              <w:spacing w:line="240" w:lineRule="auto"/>
              <w:jc w:val="left"/>
              <w:rPr>
                <w:rFonts w:cs="Frankruhel"/>
                <w:sz w:val="24"/>
                <w:rtl/>
              </w:rPr>
            </w:pPr>
            <w:r>
              <w:rPr>
                <w:sz w:val="24"/>
                <w:rtl/>
              </w:rPr>
              <w:t>סידור טובין על עגלה</w:t>
            </w:r>
          </w:p>
        </w:tc>
        <w:tc>
          <w:tcPr>
            <w:tcW w:w="567" w:type="dxa"/>
          </w:tcPr>
          <w:p w:rsidR="00C863C3" w:rsidRPr="00C863C3" w:rsidRDefault="00C863C3" w:rsidP="00C863C3">
            <w:pPr>
              <w:spacing w:line="240" w:lineRule="auto"/>
              <w:jc w:val="left"/>
              <w:rPr>
                <w:rStyle w:val="Hyperlink"/>
                <w:rtl/>
              </w:rPr>
            </w:pPr>
            <w:hyperlink w:anchor="Seif18" w:tooltip="סידור טובין על עגל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19 </w:t>
            </w:r>
          </w:p>
        </w:tc>
        <w:tc>
          <w:tcPr>
            <w:tcW w:w="5669" w:type="dxa"/>
          </w:tcPr>
          <w:p w:rsidR="00C863C3" w:rsidRPr="00C863C3" w:rsidRDefault="00C863C3" w:rsidP="00C863C3">
            <w:pPr>
              <w:spacing w:line="240" w:lineRule="auto"/>
              <w:jc w:val="left"/>
              <w:rPr>
                <w:rFonts w:cs="Frankruhel"/>
                <w:sz w:val="24"/>
                <w:rtl/>
              </w:rPr>
            </w:pPr>
            <w:r>
              <w:rPr>
                <w:sz w:val="24"/>
                <w:rtl/>
              </w:rPr>
              <w:t>דרישה לסלק עגלות</w:t>
            </w:r>
          </w:p>
        </w:tc>
        <w:tc>
          <w:tcPr>
            <w:tcW w:w="567" w:type="dxa"/>
          </w:tcPr>
          <w:p w:rsidR="00C863C3" w:rsidRPr="00C863C3" w:rsidRDefault="00C863C3" w:rsidP="00C863C3">
            <w:pPr>
              <w:spacing w:line="240" w:lineRule="auto"/>
              <w:jc w:val="left"/>
              <w:rPr>
                <w:rStyle w:val="Hyperlink"/>
                <w:rtl/>
              </w:rPr>
            </w:pPr>
            <w:hyperlink w:anchor="Seif19" w:tooltip="דרישה לסלק עגל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20 </w:t>
            </w:r>
          </w:p>
        </w:tc>
        <w:tc>
          <w:tcPr>
            <w:tcW w:w="5669" w:type="dxa"/>
          </w:tcPr>
          <w:p w:rsidR="00C863C3" w:rsidRPr="00C863C3" w:rsidRDefault="00C863C3" w:rsidP="00C863C3">
            <w:pPr>
              <w:spacing w:line="240" w:lineRule="auto"/>
              <w:jc w:val="left"/>
              <w:rPr>
                <w:rFonts w:cs="Frankruhel"/>
                <w:sz w:val="24"/>
                <w:rtl/>
              </w:rPr>
            </w:pPr>
            <w:r>
              <w:rPr>
                <w:sz w:val="24"/>
                <w:rtl/>
              </w:rPr>
              <w:t>סילוק עגלות</w:t>
            </w:r>
          </w:p>
        </w:tc>
        <w:tc>
          <w:tcPr>
            <w:tcW w:w="567" w:type="dxa"/>
          </w:tcPr>
          <w:p w:rsidR="00C863C3" w:rsidRPr="00C863C3" w:rsidRDefault="00C863C3" w:rsidP="00C863C3">
            <w:pPr>
              <w:spacing w:line="240" w:lineRule="auto"/>
              <w:jc w:val="left"/>
              <w:rPr>
                <w:rStyle w:val="Hyperlink"/>
                <w:rtl/>
              </w:rPr>
            </w:pPr>
            <w:hyperlink w:anchor="Seif20" w:tooltip="סילוק עגלות"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21 </w:t>
            </w:r>
          </w:p>
        </w:tc>
        <w:tc>
          <w:tcPr>
            <w:tcW w:w="5669" w:type="dxa"/>
          </w:tcPr>
          <w:p w:rsidR="00C863C3" w:rsidRPr="00C863C3" w:rsidRDefault="00C863C3" w:rsidP="00C863C3">
            <w:pPr>
              <w:spacing w:line="240" w:lineRule="auto"/>
              <w:jc w:val="left"/>
              <w:rPr>
                <w:rFonts w:cs="Frankruhel"/>
                <w:sz w:val="24"/>
                <w:rtl/>
              </w:rPr>
            </w:pPr>
            <w:r>
              <w:rPr>
                <w:sz w:val="24"/>
                <w:rtl/>
              </w:rPr>
              <w:t>תפיסת כלים והחרמתם</w:t>
            </w:r>
          </w:p>
        </w:tc>
        <w:tc>
          <w:tcPr>
            <w:tcW w:w="567" w:type="dxa"/>
          </w:tcPr>
          <w:p w:rsidR="00C863C3" w:rsidRPr="00C863C3" w:rsidRDefault="00C863C3" w:rsidP="00C863C3">
            <w:pPr>
              <w:spacing w:line="240" w:lineRule="auto"/>
              <w:jc w:val="left"/>
              <w:rPr>
                <w:rStyle w:val="Hyperlink"/>
                <w:rtl/>
              </w:rPr>
            </w:pPr>
            <w:hyperlink w:anchor="Seif21" w:tooltip="תפיסת כלים והחרמתם"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22 </w:t>
            </w:r>
          </w:p>
        </w:tc>
        <w:tc>
          <w:tcPr>
            <w:tcW w:w="5669" w:type="dxa"/>
          </w:tcPr>
          <w:p w:rsidR="00C863C3" w:rsidRPr="00C863C3" w:rsidRDefault="00C863C3" w:rsidP="00C863C3">
            <w:pPr>
              <w:spacing w:line="240" w:lineRule="auto"/>
              <w:jc w:val="left"/>
              <w:rPr>
                <w:rFonts w:cs="Frankruhel"/>
                <w:sz w:val="24"/>
                <w:rtl/>
              </w:rPr>
            </w:pPr>
            <w:r>
              <w:rPr>
                <w:sz w:val="24"/>
                <w:rtl/>
              </w:rPr>
              <w:t>איסור הפרעה</w:t>
            </w:r>
          </w:p>
        </w:tc>
        <w:tc>
          <w:tcPr>
            <w:tcW w:w="567" w:type="dxa"/>
          </w:tcPr>
          <w:p w:rsidR="00C863C3" w:rsidRPr="00C863C3" w:rsidRDefault="00C863C3" w:rsidP="00C863C3">
            <w:pPr>
              <w:spacing w:line="240" w:lineRule="auto"/>
              <w:jc w:val="left"/>
              <w:rPr>
                <w:rStyle w:val="Hyperlink"/>
                <w:rtl/>
              </w:rPr>
            </w:pPr>
            <w:hyperlink w:anchor="Seif22" w:tooltip="איסור הפרעה"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24 </w:t>
            </w:r>
          </w:p>
        </w:tc>
        <w:tc>
          <w:tcPr>
            <w:tcW w:w="5669" w:type="dxa"/>
          </w:tcPr>
          <w:p w:rsidR="00C863C3" w:rsidRPr="00C863C3" w:rsidRDefault="00C863C3" w:rsidP="00C863C3">
            <w:pPr>
              <w:spacing w:line="240" w:lineRule="auto"/>
              <w:jc w:val="left"/>
              <w:rPr>
                <w:rFonts w:cs="Frankruhel"/>
                <w:sz w:val="24"/>
                <w:rtl/>
              </w:rPr>
            </w:pPr>
            <w:r>
              <w:rPr>
                <w:sz w:val="24"/>
                <w:rtl/>
              </w:rPr>
              <w:t>ביטול</w:t>
            </w:r>
          </w:p>
        </w:tc>
        <w:tc>
          <w:tcPr>
            <w:tcW w:w="567" w:type="dxa"/>
          </w:tcPr>
          <w:p w:rsidR="00C863C3" w:rsidRPr="00C863C3" w:rsidRDefault="00C863C3" w:rsidP="00C863C3">
            <w:pPr>
              <w:spacing w:line="240" w:lineRule="auto"/>
              <w:jc w:val="left"/>
              <w:rPr>
                <w:rStyle w:val="Hyperlink"/>
                <w:rtl/>
              </w:rPr>
            </w:pPr>
            <w:hyperlink w:anchor="Seif23" w:tooltip="ביטול"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863C3" w:rsidRPr="00C863C3" w:rsidTr="00C863C3">
        <w:tblPrEx>
          <w:tblCellMar>
            <w:top w:w="0" w:type="dxa"/>
            <w:bottom w:w="0" w:type="dxa"/>
          </w:tblCellMar>
        </w:tblPrEx>
        <w:tc>
          <w:tcPr>
            <w:tcW w:w="1247" w:type="dxa"/>
          </w:tcPr>
          <w:p w:rsidR="00C863C3" w:rsidRPr="00C863C3" w:rsidRDefault="00C863C3" w:rsidP="00C863C3">
            <w:pPr>
              <w:spacing w:line="240" w:lineRule="auto"/>
              <w:jc w:val="left"/>
              <w:rPr>
                <w:rFonts w:cs="Frankruhel"/>
                <w:sz w:val="24"/>
                <w:rtl/>
              </w:rPr>
            </w:pPr>
            <w:r>
              <w:rPr>
                <w:sz w:val="24"/>
                <w:rtl/>
              </w:rPr>
              <w:t xml:space="preserve">סעיף 25 </w:t>
            </w:r>
          </w:p>
        </w:tc>
        <w:tc>
          <w:tcPr>
            <w:tcW w:w="5669" w:type="dxa"/>
          </w:tcPr>
          <w:p w:rsidR="00C863C3" w:rsidRPr="00C863C3" w:rsidRDefault="00C863C3" w:rsidP="00C863C3">
            <w:pPr>
              <w:spacing w:line="240" w:lineRule="auto"/>
              <w:jc w:val="left"/>
              <w:rPr>
                <w:rFonts w:cs="Frankruhel"/>
                <w:sz w:val="24"/>
                <w:rtl/>
              </w:rPr>
            </w:pPr>
            <w:r>
              <w:rPr>
                <w:sz w:val="24"/>
                <w:rtl/>
              </w:rPr>
              <w:t>השם</w:t>
            </w:r>
          </w:p>
        </w:tc>
        <w:tc>
          <w:tcPr>
            <w:tcW w:w="567" w:type="dxa"/>
          </w:tcPr>
          <w:p w:rsidR="00C863C3" w:rsidRPr="00C863C3" w:rsidRDefault="00C863C3" w:rsidP="00C863C3">
            <w:pPr>
              <w:spacing w:line="240" w:lineRule="auto"/>
              <w:jc w:val="left"/>
              <w:rPr>
                <w:rStyle w:val="Hyperlink"/>
                <w:rtl/>
              </w:rPr>
            </w:pPr>
            <w:hyperlink w:anchor="Seif24" w:tooltip="השם" w:history="1">
              <w:r w:rsidRPr="00C863C3">
                <w:rPr>
                  <w:rStyle w:val="Hyperlink"/>
                </w:rPr>
                <w:t>Go</w:t>
              </w:r>
            </w:hyperlink>
          </w:p>
        </w:tc>
        <w:tc>
          <w:tcPr>
            <w:tcW w:w="850" w:type="dxa"/>
          </w:tcPr>
          <w:p w:rsidR="00C863C3" w:rsidRPr="00C863C3" w:rsidRDefault="00C863C3" w:rsidP="00C863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0B47B1">
      <w:pPr>
        <w:pStyle w:val="big-header"/>
        <w:ind w:left="0" w:right="1134"/>
        <w:outlineLvl w:val="0"/>
        <w:rPr>
          <w:rFonts w:cs="FrankRuehl"/>
          <w:sz w:val="32"/>
        </w:rPr>
      </w:pPr>
      <w:r>
        <w:rPr>
          <w:rtl/>
        </w:rPr>
        <w:br w:type="page"/>
      </w:r>
      <w:r w:rsidR="007546B3">
        <w:rPr>
          <w:rFonts w:cs="FrankRuehl" w:hint="cs"/>
          <w:sz w:val="32"/>
          <w:rtl/>
        </w:rPr>
        <w:lastRenderedPageBreak/>
        <w:t xml:space="preserve">חוק עזר </w:t>
      </w:r>
      <w:r w:rsidR="000B47B1">
        <w:rPr>
          <w:rFonts w:cs="FrankRuehl" w:hint="cs"/>
          <w:sz w:val="32"/>
          <w:rtl/>
        </w:rPr>
        <w:t>לירושלים</w:t>
      </w:r>
      <w:r w:rsidR="007546B3">
        <w:rPr>
          <w:rFonts w:cs="FrankRuehl" w:hint="cs"/>
          <w:sz w:val="32"/>
          <w:rtl/>
        </w:rPr>
        <w:t xml:space="preserve"> (רוכלים), </w:t>
      </w:r>
      <w:r w:rsidR="000B47B1">
        <w:rPr>
          <w:rFonts w:cs="FrankRuehl" w:hint="cs"/>
          <w:sz w:val="32"/>
          <w:rtl/>
        </w:rPr>
        <w:t>תשכ"ב-1962</w:t>
      </w:r>
      <w:r>
        <w:rPr>
          <w:rStyle w:val="a6"/>
          <w:rFonts w:cs="FrankRuehl"/>
          <w:sz w:val="32"/>
          <w:rtl/>
        </w:rPr>
        <w:footnoteReference w:customMarkFollows="1" w:id="1"/>
        <w:t>*</w:t>
      </w:r>
    </w:p>
    <w:p w:rsidR="0091524D" w:rsidRDefault="0091524D" w:rsidP="001A344B">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1A344B">
        <w:rPr>
          <w:rFonts w:cs="FrankRuehl" w:hint="cs"/>
          <w:rtl/>
          <w:lang w:val="he-IL"/>
        </w:rPr>
        <w:t>סעיף 99 לפקודת העיריות, 1934,</w:t>
      </w:r>
      <w:r w:rsidR="00066298">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 xml:space="preserve">ית </w:t>
      </w:r>
      <w:r w:rsidR="001A344B">
        <w:rPr>
          <w:rFonts w:cs="FrankRuehl" w:hint="cs"/>
          <w:rtl/>
          <w:lang w:val="he-IL"/>
        </w:rPr>
        <w:t xml:space="preserve">ירושלים </w:t>
      </w:r>
      <w:r>
        <w:rPr>
          <w:rFonts w:cs="FrankRuehl"/>
          <w:rtl/>
          <w:lang w:val="he-IL"/>
        </w:rPr>
        <w:t>חוק עזר</w:t>
      </w:r>
      <w:r>
        <w:rPr>
          <w:rFonts w:cs="FrankRuehl" w:hint="cs"/>
          <w:rtl/>
          <w:lang w:val="he-IL"/>
        </w:rPr>
        <w:t xml:space="preserve"> זה:</w:t>
      </w:r>
    </w:p>
    <w:p w:rsidR="0091524D" w:rsidRDefault="0091524D">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44928" o:allowincell="f" filled="f" stroked="f" strokecolor="lime" strokeweight=".25pt">
            <v:textbox style="mso-next-textbox:#_x0000_s1026" inset="0,0,0,0">
              <w:txbxContent>
                <w:p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DF4603" w:rsidRDefault="00DF4603" w:rsidP="001A344B">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כל שולחן או כלי אחר המשמשים להחזקת טובין </w:t>
      </w:r>
      <w:r w:rsidR="001A344B">
        <w:rPr>
          <w:rStyle w:val="default"/>
          <w:rFonts w:hint="cs"/>
          <w:rtl/>
        </w:rPr>
        <w:t xml:space="preserve">לשם </w:t>
      </w:r>
      <w:r>
        <w:rPr>
          <w:rStyle w:val="default"/>
          <w:rFonts w:hint="cs"/>
          <w:rtl/>
        </w:rPr>
        <w:t>מכירתם;</w:t>
      </w:r>
    </w:p>
    <w:p w:rsidR="00340AFB" w:rsidRDefault="00340AFB" w:rsidP="001A344B">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בפקודת ימי מנוחה, תש"ח-1948, כימי מנוחה </w:t>
      </w:r>
      <w:r w:rsidR="001A344B">
        <w:rPr>
          <w:rStyle w:val="default"/>
          <w:rtl/>
        </w:rPr>
        <w:t>–</w:t>
      </w:r>
      <w:r>
        <w:rPr>
          <w:rStyle w:val="default"/>
          <w:rFonts w:hint="cs"/>
          <w:rtl/>
        </w:rPr>
        <w:t xml:space="preserve"> תחילתם חצי שעה לפני שקיעת החמה בערבי ימי מנוחה וסופם </w:t>
      </w:r>
      <w:r w:rsidR="001A344B">
        <w:rPr>
          <w:rStyle w:val="default"/>
          <w:rFonts w:hint="cs"/>
          <w:rtl/>
        </w:rPr>
        <w:t xml:space="preserve">חצי שעה אחרי שקיעת החמה </w:t>
      </w:r>
      <w:r>
        <w:rPr>
          <w:rStyle w:val="default"/>
          <w:rFonts w:hint="cs"/>
          <w:rtl/>
        </w:rPr>
        <w:t>במוצאי ימי מנוחה עם צאת הכוכבים;</w:t>
      </w:r>
    </w:p>
    <w:p w:rsidR="00DF4603" w:rsidRDefault="00DF4603" w:rsidP="00340AFB">
      <w:pPr>
        <w:pStyle w:val="P00"/>
        <w:spacing w:before="72"/>
        <w:ind w:left="0" w:right="1134"/>
        <w:rPr>
          <w:rStyle w:val="default"/>
          <w:rFonts w:hint="cs"/>
          <w:rtl/>
        </w:rPr>
      </w:pPr>
      <w:r>
        <w:rPr>
          <w:rStyle w:val="default"/>
          <w:rFonts w:hint="cs"/>
          <w:rtl/>
        </w:rPr>
        <w:tab/>
        <w:t>"</w:t>
      </w:r>
      <w:r w:rsidR="001A344B">
        <w:rPr>
          <w:rStyle w:val="default"/>
          <w:rFonts w:hint="cs"/>
          <w:rtl/>
        </w:rPr>
        <w:t>ה</w:t>
      </w:r>
      <w:r>
        <w:rPr>
          <w:rStyle w:val="default"/>
          <w:rFonts w:hint="cs"/>
          <w:rtl/>
        </w:rPr>
        <w:t xml:space="preserve">מפקח" </w:t>
      </w:r>
      <w:r>
        <w:rPr>
          <w:rStyle w:val="default"/>
          <w:rtl/>
        </w:rPr>
        <w:t>–</w:t>
      </w:r>
      <w:r>
        <w:rPr>
          <w:rStyle w:val="default"/>
          <w:rFonts w:hint="cs"/>
          <w:rtl/>
        </w:rPr>
        <w:t xml:space="preserve"> מי שראש העיריה הרשהו בכתב לפקח על מילוי הוראות חוק עזר זה;</w:t>
      </w:r>
    </w:p>
    <w:p w:rsidR="00340AFB" w:rsidRDefault="00340AFB" w:rsidP="001A344B">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 כלי הובלה, הנסחב או הנדחף בכוח מיכני, בכוח אדם או בכוח בעל חיים;</w:t>
      </w:r>
    </w:p>
    <w:p w:rsidR="006A2C45" w:rsidRDefault="006A2C45" w:rsidP="001A344B">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1A344B">
        <w:rPr>
          <w:rStyle w:val="default"/>
          <w:rFonts w:hint="cs"/>
          <w:rtl/>
        </w:rPr>
        <w:t>ירושלים</w:t>
      </w:r>
      <w:r>
        <w:rPr>
          <w:rStyle w:val="default"/>
          <w:rFonts w:hint="cs"/>
          <w:rtl/>
        </w:rPr>
        <w:t>;</w:t>
      </w:r>
    </w:p>
    <w:p w:rsidR="006A2C45" w:rsidRDefault="006A2C45" w:rsidP="001A344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סמכויותיו לפי </w:t>
      </w:r>
      <w:r>
        <w:rPr>
          <w:rStyle w:val="default"/>
          <w:rFonts w:hint="cs"/>
          <w:rtl/>
        </w:rPr>
        <w:t>חוק עזר זה</w:t>
      </w:r>
      <w:r w:rsidR="00182A86">
        <w:rPr>
          <w:rStyle w:val="default"/>
          <w:rFonts w:hint="cs"/>
          <w:rtl/>
        </w:rPr>
        <w:t>, כולן או מקצתן;</w:t>
      </w:r>
    </w:p>
    <w:p w:rsidR="005C2037" w:rsidRDefault="005C2037" w:rsidP="001A344B">
      <w:pPr>
        <w:pStyle w:val="P00"/>
        <w:spacing w:before="72"/>
        <w:ind w:left="0" w:right="1134"/>
        <w:rPr>
          <w:rStyle w:val="default"/>
          <w:rFonts w:hint="cs"/>
          <w:rtl/>
        </w:rPr>
      </w:pPr>
      <w:r>
        <w:rPr>
          <w:rStyle w:val="default"/>
          <w:rFonts w:hint="cs"/>
          <w:rtl/>
        </w:rPr>
        <w:tab/>
        <w:t xml:space="preserve">"רוכל" </w:t>
      </w:r>
      <w:r>
        <w:rPr>
          <w:rStyle w:val="default"/>
          <w:rtl/>
        </w:rPr>
        <w:t>–</w:t>
      </w:r>
      <w:r>
        <w:rPr>
          <w:rStyle w:val="default"/>
          <w:rFonts w:hint="cs"/>
          <w:rtl/>
        </w:rPr>
        <w:t xml:space="preserve"> </w:t>
      </w:r>
      <w:r w:rsidR="001A344B">
        <w:rPr>
          <w:rStyle w:val="default"/>
          <w:rFonts w:hint="cs"/>
          <w:rtl/>
        </w:rPr>
        <w:t xml:space="preserve">כמשמעותו </w:t>
      </w:r>
      <w:r w:rsidR="007C1296">
        <w:rPr>
          <w:rStyle w:val="default"/>
          <w:rFonts w:hint="cs"/>
          <w:rtl/>
        </w:rPr>
        <w:t>בפקודת המלאכות והתעשיות (הסדרתן).</w:t>
      </w:r>
    </w:p>
    <w:p w:rsidR="0091524D" w:rsidRDefault="0091524D" w:rsidP="00F80B63">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3.65pt;z-index:251645952" o:allowincell="f" filled="f" stroked="f" strokecolor="lime" strokeweight=".25pt">
            <v:textbox style="mso-next-textbox:#_x0000_s1027" inset="0,0,0,0">
              <w:txbxContent>
                <w:p w:rsidR="00776ECA" w:rsidRDefault="00F80B63" w:rsidP="002470F4">
                  <w:pPr>
                    <w:spacing w:line="160" w:lineRule="exact"/>
                    <w:jc w:val="left"/>
                    <w:rPr>
                      <w:rFonts w:cs="Miriam" w:hint="cs"/>
                      <w:sz w:val="18"/>
                      <w:szCs w:val="18"/>
                      <w:rtl/>
                    </w:rPr>
                  </w:pPr>
                  <w:r>
                    <w:rPr>
                      <w:rFonts w:cs="Miriam" w:hint="cs"/>
                      <w:sz w:val="18"/>
                      <w:szCs w:val="18"/>
                      <w:rtl/>
                    </w:rPr>
                    <w:t>איסור רוכלות ללא רשיון</w:t>
                  </w:r>
                </w:p>
              </w:txbxContent>
            </v:textbox>
            <w10:anchorlock/>
          </v:rect>
        </w:pict>
      </w:r>
      <w:r>
        <w:rPr>
          <w:rStyle w:val="big-number"/>
          <w:rFonts w:cs="Miriam"/>
          <w:rtl/>
        </w:rPr>
        <w:t>2.</w:t>
      </w:r>
      <w:r>
        <w:rPr>
          <w:rStyle w:val="big-number"/>
          <w:rFonts w:cs="Miriam"/>
          <w:rtl/>
        </w:rPr>
        <w:tab/>
      </w:r>
      <w:r w:rsidR="007C1296">
        <w:rPr>
          <w:rFonts w:cs="FrankRuehl" w:hint="cs"/>
          <w:rtl/>
          <w:lang w:eastAsia="en-US"/>
        </w:rPr>
        <w:t xml:space="preserve">לא יעסוק רוכל בעסקו </w:t>
      </w:r>
      <w:r w:rsidR="00F80B63">
        <w:rPr>
          <w:rFonts w:cs="FrankRuehl" w:hint="cs"/>
          <w:rtl/>
          <w:lang w:eastAsia="en-US"/>
        </w:rPr>
        <w:t>בכל מקום בתחום העיריה,</w:t>
      </w:r>
      <w:r w:rsidR="007C1296">
        <w:rPr>
          <w:rFonts w:cs="FrankRuehl" w:hint="cs"/>
          <w:rtl/>
          <w:lang w:eastAsia="en-US"/>
        </w:rPr>
        <w:t xml:space="preserve"> בין באמצעות עגלה ובין בצורה אחרת</w:t>
      </w:r>
      <w:r w:rsidR="00F80B63">
        <w:rPr>
          <w:rFonts w:cs="FrankRuehl" w:hint="cs"/>
          <w:rtl/>
          <w:lang w:eastAsia="en-US"/>
        </w:rPr>
        <w:t>,</w:t>
      </w:r>
      <w:r w:rsidR="007C1296">
        <w:rPr>
          <w:rFonts w:cs="FrankRuehl" w:hint="cs"/>
          <w:rtl/>
          <w:lang w:eastAsia="en-US"/>
        </w:rPr>
        <w:t xml:space="preserve"> </w:t>
      </w:r>
      <w:r w:rsidR="00F80B63">
        <w:rPr>
          <w:rFonts w:cs="FrankRuehl" w:hint="cs"/>
          <w:rtl/>
          <w:lang w:eastAsia="en-US"/>
        </w:rPr>
        <w:t>ללא רשיון לפי חוק עזר זה או לפי כל דין אחר</w:t>
      </w:r>
      <w:r w:rsidR="001B3849">
        <w:rPr>
          <w:rFonts w:cs="FrankRuehl" w:hint="cs"/>
          <w:rtl/>
          <w:lang w:eastAsia="en-US"/>
        </w:rPr>
        <w:t>.</w:t>
      </w:r>
    </w:p>
    <w:p w:rsidR="0091524D" w:rsidRDefault="0091524D" w:rsidP="007C1296">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2.5pt;z-index:251646976" o:allowincell="f" filled="f" stroked="f" strokecolor="lime" strokeweight=".25pt">
            <v:textbox style="mso-next-textbox:#_x0000_s1028" inset="0,0,0,0">
              <w:txbxContent>
                <w:p w:rsidR="00C1768A" w:rsidRDefault="007C1296" w:rsidP="006A287D">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3.</w:t>
      </w:r>
      <w:r>
        <w:rPr>
          <w:rStyle w:val="big-number"/>
          <w:rFonts w:cs="Miriam"/>
          <w:rtl/>
        </w:rPr>
        <w:tab/>
      </w:r>
      <w:r w:rsidR="007C1296">
        <w:rPr>
          <w:rFonts w:cs="FrankRuehl" w:hint="cs"/>
          <w:rtl/>
          <w:lang w:eastAsia="en-US"/>
        </w:rPr>
        <w:t>לא יעמיד רוכל ולא יגרום להעמיד עגלה, דוכן, תבנית, מגש או טובין בתחומי 30 מטר מגן ילדים, מבית ספר, מבית כנסת, ממגרש משחקים, מגינה או מגן ציבוריים, ובלבד שרוכל בצרכי דת מותר לו תוך שבעה ימים לפני חג לעסוק בעסקו סמוך לבית כנסת</w:t>
      </w:r>
      <w:r w:rsidR="00CC4BAD">
        <w:rPr>
          <w:rFonts w:cs="FrankRuehl" w:hint="cs"/>
          <w:rtl/>
          <w:lang w:eastAsia="en-US"/>
        </w:rPr>
        <w:t>.</w:t>
      </w:r>
    </w:p>
    <w:p w:rsidR="007C1296" w:rsidRDefault="0091524D" w:rsidP="007C1296">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22.85pt;z-index:251650048" filled="f" stroked="f" strokecolor="lime" strokeweight=".25pt">
            <v:textbox style="mso-next-textbox:#_x0000_s1067" inset="0,0,0,0">
              <w:txbxContent>
                <w:p w:rsidR="00C1768A" w:rsidRDefault="007C1296" w:rsidP="00C1768A">
                  <w:pPr>
                    <w:spacing w:line="160" w:lineRule="exact"/>
                    <w:jc w:val="left"/>
                    <w:rPr>
                      <w:rFonts w:cs="Miriam" w:hint="cs"/>
                      <w:sz w:val="18"/>
                      <w:szCs w:val="18"/>
                      <w:rtl/>
                    </w:rPr>
                  </w:pPr>
                  <w:r>
                    <w:rPr>
                      <w:rFonts w:cs="Miriam" w:hint="cs"/>
                      <w:sz w:val="18"/>
                      <w:szCs w:val="18"/>
                      <w:rtl/>
                    </w:rPr>
                    <w:t>איסור חניה שלא בשעת התעסקות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7C1296">
        <w:rPr>
          <w:rStyle w:val="default"/>
          <w:rFonts w:hint="cs"/>
          <w:rtl/>
        </w:rPr>
        <w:t>לא יעמיד רוכל ולא יגרום להעמיד ברחוב או במקום ציבורי עגלה, דוכן, תבנית, מגש או טובין שלא בשעת עיסוקו או כשאיננו נמצא במקום.</w:t>
      </w:r>
    </w:p>
    <w:p w:rsidR="00885311" w:rsidRDefault="0091524D" w:rsidP="00885311">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16.3pt;z-index:251648000" o:allowincell="f" filled="f" stroked="f" strokecolor="lime" strokeweight=".25pt">
            <v:textbox style="mso-next-textbox:#_x0000_s1029" inset="0,0,0,0">
              <w:txbxContent>
                <w:p w:rsidR="00776ECA" w:rsidRDefault="00885311">
                  <w:pPr>
                    <w:spacing w:line="160" w:lineRule="exact"/>
                    <w:jc w:val="left"/>
                    <w:rPr>
                      <w:rFonts w:cs="Miriam" w:hint="cs"/>
                      <w:sz w:val="18"/>
                      <w:szCs w:val="18"/>
                      <w:rtl/>
                    </w:rPr>
                  </w:pPr>
                  <w:r>
                    <w:rPr>
                      <w:rFonts w:cs="Miriam" w:hint="cs"/>
                      <w:sz w:val="18"/>
                      <w:szCs w:val="18"/>
                      <w:rtl/>
                    </w:rPr>
                    <w:t>איסור לקשור במבנה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885311">
        <w:rPr>
          <w:rStyle w:val="default"/>
          <w:rFonts w:hint="cs"/>
          <w:rtl/>
        </w:rPr>
        <w:t>לא יקשור רוכל עגלה, דוכן, תבנית או מגש, בכל צורה שהיא, לבנין, לגדר, לעמוד או למבנה אחר.</w:t>
      </w:r>
    </w:p>
    <w:p w:rsidR="008C4954" w:rsidRDefault="0091524D" w:rsidP="00712589">
      <w:pPr>
        <w:pStyle w:val="P00"/>
        <w:spacing w:before="72"/>
        <w:ind w:left="0" w:right="1134"/>
        <w:rPr>
          <w:rStyle w:val="default"/>
          <w:rFonts w:hint="cs"/>
          <w:rtl/>
        </w:rPr>
      </w:pPr>
      <w:bookmarkStart w:id="5" w:name="Seif5"/>
      <w:bookmarkEnd w:id="5"/>
      <w:r>
        <w:rPr>
          <w:lang w:val="he-IL"/>
        </w:rPr>
        <w:pict>
          <v:rect id="_x0000_s1031" style="position:absolute;left:0;text-align:left;margin-left:464.5pt;margin-top:8.05pt;width:75.05pt;height:23pt;z-index:251649024" o:allowincell="f" filled="f" stroked="f" strokecolor="lime" strokeweight=".25pt">
            <v:textbox style="mso-next-textbox:#_x0000_s1031" inset="0,0,0,0">
              <w:txbxContent>
                <w:p w:rsidR="00776ECA" w:rsidRDefault="008C4954">
                  <w:pPr>
                    <w:spacing w:line="160" w:lineRule="exact"/>
                    <w:jc w:val="left"/>
                    <w:rPr>
                      <w:rFonts w:cs="Miriam" w:hint="cs"/>
                      <w:noProof/>
                      <w:sz w:val="18"/>
                      <w:szCs w:val="18"/>
                      <w:rtl/>
                    </w:rPr>
                  </w:pPr>
                  <w:r>
                    <w:rPr>
                      <w:rFonts w:cs="Miriam" w:hint="cs"/>
                      <w:sz w:val="18"/>
                      <w:szCs w:val="18"/>
                      <w:rtl/>
                    </w:rPr>
                    <w:t>איסור רעש</w:t>
                  </w:r>
                </w:p>
                <w:p w:rsidR="00712589" w:rsidRDefault="00712589">
                  <w:pPr>
                    <w:spacing w:line="160" w:lineRule="exact"/>
                    <w:jc w:val="left"/>
                    <w:rPr>
                      <w:rFonts w:cs="Miriam" w:hint="cs"/>
                      <w:noProof/>
                      <w:sz w:val="18"/>
                      <w:szCs w:val="18"/>
                      <w:rtl/>
                    </w:rPr>
                  </w:pPr>
                  <w:r>
                    <w:rPr>
                      <w:rFonts w:cs="Miriam" w:hint="cs"/>
                      <w:noProof/>
                      <w:sz w:val="18"/>
                      <w:szCs w:val="18"/>
                      <w:rtl/>
                    </w:rPr>
                    <w:t>תיקון תשכ"ט-1969</w:t>
                  </w:r>
                </w:p>
              </w:txbxContent>
            </v:textbox>
            <w10:anchorlock/>
          </v:rect>
        </w:pict>
      </w:r>
      <w:r>
        <w:rPr>
          <w:rStyle w:val="big-number"/>
          <w:rFonts w:cs="Miriam"/>
          <w:rtl/>
        </w:rPr>
        <w:t>6.</w:t>
      </w:r>
      <w:r>
        <w:rPr>
          <w:rStyle w:val="big-number"/>
          <w:rFonts w:cs="Miriam"/>
          <w:rtl/>
        </w:rPr>
        <w:tab/>
      </w:r>
      <w:r w:rsidR="008C4954">
        <w:rPr>
          <w:rStyle w:val="default"/>
          <w:rFonts w:hint="cs"/>
          <w:rtl/>
        </w:rPr>
        <w:t xml:space="preserve">לא יכריז רוכל על טובין או על אומנותו </w:t>
      </w:r>
      <w:r w:rsidR="00712589">
        <w:rPr>
          <w:rStyle w:val="default"/>
          <w:rFonts w:hint="cs"/>
          <w:rtl/>
        </w:rPr>
        <w:t>בקול רם</w:t>
      </w:r>
      <w:r w:rsidR="008C4954">
        <w:rPr>
          <w:rStyle w:val="default"/>
          <w:rFonts w:hint="cs"/>
          <w:rtl/>
        </w:rPr>
        <w:t>.</w:t>
      </w:r>
    </w:p>
    <w:p w:rsidR="007B535C" w:rsidRDefault="007B535C" w:rsidP="002B3A03">
      <w:pPr>
        <w:pStyle w:val="P00"/>
        <w:spacing w:before="72"/>
        <w:ind w:left="0" w:right="1134"/>
        <w:rPr>
          <w:rStyle w:val="default"/>
          <w:rFonts w:ascii="Times New Roman" w:hAnsi="Times New Roman" w:hint="cs"/>
          <w:rtl/>
        </w:rPr>
      </w:pPr>
      <w:bookmarkStart w:id="6" w:name="Seif7"/>
      <w:bookmarkEnd w:id="6"/>
      <w:r>
        <w:rPr>
          <w:lang w:val="he-IL"/>
        </w:rPr>
        <w:pict>
          <v:rect id="_x0000_s1193" style="position:absolute;left:0;text-align:left;margin-left:464.5pt;margin-top:8.05pt;width:75.05pt;height:13.05pt;z-index:251651072" o:allowincell="f" filled="f" stroked="f" strokecolor="lime" strokeweight=".25pt">
            <v:textbox style="mso-next-textbox:#_x0000_s1193" inset="0,0,0,0">
              <w:txbxContent>
                <w:p w:rsidR="00776ECA" w:rsidRDefault="002B3A03" w:rsidP="007B535C">
                  <w:pPr>
                    <w:spacing w:line="160" w:lineRule="exact"/>
                    <w:jc w:val="left"/>
                    <w:rPr>
                      <w:rFonts w:cs="Miriam" w:hint="cs"/>
                      <w:noProof/>
                      <w:sz w:val="18"/>
                      <w:szCs w:val="18"/>
                      <w:rtl/>
                    </w:rPr>
                  </w:pPr>
                  <w:r>
                    <w:rPr>
                      <w:rFonts w:cs="Miriam" w:hint="cs"/>
                      <w:noProof/>
                      <w:sz w:val="18"/>
                      <w:szCs w:val="18"/>
                      <w:rtl/>
                    </w:rPr>
                    <w:t>נקיון</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2B3A03">
        <w:rPr>
          <w:rStyle w:val="default"/>
          <w:rFonts w:hint="cs"/>
          <w:rtl/>
        </w:rPr>
        <w:t>לא ילכלך רוכל ולא יגרום שילכלכו את השטח שליד מקום עסקו.</w:t>
      </w:r>
    </w:p>
    <w:p w:rsidR="00B743D7" w:rsidRDefault="007B535C" w:rsidP="00B743D7">
      <w:pPr>
        <w:pStyle w:val="P00"/>
        <w:spacing w:before="72"/>
        <w:ind w:left="0" w:right="1134"/>
        <w:rPr>
          <w:rStyle w:val="default"/>
          <w:rFonts w:hint="cs"/>
          <w:rtl/>
        </w:rPr>
      </w:pPr>
      <w:bookmarkStart w:id="7" w:name="Seif8"/>
      <w:bookmarkEnd w:id="7"/>
      <w:r>
        <w:rPr>
          <w:lang w:val="he-IL"/>
        </w:rPr>
        <w:lastRenderedPageBreak/>
        <w:pict>
          <v:rect id="_x0000_s1194" style="position:absolute;left:0;text-align:left;margin-left:464.5pt;margin-top:8.05pt;width:75.05pt;height:22.35pt;z-index:251652096" o:allowincell="f" filled="f" stroked="f" strokecolor="lime" strokeweight=".25pt">
            <v:textbox style="mso-next-textbox:#_x0000_s1194" inset="0,0,0,0">
              <w:txbxContent>
                <w:p w:rsidR="00776ECA" w:rsidRDefault="00B743D7" w:rsidP="006A2CDC">
                  <w:pPr>
                    <w:spacing w:line="160" w:lineRule="exact"/>
                    <w:jc w:val="left"/>
                    <w:rPr>
                      <w:rFonts w:cs="Miriam" w:hint="cs"/>
                      <w:noProof/>
                      <w:sz w:val="18"/>
                      <w:szCs w:val="18"/>
                      <w:rtl/>
                    </w:rPr>
                  </w:pPr>
                  <w:r>
                    <w:rPr>
                      <w:rFonts w:cs="Miriam" w:hint="cs"/>
                      <w:sz w:val="18"/>
                      <w:szCs w:val="18"/>
                      <w:rtl/>
                    </w:rPr>
                    <w:t>שעות הרוכלות</w:t>
                  </w:r>
                </w:p>
                <w:p w:rsidR="00A67CD4" w:rsidRDefault="00A67CD4" w:rsidP="006A2CDC">
                  <w:pPr>
                    <w:spacing w:line="160" w:lineRule="exact"/>
                    <w:jc w:val="left"/>
                    <w:rPr>
                      <w:rFonts w:cs="Miriam" w:hint="cs"/>
                      <w:noProof/>
                      <w:sz w:val="18"/>
                      <w:szCs w:val="18"/>
                      <w:rtl/>
                    </w:rPr>
                  </w:pPr>
                  <w:r>
                    <w:rPr>
                      <w:rFonts w:cs="Miriam" w:hint="cs"/>
                      <w:noProof/>
                      <w:sz w:val="18"/>
                      <w:szCs w:val="18"/>
                      <w:rtl/>
                    </w:rPr>
                    <w:t>תיקון תשכ"ו-1965</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A67CD4">
        <w:rPr>
          <w:rStyle w:val="default"/>
          <w:rFonts w:hint="cs"/>
          <w:rtl/>
        </w:rPr>
        <w:t>(א)</w:t>
      </w:r>
      <w:r w:rsidR="00A67CD4">
        <w:rPr>
          <w:rStyle w:val="default"/>
          <w:rFonts w:hint="cs"/>
          <w:rtl/>
        </w:rPr>
        <w:tab/>
      </w:r>
      <w:r w:rsidR="00B743D7">
        <w:rPr>
          <w:rStyle w:val="default"/>
          <w:rFonts w:hint="cs"/>
          <w:rtl/>
        </w:rPr>
        <w:t>לא יעסוק רוכל בעסקו אלא בשעות שבין 06 לבין 19.</w:t>
      </w:r>
    </w:p>
    <w:p w:rsidR="00A67CD4" w:rsidRDefault="00A67CD4" w:rsidP="00A109B3">
      <w:pPr>
        <w:pStyle w:val="P00"/>
        <w:spacing w:before="72"/>
        <w:ind w:left="0" w:right="1134"/>
        <w:rPr>
          <w:rStyle w:val="default"/>
          <w:rFonts w:hint="cs"/>
          <w:rtl/>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1243" type="#_x0000_t202" style="position:absolute;left:0;text-align:left;margin-left:470.25pt;margin-top:7.1pt;width:1in;height:20.2pt;z-index:251670528" filled="f" stroked="f">
            <v:textbox inset="1mm,0,1mm,0">
              <w:txbxContent>
                <w:p w:rsidR="00A67CD4" w:rsidRDefault="00A67CD4" w:rsidP="00A67CD4">
                  <w:pPr>
                    <w:spacing w:line="160" w:lineRule="exact"/>
                    <w:jc w:val="left"/>
                    <w:rPr>
                      <w:rFonts w:cs="Miriam" w:hint="cs"/>
                      <w:noProof/>
                      <w:sz w:val="18"/>
                      <w:szCs w:val="18"/>
                      <w:rtl/>
                    </w:rPr>
                  </w:pPr>
                  <w:r>
                    <w:rPr>
                      <w:rFonts w:cs="Miriam" w:hint="cs"/>
                      <w:noProof/>
                      <w:sz w:val="18"/>
                      <w:szCs w:val="18"/>
                      <w:rtl/>
                    </w:rPr>
                    <w:t xml:space="preserve">תיקון </w:t>
                  </w:r>
                  <w:r w:rsidR="00A109B3">
                    <w:rPr>
                      <w:rFonts w:cs="Miriam" w:hint="cs"/>
                      <w:noProof/>
                      <w:sz w:val="18"/>
                      <w:szCs w:val="18"/>
                      <w:rtl/>
                    </w:rPr>
                    <w:t xml:space="preserve">(מס' 2) </w:t>
                  </w:r>
                  <w:r>
                    <w:rPr>
                      <w:rFonts w:cs="Miriam" w:hint="cs"/>
                      <w:noProof/>
                      <w:sz w:val="18"/>
                      <w:szCs w:val="18"/>
                      <w:rtl/>
                    </w:rPr>
                    <w:t>תשכ"</w:t>
                  </w:r>
                  <w:r w:rsidR="00A109B3">
                    <w:rPr>
                      <w:rFonts w:cs="Miriam" w:hint="cs"/>
                      <w:noProof/>
                      <w:sz w:val="18"/>
                      <w:szCs w:val="18"/>
                      <w:rtl/>
                    </w:rPr>
                    <w:t>ו-1966</w:t>
                  </w:r>
                </w:p>
              </w:txbxContent>
            </v:textbox>
            <w10:anchorlock/>
          </v:shape>
        </w:pict>
      </w:r>
      <w:r>
        <w:rPr>
          <w:rStyle w:val="default"/>
          <w:rFonts w:hint="cs"/>
          <w:rtl/>
        </w:rPr>
        <w:tab/>
        <w:t>(ב)</w:t>
      </w:r>
      <w:r>
        <w:rPr>
          <w:rStyle w:val="default"/>
          <w:rFonts w:hint="cs"/>
          <w:rtl/>
        </w:rPr>
        <w:tab/>
      </w:r>
      <w:r w:rsidR="00A109B3">
        <w:rPr>
          <w:rStyle w:val="default"/>
          <w:rFonts w:hint="cs"/>
          <w:rtl/>
        </w:rPr>
        <w:t xml:space="preserve">לא יעסוק רוכל בדבר מזון בעסקו </w:t>
      </w:r>
      <w:r>
        <w:rPr>
          <w:rStyle w:val="default"/>
          <w:rFonts w:hint="cs"/>
          <w:rtl/>
        </w:rPr>
        <w:t>ביום ג' בשבוע בשעות שבין 1</w:t>
      </w:r>
      <w:r w:rsidR="00A109B3">
        <w:rPr>
          <w:rStyle w:val="default"/>
          <w:rFonts w:hint="cs"/>
          <w:rtl/>
        </w:rPr>
        <w:t>5</w:t>
      </w:r>
      <w:r>
        <w:rPr>
          <w:rStyle w:val="default"/>
          <w:rFonts w:hint="cs"/>
          <w:rtl/>
        </w:rPr>
        <w:t xml:space="preserve">.30 ובין </w:t>
      </w:r>
      <w:r w:rsidR="00A109B3">
        <w:rPr>
          <w:rStyle w:val="default"/>
          <w:rFonts w:hint="cs"/>
          <w:rtl/>
        </w:rPr>
        <w:t>5</w:t>
      </w:r>
      <w:r>
        <w:rPr>
          <w:rStyle w:val="default"/>
          <w:rFonts w:hint="cs"/>
          <w:rtl/>
        </w:rPr>
        <w:t xml:space="preserve"> למחרתו.</w:t>
      </w:r>
    </w:p>
    <w:p w:rsidR="0006547D" w:rsidRDefault="007B535C" w:rsidP="0006547D">
      <w:pPr>
        <w:pStyle w:val="P00"/>
        <w:spacing w:before="72"/>
        <w:ind w:left="0" w:right="1134"/>
        <w:rPr>
          <w:rStyle w:val="default"/>
          <w:rFonts w:hint="cs"/>
          <w:rtl/>
        </w:rPr>
      </w:pPr>
      <w:bookmarkStart w:id="8" w:name="Seif9"/>
      <w:bookmarkEnd w:id="8"/>
      <w:r>
        <w:rPr>
          <w:lang w:val="he-IL"/>
        </w:rPr>
        <w:pict>
          <v:rect id="_x0000_s1195" style="position:absolute;left:0;text-align:left;margin-left:464.5pt;margin-top:8.05pt;width:75.05pt;height:14.95pt;z-index:251653120" o:allowincell="f" filled="f" stroked="f" strokecolor="lime" strokeweight=".25pt">
            <v:textbox style="mso-next-textbox:#_x0000_s1195" inset="0,0,0,0">
              <w:txbxContent>
                <w:p w:rsidR="00776ECA" w:rsidRDefault="0006547D" w:rsidP="007B535C">
                  <w:pPr>
                    <w:spacing w:line="160" w:lineRule="exact"/>
                    <w:jc w:val="left"/>
                    <w:rPr>
                      <w:rFonts w:cs="Miriam" w:hint="cs"/>
                      <w:noProof/>
                      <w:sz w:val="18"/>
                      <w:szCs w:val="18"/>
                      <w:rtl/>
                    </w:rPr>
                  </w:pPr>
                  <w:r>
                    <w:rPr>
                      <w:rFonts w:cs="Miriam" w:hint="cs"/>
                      <w:sz w:val="18"/>
                      <w:szCs w:val="18"/>
                      <w:rtl/>
                    </w:rPr>
                    <w:t>היתר התעסקות</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06547D">
        <w:rPr>
          <w:rStyle w:val="default"/>
          <w:rFonts w:hint="cs"/>
          <w:rtl/>
        </w:rPr>
        <w:t>ראש העיריה רשאי, לפי שיקול דעתו ובתנאים שיקבע, להתיר לרוכל לעסוק בעסקו גם לאחר השעה 19.</w:t>
      </w:r>
    </w:p>
    <w:p w:rsidR="007B535C" w:rsidRDefault="007B535C" w:rsidP="00C14288">
      <w:pPr>
        <w:pStyle w:val="P00"/>
        <w:spacing w:before="72"/>
        <w:ind w:left="0" w:right="1134"/>
        <w:rPr>
          <w:rStyle w:val="default"/>
          <w:rFonts w:hint="cs"/>
          <w:rtl/>
        </w:rPr>
      </w:pPr>
      <w:bookmarkStart w:id="9" w:name="Seif10"/>
      <w:bookmarkEnd w:id="9"/>
      <w:r>
        <w:rPr>
          <w:lang w:val="he-IL"/>
        </w:rPr>
        <w:pict>
          <v:rect id="_x0000_s1196" style="position:absolute;left:0;text-align:left;margin-left:464.5pt;margin-top:8.05pt;width:75.05pt;height:10.05pt;z-index:251654144" o:allowincell="f" filled="f" stroked="f" strokecolor="lime" strokeweight=".25pt">
            <v:textbox style="mso-next-textbox:#_x0000_s1196" inset="0,0,0,0">
              <w:txbxContent>
                <w:p w:rsidR="00776ECA" w:rsidRDefault="00C14288" w:rsidP="007B535C">
                  <w:pPr>
                    <w:spacing w:line="160" w:lineRule="exact"/>
                    <w:jc w:val="left"/>
                    <w:rPr>
                      <w:rFonts w:cs="Miriam" w:hint="cs"/>
                      <w:noProof/>
                      <w:sz w:val="18"/>
                      <w:szCs w:val="18"/>
                      <w:rtl/>
                    </w:rPr>
                  </w:pPr>
                  <w:r>
                    <w:rPr>
                      <w:rFonts w:cs="Miriam" w:hint="cs"/>
                      <w:sz w:val="18"/>
                      <w:szCs w:val="18"/>
                      <w:rtl/>
                    </w:rPr>
                    <w:t>ימי הרוכלות</w:t>
                  </w:r>
                </w:p>
              </w:txbxContent>
            </v:textbox>
            <w10:anchorlock/>
          </v:rect>
        </w:pict>
      </w:r>
      <w:r>
        <w:rPr>
          <w:rStyle w:val="big-number"/>
          <w:rFonts w:cs="Miriam" w:hint="cs"/>
          <w:rtl/>
        </w:rPr>
        <w:t>10</w:t>
      </w:r>
      <w:r>
        <w:rPr>
          <w:rStyle w:val="big-number"/>
          <w:rFonts w:cs="Miriam"/>
          <w:rtl/>
        </w:rPr>
        <w:t>.</w:t>
      </w:r>
      <w:r>
        <w:rPr>
          <w:rStyle w:val="big-number"/>
          <w:rFonts w:cs="Miriam"/>
          <w:rtl/>
        </w:rPr>
        <w:tab/>
      </w:r>
      <w:r w:rsidR="00C14288">
        <w:rPr>
          <w:rStyle w:val="default"/>
          <w:rFonts w:hint="cs"/>
          <w:rtl/>
        </w:rPr>
        <w:t>לא יעסוק רוכל בעסקו בימי מנוחה</w:t>
      </w:r>
      <w:r w:rsidR="0016436F">
        <w:rPr>
          <w:rStyle w:val="default"/>
          <w:rFonts w:hint="cs"/>
          <w:rtl/>
        </w:rPr>
        <w:t>.</w:t>
      </w:r>
    </w:p>
    <w:p w:rsidR="00C94A30" w:rsidRDefault="007B535C" w:rsidP="00C14288">
      <w:pPr>
        <w:pStyle w:val="P00"/>
        <w:spacing w:before="72"/>
        <w:ind w:left="0" w:right="1134"/>
        <w:rPr>
          <w:rStyle w:val="default"/>
          <w:rFonts w:hint="cs"/>
          <w:rtl/>
        </w:rPr>
      </w:pPr>
      <w:bookmarkStart w:id="10" w:name="Seif11"/>
      <w:bookmarkEnd w:id="10"/>
      <w:r>
        <w:rPr>
          <w:lang w:val="he-IL"/>
        </w:rPr>
        <w:pict>
          <v:rect id="_x0000_s1197" style="position:absolute;left:0;text-align:left;margin-left:464.5pt;margin-top:8.05pt;width:75.05pt;height:11.2pt;z-index:251655168" o:allowincell="f" filled="f" stroked="f" strokecolor="lime" strokeweight=".25pt">
            <v:textbox style="mso-next-textbox:#_x0000_s1197" inset="0,0,0,0">
              <w:txbxContent>
                <w:p w:rsidR="00776ECA" w:rsidRDefault="00C14288" w:rsidP="007B535C">
                  <w:pPr>
                    <w:spacing w:line="160" w:lineRule="exact"/>
                    <w:jc w:val="left"/>
                    <w:rPr>
                      <w:rFonts w:cs="Miriam" w:hint="cs"/>
                      <w:noProof/>
                      <w:sz w:val="18"/>
                      <w:szCs w:val="18"/>
                      <w:rtl/>
                    </w:rPr>
                  </w:pPr>
                  <w:r>
                    <w:rPr>
                      <w:rFonts w:cs="Miriam" w:hint="cs"/>
                      <w:sz w:val="18"/>
                      <w:szCs w:val="18"/>
                      <w:rtl/>
                    </w:rPr>
                    <w:t>רשיון לשימוש בעגלה</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C94A30">
        <w:rPr>
          <w:rStyle w:val="default"/>
          <w:rFonts w:hint="cs"/>
          <w:rtl/>
        </w:rPr>
        <w:t xml:space="preserve">לא </w:t>
      </w:r>
      <w:r w:rsidR="00C14288">
        <w:rPr>
          <w:rStyle w:val="default"/>
          <w:rFonts w:hint="cs"/>
          <w:rtl/>
        </w:rPr>
        <w:t>ישתמש רוכל בעגלה לצורך עסקו אלא על פי רשיון לעגלה ובהתאם לתנאיו</w:t>
      </w:r>
      <w:r w:rsidR="00C94A30">
        <w:rPr>
          <w:rStyle w:val="default"/>
          <w:rFonts w:hint="cs"/>
          <w:rtl/>
        </w:rPr>
        <w:t>.</w:t>
      </w:r>
    </w:p>
    <w:p w:rsidR="007B535C" w:rsidRDefault="007B535C" w:rsidP="00C14288">
      <w:pPr>
        <w:pStyle w:val="P00"/>
        <w:spacing w:before="72"/>
        <w:ind w:left="0" w:right="1134"/>
        <w:rPr>
          <w:rStyle w:val="default"/>
          <w:rFonts w:ascii="Times New Roman" w:hAnsi="Times New Roman" w:hint="cs"/>
          <w:sz w:val="20"/>
          <w:rtl/>
        </w:rPr>
      </w:pPr>
      <w:bookmarkStart w:id="11" w:name="Seif12"/>
      <w:bookmarkEnd w:id="11"/>
      <w:r w:rsidRPr="00353DBA">
        <w:rPr>
          <w:lang w:val="he-IL"/>
        </w:rPr>
        <w:pict>
          <v:rect id="_x0000_s1198" style="position:absolute;left:0;text-align:left;margin-left:464.5pt;margin-top:8.05pt;width:75.05pt;height:11pt;z-index:251656192" o:allowincell="f" filled="f" stroked="f" strokecolor="lime" strokeweight=".25pt">
            <v:textbox style="mso-next-textbox:#_x0000_s1198" inset="0,0,0,0">
              <w:txbxContent>
                <w:p w:rsidR="00776ECA" w:rsidRDefault="00C14288" w:rsidP="007B535C">
                  <w:pPr>
                    <w:spacing w:line="160" w:lineRule="exact"/>
                    <w:jc w:val="left"/>
                    <w:rPr>
                      <w:rFonts w:cs="Miriam" w:hint="cs"/>
                      <w:noProof/>
                      <w:sz w:val="18"/>
                      <w:szCs w:val="18"/>
                      <w:rtl/>
                    </w:rPr>
                  </w:pPr>
                  <w:r>
                    <w:rPr>
                      <w:rFonts w:cs="Miriam" w:hint="cs"/>
                      <w:sz w:val="18"/>
                      <w:szCs w:val="18"/>
                      <w:rtl/>
                    </w:rPr>
                    <w:t>תוקף הרשיון</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C14288">
        <w:rPr>
          <w:rStyle w:val="default"/>
          <w:rFonts w:ascii="Times New Roman" w:hAnsi="Times New Roman" w:hint="cs"/>
          <w:sz w:val="20"/>
          <w:rtl/>
        </w:rPr>
        <w:t>תקפו של רשיון לעגלה הוא עד 31 במרס שלאחר נתינתו</w:t>
      </w:r>
      <w:r w:rsidR="002B7042">
        <w:rPr>
          <w:rStyle w:val="default"/>
          <w:rFonts w:ascii="Times New Roman" w:hAnsi="Times New Roman" w:hint="cs"/>
          <w:sz w:val="20"/>
          <w:rtl/>
        </w:rPr>
        <w:t>.</w:t>
      </w:r>
    </w:p>
    <w:p w:rsidR="00C94A30" w:rsidRDefault="007B535C" w:rsidP="00C14288">
      <w:pPr>
        <w:pStyle w:val="P00"/>
        <w:spacing w:before="72"/>
        <w:ind w:left="0" w:right="1134"/>
        <w:rPr>
          <w:rStyle w:val="default"/>
          <w:rFonts w:hint="cs"/>
          <w:rtl/>
        </w:rPr>
      </w:pPr>
      <w:bookmarkStart w:id="12" w:name="Seif13"/>
      <w:bookmarkEnd w:id="12"/>
      <w:r>
        <w:rPr>
          <w:lang w:val="he-IL"/>
        </w:rPr>
        <w:pict>
          <v:rect id="_x0000_s1199" style="position:absolute;left:0;text-align:left;margin-left:464.5pt;margin-top:8.05pt;width:75.05pt;height:9.6pt;z-index:251657216" o:allowincell="f" filled="f" stroked="f" strokecolor="lime" strokeweight=".25pt">
            <v:textbox style="mso-next-textbox:#_x0000_s1199" inset="0,0,0,0">
              <w:txbxContent>
                <w:p w:rsidR="00776ECA" w:rsidRDefault="00C14288" w:rsidP="00C14288">
                  <w:pPr>
                    <w:spacing w:line="160" w:lineRule="exact"/>
                    <w:jc w:val="left"/>
                    <w:rPr>
                      <w:rFonts w:cs="Miriam" w:hint="cs"/>
                      <w:noProof/>
                      <w:sz w:val="18"/>
                      <w:szCs w:val="18"/>
                      <w:rtl/>
                    </w:rPr>
                  </w:pPr>
                  <w:r>
                    <w:rPr>
                      <w:rFonts w:cs="Miriam" w:hint="cs"/>
                      <w:sz w:val="18"/>
                      <w:szCs w:val="18"/>
                      <w:rtl/>
                    </w:rPr>
                    <w:t>אגרת רשיון</w:t>
                  </w:r>
                  <w:r>
                    <w:rPr>
                      <w:rFonts w:cs="Miriam"/>
                      <w:sz w:val="18"/>
                      <w:szCs w:val="18"/>
                    </w:rPr>
                    <w:t xml:space="preserve"> </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C14288">
        <w:rPr>
          <w:rStyle w:val="default"/>
          <w:rFonts w:hint="cs"/>
          <w:rtl/>
        </w:rPr>
        <w:t xml:space="preserve">בעד מתן רשיון לעגלה ישלם המבקש לקופת העיריה אגרה בשיעור של חמש לירות, אולם אם ניתן הרשיון אחרי 30 בספטמבר תהיה האגרה </w:t>
      </w:r>
      <w:r w:rsidR="00C14288">
        <w:rPr>
          <w:rStyle w:val="default"/>
          <w:rtl/>
        </w:rPr>
        <w:t>–</w:t>
      </w:r>
      <w:r w:rsidR="00C14288">
        <w:rPr>
          <w:rStyle w:val="default"/>
          <w:rFonts w:hint="cs"/>
          <w:rtl/>
        </w:rPr>
        <w:t xml:space="preserve"> שתיים וחצי לירות בלבד</w:t>
      </w:r>
      <w:r w:rsidR="00C94A30">
        <w:rPr>
          <w:rStyle w:val="default"/>
          <w:rFonts w:hint="cs"/>
          <w:rtl/>
        </w:rPr>
        <w:t>.</w:t>
      </w:r>
    </w:p>
    <w:p w:rsidR="00775A21" w:rsidRDefault="007B535C" w:rsidP="00C14288">
      <w:pPr>
        <w:pStyle w:val="P00"/>
        <w:spacing w:before="72"/>
        <w:ind w:left="0" w:right="1134"/>
        <w:rPr>
          <w:rStyle w:val="default"/>
          <w:rFonts w:hint="cs"/>
          <w:rtl/>
        </w:rPr>
      </w:pPr>
      <w:bookmarkStart w:id="13" w:name="Seif14"/>
      <w:bookmarkEnd w:id="13"/>
      <w:r>
        <w:rPr>
          <w:lang w:val="he-IL"/>
        </w:rPr>
        <w:pict>
          <v:rect id="_x0000_s1200" style="position:absolute;left:0;text-align:left;margin-left:464.5pt;margin-top:8.05pt;width:75.05pt;height:9.6pt;z-index:251658240" o:allowincell="f" filled="f" stroked="f" strokecolor="lime" strokeweight=".25pt">
            <v:textbox style="mso-next-textbox:#_x0000_s1200" inset="0,0,0,0">
              <w:txbxContent>
                <w:p w:rsidR="00776ECA" w:rsidRDefault="00C14288" w:rsidP="007B535C">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1</w:t>
      </w:r>
      <w:r w:rsidR="00353DBA">
        <w:rPr>
          <w:rStyle w:val="big-number"/>
          <w:rFonts w:cs="Miriam" w:hint="cs"/>
          <w:rtl/>
        </w:rPr>
        <w:t>4</w:t>
      </w:r>
      <w:r w:rsidRPr="006136F0">
        <w:rPr>
          <w:rStyle w:val="default"/>
          <w:rtl/>
        </w:rPr>
        <w:t>.</w:t>
      </w:r>
      <w:r w:rsidRPr="006136F0">
        <w:rPr>
          <w:rStyle w:val="default"/>
          <w:rtl/>
        </w:rPr>
        <w:tab/>
      </w:r>
      <w:r w:rsidR="00C14288">
        <w:rPr>
          <w:rStyle w:val="default"/>
          <w:rFonts w:hint="cs"/>
          <w:rtl/>
        </w:rPr>
        <w:t>הוראת סעיף 11 אינה חלה על רוכל המשתמש בעגלה שלגביה ניתן רשיון על פי סעיף 2 לפקודת התעבורה</w:t>
      </w:r>
      <w:r w:rsidR="00775A21">
        <w:rPr>
          <w:rStyle w:val="default"/>
          <w:rFonts w:hint="cs"/>
          <w:rtl/>
        </w:rPr>
        <w:t>.</w:t>
      </w:r>
    </w:p>
    <w:p w:rsidR="00775A21" w:rsidRDefault="007B535C" w:rsidP="00C14288">
      <w:pPr>
        <w:pStyle w:val="P00"/>
        <w:spacing w:before="72"/>
        <w:ind w:left="0" w:right="1134"/>
        <w:rPr>
          <w:rStyle w:val="default"/>
          <w:rFonts w:hint="cs"/>
          <w:rtl/>
        </w:rPr>
      </w:pPr>
      <w:bookmarkStart w:id="14" w:name="Seif15"/>
      <w:bookmarkEnd w:id="14"/>
      <w:r>
        <w:rPr>
          <w:lang w:val="he-IL"/>
        </w:rPr>
        <w:pict>
          <v:rect id="_x0000_s1201" style="position:absolute;left:0;text-align:left;margin-left:464.5pt;margin-top:8.05pt;width:75.05pt;height:17.5pt;z-index:251659264" o:allowincell="f" filled="f" stroked="f" strokecolor="lime" strokeweight=".25pt">
            <v:textbox style="mso-next-textbox:#_x0000_s1201" inset="0,0,0,0">
              <w:txbxContent>
                <w:p w:rsidR="00776ECA" w:rsidRDefault="00C14288" w:rsidP="007B535C">
                  <w:pPr>
                    <w:spacing w:line="160" w:lineRule="exact"/>
                    <w:jc w:val="left"/>
                    <w:rPr>
                      <w:rFonts w:cs="Miriam" w:hint="cs"/>
                      <w:noProof/>
                      <w:sz w:val="18"/>
                      <w:szCs w:val="18"/>
                      <w:rtl/>
                    </w:rPr>
                  </w:pPr>
                  <w:r>
                    <w:rPr>
                      <w:rFonts w:cs="Miriam" w:hint="cs"/>
                      <w:sz w:val="18"/>
                      <w:szCs w:val="18"/>
                      <w:rtl/>
                    </w:rPr>
                    <w:t>מתן רשיונות או סירוב לתיתם</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C14288">
        <w:rPr>
          <w:rStyle w:val="default"/>
          <w:rFonts w:hint="cs"/>
          <w:rtl/>
        </w:rPr>
        <w:t>בקשה רשיון לעגלה תוגש בכתב לראש העיריה; ראש העיריה רשאי ליתן את הרשיון, לסרב לתיתו, להתלותו או לבטלו וכן רשאי הוא לכלול ברשיון תנאים, להוסיף עליהם, לגרוע מהם, לשנותם או לבטלם</w:t>
      </w:r>
      <w:r w:rsidR="00775A21">
        <w:rPr>
          <w:rStyle w:val="default"/>
          <w:rFonts w:hint="cs"/>
          <w:rtl/>
        </w:rPr>
        <w:t>.</w:t>
      </w:r>
    </w:p>
    <w:p w:rsidR="00C14288" w:rsidRDefault="007B535C" w:rsidP="00C14288">
      <w:pPr>
        <w:pStyle w:val="P00"/>
        <w:spacing w:before="72"/>
        <w:ind w:left="0" w:right="1134"/>
        <w:rPr>
          <w:rStyle w:val="default"/>
          <w:rFonts w:hint="cs"/>
          <w:rtl/>
        </w:rPr>
      </w:pPr>
      <w:bookmarkStart w:id="15" w:name="Seif16"/>
      <w:bookmarkEnd w:id="15"/>
      <w:r>
        <w:rPr>
          <w:lang w:val="he-IL"/>
        </w:rPr>
        <w:pict>
          <v:rect id="_x0000_s1202" style="position:absolute;left:0;text-align:left;margin-left:464.5pt;margin-top:8.05pt;width:75.05pt;height:9.6pt;z-index:251660288" o:allowincell="f" filled="f" stroked="f" strokecolor="lime" strokeweight=".25pt">
            <v:textbox style="mso-next-textbox:#_x0000_s1202" inset="0,0,0,0">
              <w:txbxContent>
                <w:p w:rsidR="00776ECA" w:rsidRDefault="00C14288" w:rsidP="007B535C">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C14288">
        <w:rPr>
          <w:rStyle w:val="default"/>
          <w:rFonts w:hint="cs"/>
          <w:rtl/>
        </w:rPr>
        <w:t>אם אין הוראה אחרת בפקודת התעבורה או בתקנות שהותקנו על פיה, רשאי ראש העיריה לדרוש שכל עגלה תתאים לתכנית שאושרה על ידיו ושהוצגה במשרדי העיריה.</w:t>
      </w:r>
    </w:p>
    <w:p w:rsidR="00010998" w:rsidRDefault="007546B3" w:rsidP="00A67CD4">
      <w:pPr>
        <w:pStyle w:val="P00"/>
        <w:spacing w:before="72"/>
        <w:ind w:left="0" w:right="1134"/>
        <w:rPr>
          <w:rStyle w:val="default"/>
          <w:rFonts w:hint="cs"/>
          <w:rtl/>
        </w:rPr>
      </w:pPr>
      <w:bookmarkStart w:id="16" w:name="Seif17"/>
      <w:bookmarkEnd w:id="16"/>
      <w:r>
        <w:rPr>
          <w:lang w:val="he-IL"/>
        </w:rPr>
        <w:pict>
          <v:rect id="_x0000_s1208" style="position:absolute;left:0;text-align:left;margin-left:464.5pt;margin-top:8.05pt;width:75.05pt;height:22.25pt;z-index:251661312" o:allowincell="f" filled="f" stroked="f" strokecolor="lime" strokeweight=".25pt">
            <v:textbox style="mso-next-textbox:#_x0000_s1208" inset="0,0,0,0">
              <w:txbxContent>
                <w:p w:rsidR="00776ECA" w:rsidRDefault="00010998" w:rsidP="007546B3">
                  <w:pPr>
                    <w:spacing w:line="160" w:lineRule="exact"/>
                    <w:jc w:val="left"/>
                    <w:rPr>
                      <w:rFonts w:cs="Miriam" w:hint="cs"/>
                      <w:noProof/>
                      <w:sz w:val="18"/>
                      <w:szCs w:val="18"/>
                      <w:rtl/>
                    </w:rPr>
                  </w:pPr>
                  <w:r>
                    <w:rPr>
                      <w:rFonts w:cs="Miriam" w:hint="cs"/>
                      <w:sz w:val="18"/>
                      <w:szCs w:val="18"/>
                      <w:rtl/>
                    </w:rPr>
                    <w:t>לוחית-מספר לעגלה</w:t>
                  </w:r>
                </w:p>
                <w:p w:rsidR="00A67CD4" w:rsidRDefault="00A67CD4" w:rsidP="00A67CD4">
                  <w:pPr>
                    <w:spacing w:line="160" w:lineRule="exact"/>
                    <w:jc w:val="left"/>
                    <w:rPr>
                      <w:rFonts w:cs="Miriam" w:hint="cs"/>
                      <w:noProof/>
                      <w:sz w:val="18"/>
                      <w:szCs w:val="18"/>
                      <w:rtl/>
                    </w:rPr>
                  </w:pPr>
                  <w:r>
                    <w:rPr>
                      <w:rFonts w:cs="Miriam" w:hint="cs"/>
                      <w:noProof/>
                      <w:sz w:val="18"/>
                      <w:szCs w:val="18"/>
                      <w:rtl/>
                    </w:rPr>
                    <w:t>תיקון תשכ"ו-1965</w:t>
                  </w:r>
                </w:p>
              </w:txbxContent>
            </v:textbox>
            <w10:anchorlock/>
          </v:rect>
        </w:pict>
      </w:r>
      <w:r>
        <w:rPr>
          <w:rStyle w:val="big-number"/>
          <w:rFonts w:cs="Miriam" w:hint="cs"/>
          <w:rtl/>
        </w:rPr>
        <w:t>1</w:t>
      </w:r>
      <w:r w:rsidR="00FA444E">
        <w:rPr>
          <w:rStyle w:val="big-number"/>
          <w:rFonts w:cs="Miriam" w:hint="cs"/>
          <w:rtl/>
        </w:rPr>
        <w:t>7</w:t>
      </w:r>
      <w:r>
        <w:rPr>
          <w:rStyle w:val="big-number"/>
          <w:rFonts w:cs="Miriam"/>
          <w:rtl/>
        </w:rPr>
        <w:t>.</w:t>
      </w:r>
      <w:r>
        <w:rPr>
          <w:rStyle w:val="big-number"/>
          <w:rFonts w:cs="Miriam"/>
          <w:rtl/>
        </w:rPr>
        <w:tab/>
      </w:r>
      <w:r w:rsidR="00010998">
        <w:rPr>
          <w:rStyle w:val="default"/>
          <w:rFonts w:hint="cs"/>
          <w:rtl/>
        </w:rPr>
        <w:t xml:space="preserve">רוכל המשתמש בעגלה לצורך עסקו יקבע על צדה האחורי במקום נראה לעין, לוחית-מספר שיתן לו ראש העיריה; הלוחית תכלול, נוסף למספר, את שמו הפרטי ושם משפחתו של הרוכל, מענו ומספר הרישום שבתעודת הזהות שלו; בעד כל לוחית-מספר תשולם לעיריה אגרה בשיעור של </w:t>
      </w:r>
      <w:r w:rsidR="00A67CD4">
        <w:rPr>
          <w:rStyle w:val="default"/>
          <w:rFonts w:hint="cs"/>
          <w:rtl/>
        </w:rPr>
        <w:t>4.00 לירות</w:t>
      </w:r>
      <w:r w:rsidR="00010998">
        <w:rPr>
          <w:rStyle w:val="default"/>
          <w:rFonts w:hint="cs"/>
          <w:rtl/>
        </w:rPr>
        <w:t>.</w:t>
      </w:r>
    </w:p>
    <w:p w:rsidR="00CD1279" w:rsidRDefault="007546B3" w:rsidP="00CD1279">
      <w:pPr>
        <w:pStyle w:val="P00"/>
        <w:spacing w:before="72"/>
        <w:ind w:left="0" w:right="1134"/>
        <w:rPr>
          <w:rStyle w:val="default"/>
          <w:rFonts w:hint="cs"/>
          <w:rtl/>
        </w:rPr>
      </w:pPr>
      <w:bookmarkStart w:id="17" w:name="Seif18"/>
      <w:bookmarkEnd w:id="17"/>
      <w:r>
        <w:rPr>
          <w:lang w:val="he-IL"/>
        </w:rPr>
        <w:pict>
          <v:rect id="_x0000_s1209" style="position:absolute;left:0;text-align:left;margin-left:464.5pt;margin-top:8.05pt;width:75.05pt;height:12.95pt;z-index:251662336" o:allowincell="f" filled="f" stroked="f" strokecolor="lime" strokeweight=".25pt">
            <v:textbox style="mso-next-textbox:#_x0000_s1209" inset="0,0,0,0">
              <w:txbxContent>
                <w:p w:rsidR="00776ECA" w:rsidRDefault="00CD1279" w:rsidP="007546B3">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Pr>
          <w:rStyle w:val="big-number"/>
          <w:rFonts w:cs="Miriam" w:hint="cs"/>
          <w:rtl/>
        </w:rPr>
        <w:t>1</w:t>
      </w:r>
      <w:r w:rsidR="00FA444E">
        <w:rPr>
          <w:rStyle w:val="big-number"/>
          <w:rFonts w:cs="Miriam" w:hint="cs"/>
          <w:rtl/>
        </w:rPr>
        <w:t>8</w:t>
      </w:r>
      <w:r>
        <w:rPr>
          <w:rStyle w:val="big-number"/>
          <w:rFonts w:cs="Miriam"/>
          <w:rtl/>
        </w:rPr>
        <w:t>.</w:t>
      </w:r>
      <w:r>
        <w:rPr>
          <w:rStyle w:val="big-number"/>
          <w:rFonts w:cs="Miriam"/>
          <w:rtl/>
        </w:rPr>
        <w:tab/>
      </w:r>
      <w:r w:rsidR="00CD1279">
        <w:rPr>
          <w:rStyle w:val="default"/>
          <w:rFonts w:hint="cs"/>
          <w:rtl/>
        </w:rPr>
        <w:t>רוכל המשתמש בעגלה לצורך עסקו יסדר את הטובין באופן שימנע את בליטתם מקצות העגלה בכל עבר.</w:t>
      </w:r>
    </w:p>
    <w:p w:rsidR="00CD1279" w:rsidRDefault="007546B3" w:rsidP="00CD1279">
      <w:pPr>
        <w:pStyle w:val="P00"/>
        <w:spacing w:before="72"/>
        <w:ind w:left="0" w:right="1134"/>
        <w:rPr>
          <w:rStyle w:val="default"/>
          <w:rFonts w:hint="cs"/>
          <w:rtl/>
        </w:rPr>
      </w:pPr>
      <w:bookmarkStart w:id="18" w:name="Seif19"/>
      <w:bookmarkEnd w:id="18"/>
      <w:r>
        <w:rPr>
          <w:lang w:val="he-IL"/>
        </w:rPr>
        <w:pict>
          <v:rect id="_x0000_s1210" style="position:absolute;left:0;text-align:left;margin-left:464.5pt;margin-top:8.05pt;width:75.05pt;height:13.65pt;z-index:251663360" o:allowincell="f" filled="f" stroked="f" strokecolor="lime" strokeweight=".25pt">
            <v:textbox style="mso-next-textbox:#_x0000_s1210" inset="0,0,0,0">
              <w:txbxContent>
                <w:p w:rsidR="00776ECA" w:rsidRDefault="00CD1279" w:rsidP="007546B3">
                  <w:pPr>
                    <w:spacing w:line="160" w:lineRule="exact"/>
                    <w:jc w:val="left"/>
                    <w:rPr>
                      <w:rFonts w:cs="Miriam" w:hint="cs"/>
                      <w:noProof/>
                      <w:sz w:val="18"/>
                      <w:szCs w:val="18"/>
                      <w:rtl/>
                    </w:rPr>
                  </w:pPr>
                  <w:r>
                    <w:rPr>
                      <w:rFonts w:cs="Miriam" w:hint="cs"/>
                      <w:sz w:val="18"/>
                      <w:szCs w:val="18"/>
                      <w:rtl/>
                    </w:rPr>
                    <w:t>דרישה לסלק עגלות</w:t>
                  </w:r>
                </w:p>
              </w:txbxContent>
            </v:textbox>
            <w10:anchorlock/>
          </v:rect>
        </w:pict>
      </w:r>
      <w:r>
        <w:rPr>
          <w:rStyle w:val="big-number"/>
          <w:rFonts w:cs="Miriam" w:hint="cs"/>
          <w:rtl/>
        </w:rPr>
        <w:t>1</w:t>
      </w:r>
      <w:r w:rsidR="007A3E0B">
        <w:rPr>
          <w:rStyle w:val="big-number"/>
          <w:rFonts w:cs="Miriam" w:hint="cs"/>
          <w:rtl/>
        </w:rPr>
        <w:t>9</w:t>
      </w:r>
      <w:r>
        <w:rPr>
          <w:rStyle w:val="big-number"/>
          <w:rFonts w:cs="Miriam"/>
          <w:rtl/>
        </w:rPr>
        <w:t>.</w:t>
      </w:r>
      <w:r>
        <w:rPr>
          <w:rStyle w:val="big-number"/>
          <w:rFonts w:cs="Miriam"/>
          <w:rtl/>
        </w:rPr>
        <w:tab/>
      </w:r>
      <w:r w:rsidR="00CD1279">
        <w:rPr>
          <w:rStyle w:val="default"/>
          <w:rFonts w:hint="cs"/>
          <w:rtl/>
        </w:rPr>
        <w:t>ראש העיריה, מפקח או שוטר, רשאים לצוות על רוכל לסלק את עגלתו, דוכנו, תבניתו, מגשו או הטובין ממקום בו הם נמצאים בניגוד להוראות חוק עזר זה.</w:t>
      </w:r>
    </w:p>
    <w:p w:rsidR="00CD1279" w:rsidRDefault="007546B3" w:rsidP="00CD1279">
      <w:pPr>
        <w:pStyle w:val="P00"/>
        <w:spacing w:before="72"/>
        <w:ind w:left="0" w:right="1134"/>
        <w:rPr>
          <w:rStyle w:val="default"/>
          <w:rFonts w:hint="cs"/>
          <w:rtl/>
        </w:rPr>
      </w:pPr>
      <w:bookmarkStart w:id="19" w:name="Seif20"/>
      <w:bookmarkEnd w:id="19"/>
      <w:r>
        <w:rPr>
          <w:lang w:val="he-IL"/>
        </w:rPr>
        <w:pict>
          <v:rect id="_x0000_s1211" style="position:absolute;left:0;text-align:left;margin-left:464.5pt;margin-top:8.05pt;width:75.05pt;height:13.35pt;z-index:251664384" o:allowincell="f" filled="f" stroked="f" strokecolor="lime" strokeweight=".25pt">
            <v:textbox style="mso-next-textbox:#_x0000_s1211" inset="0,0,0,0">
              <w:txbxContent>
                <w:p w:rsidR="00776ECA" w:rsidRDefault="00CD1279" w:rsidP="007546B3">
                  <w:pPr>
                    <w:spacing w:line="160" w:lineRule="exact"/>
                    <w:jc w:val="left"/>
                    <w:rPr>
                      <w:rFonts w:cs="Miriam" w:hint="cs"/>
                      <w:noProof/>
                      <w:sz w:val="18"/>
                      <w:szCs w:val="18"/>
                      <w:rtl/>
                    </w:rPr>
                  </w:pPr>
                  <w:r>
                    <w:rPr>
                      <w:rFonts w:cs="Miriam" w:hint="cs"/>
                      <w:sz w:val="18"/>
                      <w:szCs w:val="18"/>
                      <w:rtl/>
                    </w:rPr>
                    <w:t>סילוק עגלות</w:t>
                  </w:r>
                </w:p>
              </w:txbxContent>
            </v:textbox>
            <w10:anchorlock/>
          </v:rect>
        </w:pict>
      </w:r>
      <w:r>
        <w:rPr>
          <w:rStyle w:val="big-number"/>
          <w:rFonts w:cs="Miriam" w:hint="cs"/>
          <w:rtl/>
        </w:rPr>
        <w:t>20</w:t>
      </w:r>
      <w:r>
        <w:rPr>
          <w:rStyle w:val="big-number"/>
          <w:rFonts w:cs="Miriam"/>
          <w:rtl/>
        </w:rPr>
        <w:t>.</w:t>
      </w:r>
      <w:r>
        <w:rPr>
          <w:rStyle w:val="big-number"/>
          <w:rFonts w:cs="Miriam"/>
          <w:rtl/>
        </w:rPr>
        <w:tab/>
      </w:r>
      <w:r w:rsidR="00CD1279">
        <w:rPr>
          <w:rStyle w:val="default"/>
          <w:rFonts w:hint="cs"/>
          <w:rtl/>
        </w:rPr>
        <w:t>לא סילק רוכל את עגלתו, או דוכנו או תבניתו או מגשו או הטובין, לאחר שנצטווה לכך בהתאם לסעיף 19, רשאי ראש העיריה, מפקח או שוטר לסלק את העגלה, הדוכן, התבנית, המגש או הטובין, בין בעצמו ובין על ידי אחרים.</w:t>
      </w:r>
    </w:p>
    <w:p w:rsidR="007546B3" w:rsidRDefault="007546B3" w:rsidP="00384611">
      <w:pPr>
        <w:pStyle w:val="P00"/>
        <w:spacing w:before="72"/>
        <w:ind w:left="0" w:right="1134"/>
        <w:rPr>
          <w:rStyle w:val="default"/>
          <w:rFonts w:hint="cs"/>
          <w:rtl/>
        </w:rPr>
      </w:pPr>
      <w:bookmarkStart w:id="20" w:name="Seif21"/>
      <w:bookmarkEnd w:id="20"/>
      <w:r>
        <w:rPr>
          <w:lang w:val="he-IL"/>
        </w:rPr>
        <w:pict>
          <v:rect id="_x0000_s1212" style="position:absolute;left:0;text-align:left;margin-left:464.5pt;margin-top:8.05pt;width:75.05pt;height:19.65pt;z-index:251665408" o:allowincell="f" filled="f" stroked="f" strokecolor="lime" strokeweight=".25pt">
            <v:textbox style="mso-next-textbox:#_x0000_s1212" inset="0,0,0,0">
              <w:txbxContent>
                <w:p w:rsidR="00776ECA" w:rsidRDefault="00384611" w:rsidP="007546B3">
                  <w:pPr>
                    <w:spacing w:line="160" w:lineRule="exact"/>
                    <w:jc w:val="left"/>
                    <w:rPr>
                      <w:rFonts w:cs="Miriam" w:hint="cs"/>
                      <w:noProof/>
                      <w:sz w:val="18"/>
                      <w:szCs w:val="18"/>
                      <w:rtl/>
                    </w:rPr>
                  </w:pPr>
                  <w:r>
                    <w:rPr>
                      <w:rFonts w:cs="Miriam" w:hint="cs"/>
                      <w:sz w:val="18"/>
                      <w:szCs w:val="18"/>
                      <w:rtl/>
                    </w:rPr>
                    <w:t>תפיסת כלים והחרמתם</w:t>
                  </w:r>
                </w:p>
              </w:txbxContent>
            </v:textbox>
            <w10:anchorlock/>
          </v:rect>
        </w:pict>
      </w:r>
      <w:r>
        <w:rPr>
          <w:rStyle w:val="big-number"/>
          <w:rFonts w:cs="Miriam" w:hint="cs"/>
          <w:rtl/>
        </w:rPr>
        <w:t>2</w:t>
      </w:r>
      <w:r w:rsidR="007A3E0B">
        <w:rPr>
          <w:rStyle w:val="big-number"/>
          <w:rFonts w:cs="Miriam" w:hint="cs"/>
          <w:rtl/>
        </w:rPr>
        <w:t>1</w:t>
      </w:r>
      <w:r>
        <w:rPr>
          <w:rStyle w:val="big-number"/>
          <w:rFonts w:cs="Miriam"/>
          <w:rtl/>
        </w:rPr>
        <w:t>.</w:t>
      </w:r>
      <w:r>
        <w:rPr>
          <w:rStyle w:val="big-number"/>
          <w:rFonts w:cs="Miriam"/>
          <w:rtl/>
        </w:rPr>
        <w:tab/>
      </w:r>
      <w:r w:rsidR="00384611">
        <w:rPr>
          <w:rStyle w:val="default"/>
          <w:rFonts w:hint="cs"/>
          <w:rtl/>
        </w:rPr>
        <w:t>ראש העיריה, או מפקח, רשאי לתפוס ולהחרים כל עגלת יד, דוכן, תבנית או מגש שרוכל שאין לו רשיון משתמש בהם בקשר למכירת טובין</w:t>
      </w:r>
      <w:r>
        <w:rPr>
          <w:rStyle w:val="default"/>
          <w:rFonts w:hint="cs"/>
          <w:rtl/>
        </w:rPr>
        <w:t>.</w:t>
      </w:r>
    </w:p>
    <w:p w:rsidR="00384611" w:rsidRDefault="007546B3" w:rsidP="00384611">
      <w:pPr>
        <w:pStyle w:val="P00"/>
        <w:spacing w:before="72"/>
        <w:ind w:left="0" w:right="1134"/>
        <w:rPr>
          <w:rStyle w:val="default"/>
          <w:rFonts w:hint="cs"/>
          <w:rtl/>
        </w:rPr>
      </w:pPr>
      <w:bookmarkStart w:id="21" w:name="Seif22"/>
      <w:bookmarkEnd w:id="21"/>
      <w:r>
        <w:rPr>
          <w:lang w:val="he-IL"/>
        </w:rPr>
        <w:pict>
          <v:rect id="_x0000_s1213" style="position:absolute;left:0;text-align:left;margin-left:464.5pt;margin-top:8.05pt;width:75.05pt;height:14.7pt;z-index:251666432" o:allowincell="f" filled="f" stroked="f" strokecolor="lime" strokeweight=".25pt">
            <v:textbox style="mso-next-textbox:#_x0000_s1213" inset="0,0,0,0">
              <w:txbxContent>
                <w:p w:rsidR="00776ECA" w:rsidRDefault="00384611" w:rsidP="007546B3">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w:t>
      </w:r>
      <w:r w:rsidR="007A3E0B">
        <w:rPr>
          <w:rStyle w:val="big-number"/>
          <w:rFonts w:cs="Miriam" w:hint="cs"/>
          <w:rtl/>
        </w:rPr>
        <w:t>2</w:t>
      </w:r>
      <w:r>
        <w:rPr>
          <w:rStyle w:val="big-number"/>
          <w:rFonts w:cs="Miriam"/>
          <w:rtl/>
        </w:rPr>
        <w:t>.</w:t>
      </w:r>
      <w:r>
        <w:rPr>
          <w:rStyle w:val="big-number"/>
          <w:rFonts w:cs="Miriam"/>
          <w:rtl/>
        </w:rPr>
        <w:tab/>
      </w:r>
      <w:r w:rsidR="00384611">
        <w:rPr>
          <w:rStyle w:val="default"/>
          <w:rFonts w:hint="cs"/>
          <w:rtl/>
        </w:rPr>
        <w:t xml:space="preserve">לא יפריע אדם לראש העיריה או למפקח ולא ימנע בעדו מלהשתמש בסמכויותיו </w:t>
      </w:r>
      <w:r w:rsidR="00384611" w:rsidRPr="00E64A74">
        <w:rPr>
          <w:rStyle w:val="default"/>
          <w:rFonts w:hint="cs"/>
          <w:rtl/>
        </w:rPr>
        <w:t>לפי</w:t>
      </w:r>
      <w:r w:rsidR="00384611">
        <w:rPr>
          <w:rStyle w:val="default"/>
          <w:rFonts w:hint="cs"/>
          <w:rtl/>
        </w:rPr>
        <w:t xml:space="preserve"> חוק עזר זה.</w:t>
      </w:r>
    </w:p>
    <w:p w:rsidR="007A3E0B" w:rsidRDefault="007546B3" w:rsidP="003121D0">
      <w:pPr>
        <w:pStyle w:val="P00"/>
        <w:spacing w:before="72"/>
        <w:ind w:left="0" w:right="1134"/>
        <w:rPr>
          <w:rStyle w:val="default"/>
          <w:rFonts w:hint="cs"/>
          <w:rtl/>
        </w:rPr>
      </w:pPr>
      <w:r>
        <w:rPr>
          <w:lang w:val="he-IL"/>
        </w:rPr>
        <w:pict>
          <v:rect id="_x0000_s1214" style="position:absolute;left:0;text-align:left;margin-left:464.5pt;margin-top:8.05pt;width:75.05pt;height:10.4pt;z-index:251667456" o:allowincell="f" filled="f" stroked="f" strokecolor="lime" strokeweight=".25pt">
            <v:textbox style="mso-next-textbox:#_x0000_s1214" inset="0,0,0,0">
              <w:txbxContent>
                <w:p w:rsidR="00771BE9" w:rsidRDefault="003121D0" w:rsidP="00492893">
                  <w:pPr>
                    <w:spacing w:line="160" w:lineRule="exact"/>
                    <w:jc w:val="left"/>
                    <w:rPr>
                      <w:rFonts w:cs="Miriam" w:hint="cs"/>
                      <w:noProof/>
                      <w:sz w:val="18"/>
                      <w:szCs w:val="18"/>
                      <w:rtl/>
                    </w:rPr>
                  </w:pPr>
                  <w:r>
                    <w:rPr>
                      <w:rFonts w:cs="Miriam" w:hint="cs"/>
                      <w:sz w:val="18"/>
                      <w:szCs w:val="18"/>
                      <w:rtl/>
                    </w:rPr>
                    <w:t>תיקון תשע"ו-2016</w:t>
                  </w:r>
                </w:p>
              </w:txbxContent>
            </v:textbox>
            <w10:anchorlock/>
          </v:rect>
        </w:pict>
      </w:r>
      <w:r>
        <w:rPr>
          <w:rStyle w:val="big-number"/>
          <w:rFonts w:cs="Miriam" w:hint="cs"/>
          <w:rtl/>
        </w:rPr>
        <w:t>2</w:t>
      </w:r>
      <w:r w:rsidR="007A3E0B">
        <w:rPr>
          <w:rStyle w:val="big-number"/>
          <w:rFonts w:cs="Miriam" w:hint="cs"/>
          <w:rtl/>
        </w:rPr>
        <w:t>3</w:t>
      </w:r>
      <w:r>
        <w:rPr>
          <w:rStyle w:val="big-number"/>
          <w:rFonts w:cs="Miriam"/>
          <w:rtl/>
        </w:rPr>
        <w:t>.</w:t>
      </w:r>
      <w:r>
        <w:rPr>
          <w:rStyle w:val="big-number"/>
          <w:rFonts w:cs="Miriam"/>
          <w:rtl/>
        </w:rPr>
        <w:tab/>
      </w:r>
      <w:r w:rsidR="003121D0">
        <w:rPr>
          <w:rStyle w:val="default"/>
          <w:rFonts w:hint="cs"/>
          <w:rtl/>
        </w:rPr>
        <w:t>(בוטל)</w:t>
      </w:r>
      <w:r w:rsidR="007A3E0B">
        <w:rPr>
          <w:rStyle w:val="default"/>
          <w:rFonts w:hint="cs"/>
          <w:rtl/>
        </w:rPr>
        <w:t>.</w:t>
      </w:r>
    </w:p>
    <w:p w:rsidR="007546B3" w:rsidRDefault="007546B3" w:rsidP="00384611">
      <w:pPr>
        <w:pStyle w:val="P00"/>
        <w:spacing w:before="72"/>
        <w:ind w:left="0" w:right="1134"/>
        <w:rPr>
          <w:rStyle w:val="default"/>
          <w:rFonts w:hint="cs"/>
          <w:rtl/>
        </w:rPr>
      </w:pPr>
      <w:bookmarkStart w:id="22" w:name="Seif23"/>
      <w:bookmarkEnd w:id="22"/>
      <w:r>
        <w:rPr>
          <w:lang w:val="he-IL"/>
        </w:rPr>
        <w:pict>
          <v:rect id="_x0000_s1215" style="position:absolute;left:0;text-align:left;margin-left:464.5pt;margin-top:8.05pt;width:75.05pt;height:15.2pt;z-index:251668480" o:allowincell="f" filled="f" stroked="f" strokecolor="lime" strokeweight=".25pt">
            <v:textbox style="mso-next-textbox:#_x0000_s1215" inset="0,0,0,0">
              <w:txbxContent>
                <w:p w:rsidR="00776ECA" w:rsidRDefault="00384611" w:rsidP="007546B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7A3E0B">
        <w:rPr>
          <w:rStyle w:val="big-number"/>
          <w:rFonts w:cs="Miriam" w:hint="cs"/>
          <w:rtl/>
        </w:rPr>
        <w:t>4</w:t>
      </w:r>
      <w:r>
        <w:rPr>
          <w:rStyle w:val="big-number"/>
          <w:rFonts w:cs="Miriam"/>
          <w:rtl/>
        </w:rPr>
        <w:t>.</w:t>
      </w:r>
      <w:r>
        <w:rPr>
          <w:rStyle w:val="big-number"/>
          <w:rFonts w:cs="Miriam"/>
          <w:rtl/>
        </w:rPr>
        <w:tab/>
      </w:r>
      <w:r w:rsidR="00384611">
        <w:rPr>
          <w:rStyle w:val="default"/>
          <w:rFonts w:hint="cs"/>
          <w:rtl/>
        </w:rPr>
        <w:t xml:space="preserve">חוק עזר לירושלים (רשיונות לרוכלים והפיקוח עליהם), תשט"ו-1955 </w:t>
      </w:r>
      <w:r w:rsidR="00384611">
        <w:rPr>
          <w:rStyle w:val="default"/>
          <w:rtl/>
        </w:rPr>
        <w:t>–</w:t>
      </w:r>
      <w:r w:rsidR="00384611">
        <w:rPr>
          <w:rStyle w:val="default"/>
          <w:rFonts w:hint="cs"/>
          <w:rtl/>
        </w:rPr>
        <w:t xml:space="preserve"> בטל</w:t>
      </w:r>
      <w:r>
        <w:rPr>
          <w:rStyle w:val="default"/>
          <w:rFonts w:hint="cs"/>
          <w:rtl/>
        </w:rPr>
        <w:t>.</w:t>
      </w:r>
    </w:p>
    <w:p w:rsidR="007546B3" w:rsidRDefault="007546B3" w:rsidP="00384611">
      <w:pPr>
        <w:pStyle w:val="P00"/>
        <w:spacing w:before="72"/>
        <w:ind w:left="0" w:right="1134"/>
        <w:rPr>
          <w:rStyle w:val="default"/>
          <w:rFonts w:hint="cs"/>
          <w:rtl/>
        </w:rPr>
      </w:pPr>
      <w:bookmarkStart w:id="23" w:name="Seif24"/>
      <w:bookmarkEnd w:id="23"/>
      <w:r>
        <w:rPr>
          <w:lang w:val="he-IL"/>
        </w:rPr>
        <w:pict>
          <v:rect id="_x0000_s1216" style="position:absolute;left:0;text-align:left;margin-left:464.5pt;margin-top:8.05pt;width:75.05pt;height:14.1pt;z-index:251669504" o:allowincell="f" filled="f" stroked="f" strokecolor="lime" strokeweight=".25pt">
            <v:textbox style="mso-next-textbox:#_x0000_s1216" inset="0,0,0,0">
              <w:txbxContent>
                <w:p w:rsidR="00776ECA" w:rsidRDefault="00384611" w:rsidP="007546B3">
                  <w:pPr>
                    <w:spacing w:line="160" w:lineRule="exact"/>
                    <w:jc w:val="left"/>
                    <w:rPr>
                      <w:rFonts w:cs="Miriam" w:hint="cs"/>
                      <w:noProof/>
                      <w:sz w:val="18"/>
                      <w:szCs w:val="18"/>
                      <w:rtl/>
                    </w:rPr>
                  </w:pPr>
                  <w:r>
                    <w:rPr>
                      <w:rFonts w:cs="Miriam" w:hint="cs"/>
                      <w:noProof/>
                      <w:sz w:val="18"/>
                      <w:szCs w:val="18"/>
                      <w:rtl/>
                    </w:rPr>
                    <w:t>השם</w:t>
                  </w:r>
                </w:p>
              </w:txbxContent>
            </v:textbox>
            <w10:anchorlock/>
          </v:rect>
        </w:pict>
      </w:r>
      <w:r>
        <w:rPr>
          <w:rStyle w:val="big-number"/>
          <w:rFonts w:cs="Miriam" w:hint="cs"/>
          <w:rtl/>
        </w:rPr>
        <w:t>2</w:t>
      </w:r>
      <w:r w:rsidR="007A3E0B">
        <w:rPr>
          <w:rStyle w:val="big-number"/>
          <w:rFonts w:cs="Miriam" w:hint="cs"/>
          <w:rtl/>
        </w:rPr>
        <w:t>5</w:t>
      </w:r>
      <w:r>
        <w:rPr>
          <w:rStyle w:val="big-number"/>
          <w:rFonts w:cs="Miriam"/>
          <w:rtl/>
        </w:rPr>
        <w:t>.</w:t>
      </w:r>
      <w:r>
        <w:rPr>
          <w:rStyle w:val="big-number"/>
          <w:rFonts w:cs="Miriam"/>
          <w:rtl/>
        </w:rPr>
        <w:tab/>
      </w:r>
      <w:r w:rsidR="00384611">
        <w:rPr>
          <w:rStyle w:val="default"/>
          <w:rFonts w:hint="cs"/>
          <w:rtl/>
        </w:rPr>
        <w:t>לחוק עזר זה ייקרא "חוק עזר לירושלים (רוכלים), תשכ"ב-1962".</w:t>
      </w:r>
    </w:p>
    <w:p w:rsidR="00DF4603" w:rsidRDefault="00DF4603">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EB06A3" w:rsidRDefault="00EB06A3">
      <w:pPr>
        <w:pStyle w:val="P00"/>
        <w:spacing w:before="72"/>
        <w:ind w:left="0" w:right="1134"/>
        <w:rPr>
          <w:rFonts w:cs="FrankRuehl" w:hint="cs"/>
          <w:rtl/>
          <w:lang w:eastAsia="en-US"/>
        </w:rPr>
      </w:pPr>
      <w:r>
        <w:rPr>
          <w:rFonts w:cs="FrankRuehl" w:hint="cs"/>
          <w:rtl/>
          <w:lang w:eastAsia="en-US"/>
        </w:rPr>
        <w:tab/>
        <w:t>נתאשר.</w:t>
      </w:r>
    </w:p>
    <w:p w:rsidR="00882B1E" w:rsidRDefault="00882B1E" w:rsidP="0038461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 xml:space="preserve">כ"ט </w:t>
      </w:r>
      <w:r w:rsidR="00384611">
        <w:rPr>
          <w:rFonts w:cs="FrankRuehl" w:hint="cs"/>
          <w:rtl/>
          <w:lang w:eastAsia="en-US"/>
        </w:rPr>
        <w:t>באב תשכ"ב (29 באוגוסט 1962</w:t>
      </w:r>
      <w:r>
        <w:rPr>
          <w:rFonts w:cs="FrankRuehl" w:hint="cs"/>
          <w:rtl/>
          <w:lang w:eastAsia="en-US"/>
        </w:rPr>
        <w:t>)</w:t>
      </w:r>
      <w:r>
        <w:rPr>
          <w:rFonts w:cs="FrankRuehl"/>
          <w:rtl/>
          <w:lang w:eastAsia="en-US"/>
        </w:rPr>
        <w:tab/>
      </w:r>
      <w:r w:rsidR="00384611">
        <w:rPr>
          <w:rFonts w:cs="FrankRuehl" w:hint="cs"/>
          <w:rtl/>
          <w:lang w:eastAsia="en-US"/>
        </w:rPr>
        <w:t>מ' איש-שלום</w:t>
      </w:r>
    </w:p>
    <w:p w:rsidR="00882B1E" w:rsidRDefault="00882B1E" w:rsidP="00384611">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384611">
        <w:rPr>
          <w:rFonts w:cs="FrankRuehl" w:hint="cs"/>
          <w:sz w:val="22"/>
          <w:szCs w:val="22"/>
          <w:rtl/>
          <w:lang w:eastAsia="en-US"/>
        </w:rPr>
        <w:t>ירושלים</w:t>
      </w:r>
    </w:p>
    <w:p w:rsidR="0091524D" w:rsidRDefault="0091524D" w:rsidP="00384611">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384611">
        <w:rPr>
          <w:rFonts w:cs="FrankRuehl" w:hint="cs"/>
          <w:rtl/>
          <w:lang w:eastAsia="en-US"/>
        </w:rPr>
        <w:t>חיים משה שפירא</w:t>
      </w:r>
    </w:p>
    <w:p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rsidR="001A344B" w:rsidRDefault="001A344B">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24" w:name="LawPartEnd"/>
      <w:bookmarkEnd w:id="24"/>
    </w:p>
    <w:p w:rsidR="003E7F7F" w:rsidRDefault="003E7F7F">
      <w:pPr>
        <w:pStyle w:val="P00"/>
        <w:spacing w:before="72"/>
        <w:ind w:left="0" w:right="1134"/>
        <w:rPr>
          <w:rFonts w:cs="FrankRuehl"/>
          <w:rtl/>
          <w:lang w:eastAsia="en-US"/>
        </w:rPr>
      </w:pPr>
    </w:p>
    <w:p w:rsidR="003E7F7F" w:rsidRDefault="003E7F7F" w:rsidP="003E7F7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C863C3" w:rsidRDefault="00C863C3" w:rsidP="003E7F7F">
      <w:pPr>
        <w:pStyle w:val="P00"/>
        <w:spacing w:before="72"/>
        <w:ind w:left="0" w:right="1134"/>
        <w:jc w:val="center"/>
        <w:rPr>
          <w:rFonts w:cs="David"/>
          <w:color w:val="0000FF"/>
          <w:szCs w:val="24"/>
          <w:u w:val="single"/>
          <w:rtl/>
          <w:lang w:eastAsia="en-US"/>
        </w:rPr>
      </w:pPr>
    </w:p>
    <w:p w:rsidR="00C863C3" w:rsidRDefault="00C863C3" w:rsidP="003E7F7F">
      <w:pPr>
        <w:pStyle w:val="P00"/>
        <w:spacing w:before="72"/>
        <w:ind w:left="0" w:right="1134"/>
        <w:jc w:val="center"/>
        <w:rPr>
          <w:rFonts w:cs="David"/>
          <w:color w:val="0000FF"/>
          <w:szCs w:val="24"/>
          <w:u w:val="single"/>
          <w:rtl/>
          <w:lang w:eastAsia="en-US"/>
        </w:rPr>
      </w:pPr>
    </w:p>
    <w:p w:rsidR="00C863C3" w:rsidRDefault="00C863C3" w:rsidP="00C863C3">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C863C3" w:rsidRDefault="00A60385" w:rsidP="00C863C3">
      <w:pPr>
        <w:pStyle w:val="P00"/>
        <w:spacing w:before="72"/>
        <w:ind w:left="0" w:right="1134"/>
        <w:jc w:val="center"/>
        <w:rPr>
          <w:rFonts w:cs="David" w:hint="cs"/>
          <w:color w:val="0000FF"/>
          <w:szCs w:val="24"/>
          <w:u w:val="single"/>
          <w:rtl/>
          <w:lang w:eastAsia="en-US"/>
        </w:rPr>
      </w:pPr>
    </w:p>
    <w:sectPr w:rsidR="00A60385" w:rsidRPr="00C863C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EDA" w:rsidRDefault="00F20EDA">
      <w:r>
        <w:separator/>
      </w:r>
    </w:p>
  </w:endnote>
  <w:endnote w:type="continuationSeparator" w:id="0">
    <w:p w:rsidR="00F20EDA" w:rsidRDefault="00F2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7F7F">
      <w:rPr>
        <w:rFonts w:cs="TopType Jerushalmi"/>
        <w:noProof/>
        <w:color w:val="000000"/>
        <w:sz w:val="14"/>
        <w:szCs w:val="14"/>
      </w:rPr>
      <w:t>Z:\000-law\yael\2011\11-07-20\mek_003_012.doc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63C3">
      <w:rPr>
        <w:rFonts w:hAnsi="FrankRuehl" w:cs="FrankRuehl"/>
        <w:noProof/>
        <w:sz w:val="24"/>
        <w:szCs w:val="24"/>
        <w:rtl/>
      </w:rPr>
      <w:t>4</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7F7F">
      <w:rPr>
        <w:rFonts w:cs="TopType Jerushalmi"/>
        <w:noProof/>
        <w:color w:val="000000"/>
        <w:sz w:val="14"/>
        <w:szCs w:val="14"/>
      </w:rPr>
      <w:t>Z:\000-law\yael\2011\11-07-20\mek_003_012.doc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EDA" w:rsidRDefault="00F20EDA">
      <w:pPr>
        <w:spacing w:before="60" w:line="240" w:lineRule="auto"/>
        <w:ind w:right="1134"/>
      </w:pPr>
      <w:r>
        <w:separator/>
      </w:r>
    </w:p>
  </w:footnote>
  <w:footnote w:type="continuationSeparator" w:id="0">
    <w:p w:rsidR="00F20EDA" w:rsidRDefault="00F20EDA">
      <w:r>
        <w:continuationSeparator/>
      </w:r>
    </w:p>
  </w:footnote>
  <w:footnote w:id="1">
    <w:p w:rsidR="00776ECA" w:rsidRDefault="00776ECA" w:rsidP="000B47B1">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0B47B1">
          <w:rPr>
            <w:rStyle w:val="Hyperlink"/>
            <w:rFonts w:cs="FrankRuehl" w:hint="cs"/>
            <w:sz w:val="22"/>
            <w:szCs w:val="22"/>
            <w:rtl/>
          </w:rPr>
          <w:t>כ"ב</w:t>
        </w:r>
        <w:r>
          <w:rPr>
            <w:rStyle w:val="Hyperlink"/>
            <w:rFonts w:cs="FrankRuehl"/>
            <w:sz w:val="22"/>
            <w:szCs w:val="22"/>
            <w:rtl/>
          </w:rPr>
          <w:t xml:space="preserve"> מס' </w:t>
        </w:r>
        <w:r w:rsidR="000B47B1">
          <w:rPr>
            <w:rStyle w:val="Hyperlink"/>
            <w:rFonts w:cs="FrankRuehl" w:hint="cs"/>
            <w:sz w:val="22"/>
            <w:szCs w:val="22"/>
            <w:rtl/>
          </w:rPr>
          <w:t>1363</w:t>
        </w:r>
      </w:hyperlink>
      <w:r>
        <w:rPr>
          <w:rFonts w:cs="FrankRuehl" w:hint="cs"/>
          <w:sz w:val="22"/>
          <w:szCs w:val="22"/>
          <w:rtl/>
        </w:rPr>
        <w:t xml:space="preserve"> מיום </w:t>
      </w:r>
      <w:r w:rsidR="000B47B1">
        <w:rPr>
          <w:rFonts w:cs="FrankRuehl" w:hint="cs"/>
          <w:sz w:val="22"/>
          <w:szCs w:val="22"/>
          <w:rtl/>
        </w:rPr>
        <w:t>20.9.1962</w:t>
      </w:r>
      <w:r>
        <w:rPr>
          <w:rFonts w:cs="FrankRuehl" w:hint="cs"/>
          <w:sz w:val="22"/>
          <w:szCs w:val="22"/>
          <w:rtl/>
        </w:rPr>
        <w:t xml:space="preserve"> עמ' </w:t>
      </w:r>
      <w:r w:rsidR="000B47B1">
        <w:rPr>
          <w:rFonts w:cs="FrankRuehl" w:hint="cs"/>
          <w:sz w:val="22"/>
          <w:szCs w:val="22"/>
          <w:rtl/>
        </w:rPr>
        <w:t>2622</w:t>
      </w:r>
      <w:r>
        <w:rPr>
          <w:rFonts w:cs="FrankRuehl" w:hint="cs"/>
          <w:sz w:val="22"/>
          <w:szCs w:val="22"/>
          <w:rtl/>
        </w:rPr>
        <w:t>.</w:t>
      </w:r>
    </w:p>
    <w:p w:rsidR="00C1768A" w:rsidRDefault="00776ECA" w:rsidP="005B62F1">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A67CD4" w:rsidRPr="00A67CD4">
          <w:rPr>
            <w:rStyle w:val="Hyperlink"/>
            <w:rFonts w:cs="FrankRuehl" w:hint="cs"/>
            <w:sz w:val="22"/>
            <w:szCs w:val="22"/>
            <w:rtl/>
          </w:rPr>
          <w:t>ק"ת תשכ"ו</w:t>
        </w:r>
        <w:r w:rsidR="00A109B3">
          <w:rPr>
            <w:rStyle w:val="Hyperlink"/>
            <w:rFonts w:cs="FrankRuehl" w:hint="cs"/>
            <w:sz w:val="22"/>
            <w:szCs w:val="22"/>
            <w:rtl/>
          </w:rPr>
          <w:t>:</w:t>
        </w:r>
        <w:r w:rsidR="00A67CD4" w:rsidRPr="00A67CD4">
          <w:rPr>
            <w:rStyle w:val="Hyperlink"/>
            <w:rFonts w:cs="FrankRuehl" w:hint="cs"/>
            <w:sz w:val="22"/>
            <w:szCs w:val="22"/>
            <w:rtl/>
          </w:rPr>
          <w:t xml:space="preserve"> מס' 1801</w:t>
        </w:r>
      </w:hyperlink>
      <w:r w:rsidR="00A67CD4">
        <w:rPr>
          <w:rFonts w:cs="FrankRuehl" w:hint="cs"/>
          <w:sz w:val="22"/>
          <w:szCs w:val="22"/>
          <w:rtl/>
        </w:rPr>
        <w:t xml:space="preserve"> מיום 25.11.1965 עמ' 350 </w:t>
      </w:r>
      <w:r w:rsidR="00A67CD4">
        <w:rPr>
          <w:rFonts w:cs="FrankRuehl"/>
          <w:sz w:val="22"/>
          <w:szCs w:val="22"/>
          <w:rtl/>
        </w:rPr>
        <w:t>–</w:t>
      </w:r>
      <w:r w:rsidR="00A67CD4">
        <w:rPr>
          <w:rFonts w:cs="FrankRuehl" w:hint="cs"/>
          <w:sz w:val="22"/>
          <w:szCs w:val="22"/>
          <w:rtl/>
        </w:rPr>
        <w:t xml:space="preserve"> תיקון תשכ"ו-1965.</w:t>
      </w:r>
      <w:r w:rsidR="00A109B3">
        <w:rPr>
          <w:rFonts w:cs="FrankRuehl" w:hint="cs"/>
          <w:sz w:val="22"/>
          <w:szCs w:val="22"/>
          <w:rtl/>
        </w:rPr>
        <w:t xml:space="preserve"> </w:t>
      </w:r>
      <w:hyperlink r:id="rId3" w:history="1">
        <w:r w:rsidR="00A109B3" w:rsidRPr="00495A43">
          <w:rPr>
            <w:rStyle w:val="Hyperlink"/>
            <w:rFonts w:cs="FrankRuehl" w:hint="cs"/>
            <w:sz w:val="22"/>
            <w:szCs w:val="22"/>
            <w:rtl/>
          </w:rPr>
          <w:t>מס' 1914</w:t>
        </w:r>
      </w:hyperlink>
      <w:r w:rsidR="00A109B3">
        <w:rPr>
          <w:rFonts w:cs="FrankRuehl" w:hint="cs"/>
          <w:sz w:val="22"/>
          <w:szCs w:val="22"/>
          <w:rtl/>
        </w:rPr>
        <w:t xml:space="preserve"> מיום 4.8.1966 עמ' 2606 </w:t>
      </w:r>
      <w:r w:rsidR="00A109B3">
        <w:rPr>
          <w:rFonts w:cs="FrankRuehl"/>
          <w:sz w:val="22"/>
          <w:szCs w:val="22"/>
          <w:rtl/>
        </w:rPr>
        <w:t>–</w:t>
      </w:r>
      <w:r w:rsidR="00A109B3">
        <w:rPr>
          <w:rFonts w:cs="FrankRuehl" w:hint="cs"/>
          <w:sz w:val="22"/>
          <w:szCs w:val="22"/>
          <w:rtl/>
        </w:rPr>
        <w:t xml:space="preserve"> תיקון (מס' 2) תשכ"ו-1966.</w:t>
      </w:r>
    </w:p>
    <w:p w:rsidR="00A67CD4" w:rsidRDefault="00712589" w:rsidP="005B62F1">
      <w:pPr>
        <w:pStyle w:val="a5"/>
        <w:spacing w:before="72" w:line="240" w:lineRule="auto"/>
        <w:ind w:right="1134"/>
        <w:rPr>
          <w:rFonts w:cs="FrankRuehl" w:hint="cs"/>
          <w:sz w:val="22"/>
          <w:szCs w:val="22"/>
          <w:rtl/>
        </w:rPr>
      </w:pPr>
      <w:hyperlink r:id="rId4" w:history="1">
        <w:r w:rsidRPr="00712589">
          <w:rPr>
            <w:rStyle w:val="Hyperlink"/>
            <w:rFonts w:cs="FrankRuehl" w:hint="cs"/>
            <w:sz w:val="22"/>
            <w:szCs w:val="22"/>
            <w:rtl/>
          </w:rPr>
          <w:t>ק"ת תשכ"ט מס' 2407</w:t>
        </w:r>
      </w:hyperlink>
      <w:r>
        <w:rPr>
          <w:rFonts w:cs="FrankRuehl" w:hint="cs"/>
          <w:sz w:val="22"/>
          <w:szCs w:val="22"/>
          <w:rtl/>
        </w:rPr>
        <w:t xml:space="preserve"> מיום 19.6.1969 עמ' 1647 </w:t>
      </w:r>
      <w:r>
        <w:rPr>
          <w:rFonts w:cs="FrankRuehl"/>
          <w:sz w:val="22"/>
          <w:szCs w:val="22"/>
          <w:rtl/>
        </w:rPr>
        <w:t>–</w:t>
      </w:r>
      <w:r>
        <w:rPr>
          <w:rFonts w:cs="FrankRuehl" w:hint="cs"/>
          <w:sz w:val="22"/>
          <w:szCs w:val="22"/>
          <w:rtl/>
        </w:rPr>
        <w:t xml:space="preserve"> תיקון תשכ"ט-1969.</w:t>
      </w:r>
    </w:p>
    <w:p w:rsidR="00771BE9" w:rsidRDefault="00771BE9" w:rsidP="005B62F1">
      <w:pPr>
        <w:pStyle w:val="a5"/>
        <w:spacing w:before="72" w:line="240" w:lineRule="auto"/>
        <w:ind w:right="1134"/>
        <w:rPr>
          <w:rFonts w:cs="FrankRuehl" w:hint="cs"/>
          <w:sz w:val="22"/>
          <w:szCs w:val="22"/>
          <w:rtl/>
        </w:rPr>
      </w:pPr>
      <w:hyperlink r:id="rId5" w:history="1">
        <w:r w:rsidRPr="00771BE9">
          <w:rPr>
            <w:rStyle w:val="Hyperlink"/>
            <w:rFonts w:cs="FrankRuehl" w:hint="cs"/>
            <w:sz w:val="22"/>
            <w:szCs w:val="22"/>
            <w:rtl/>
          </w:rPr>
          <w:t>ק"ת תשל"ז מס' 3719</w:t>
        </w:r>
      </w:hyperlink>
      <w:r>
        <w:rPr>
          <w:rFonts w:cs="FrankRuehl" w:hint="cs"/>
          <w:sz w:val="22"/>
          <w:szCs w:val="22"/>
          <w:rtl/>
        </w:rPr>
        <w:t xml:space="preserve"> מיום 2.6.1977 עמ' 1857 </w:t>
      </w:r>
      <w:r>
        <w:rPr>
          <w:rFonts w:cs="FrankRuehl"/>
          <w:sz w:val="22"/>
          <w:szCs w:val="22"/>
          <w:rtl/>
        </w:rPr>
        <w:t>–</w:t>
      </w:r>
      <w:r>
        <w:rPr>
          <w:rFonts w:cs="FrankRuehl" w:hint="cs"/>
          <w:sz w:val="22"/>
          <w:szCs w:val="22"/>
          <w:rtl/>
        </w:rPr>
        <w:t xml:space="preserve"> תיקון תשל"ז-1977 בסעיף 1 לחוק עזר לירושלים (תיקון חוקי עזר), תשל"ז-1977.</w:t>
      </w:r>
    </w:p>
    <w:p w:rsidR="00073816" w:rsidRDefault="00073816" w:rsidP="005B62F1">
      <w:pPr>
        <w:pStyle w:val="a5"/>
        <w:spacing w:before="72" w:line="240" w:lineRule="auto"/>
        <w:ind w:right="1134"/>
        <w:rPr>
          <w:rFonts w:cs="FrankRuehl" w:hint="cs"/>
          <w:sz w:val="22"/>
          <w:szCs w:val="22"/>
          <w:rtl/>
        </w:rPr>
      </w:pPr>
      <w:hyperlink r:id="rId6" w:history="1">
        <w:r w:rsidRPr="00073816">
          <w:rPr>
            <w:rStyle w:val="Hyperlink"/>
            <w:rFonts w:cs="FrankRuehl" w:hint="cs"/>
            <w:sz w:val="22"/>
            <w:szCs w:val="22"/>
            <w:rtl/>
          </w:rPr>
          <w:t>ק"ת חש"ם תשמ"א מס' 11</w:t>
        </w:r>
      </w:hyperlink>
      <w:r>
        <w:rPr>
          <w:rFonts w:cs="FrankRuehl" w:hint="cs"/>
          <w:sz w:val="22"/>
          <w:szCs w:val="22"/>
          <w:rtl/>
        </w:rPr>
        <w:t xml:space="preserve"> מיום 9.11.1980 עמ' 166 </w:t>
      </w:r>
      <w:r>
        <w:rPr>
          <w:rFonts w:cs="FrankRuehl"/>
          <w:sz w:val="22"/>
          <w:szCs w:val="22"/>
          <w:rtl/>
        </w:rPr>
        <w:t>–</w:t>
      </w:r>
      <w:r>
        <w:rPr>
          <w:rFonts w:cs="FrankRuehl" w:hint="cs"/>
          <w:sz w:val="22"/>
          <w:szCs w:val="22"/>
          <w:rtl/>
        </w:rPr>
        <w:t xml:space="preserve"> תיקון תשמ"א-1980 בסעיף 1 לחוק עזר לירושלים (תיקון חוקי עזר), תשמ"א-1980.</w:t>
      </w:r>
    </w:p>
    <w:p w:rsidR="00580F7C" w:rsidRDefault="00580F7C" w:rsidP="005B62F1">
      <w:pPr>
        <w:pStyle w:val="a5"/>
        <w:spacing w:before="72" w:line="240" w:lineRule="auto"/>
        <w:ind w:right="1134"/>
        <w:rPr>
          <w:rFonts w:cs="FrankRuehl" w:hint="cs"/>
          <w:sz w:val="22"/>
          <w:szCs w:val="22"/>
          <w:rtl/>
        </w:rPr>
      </w:pPr>
      <w:hyperlink r:id="rId7" w:history="1">
        <w:r w:rsidRPr="00580F7C">
          <w:rPr>
            <w:rStyle w:val="Hyperlink"/>
            <w:rFonts w:cs="FrankRuehl" w:hint="cs"/>
            <w:sz w:val="22"/>
            <w:szCs w:val="22"/>
            <w:rtl/>
          </w:rPr>
          <w:t>ק"ת חש"ם תשמ"ג מס' 168</w:t>
        </w:r>
      </w:hyperlink>
      <w:r>
        <w:rPr>
          <w:rFonts w:cs="FrankRuehl" w:hint="cs"/>
          <w:sz w:val="22"/>
          <w:szCs w:val="22"/>
          <w:rtl/>
        </w:rPr>
        <w:t xml:space="preserve"> מיום 24.3.1983 עמ' 346 </w:t>
      </w:r>
      <w:r>
        <w:rPr>
          <w:rFonts w:cs="FrankRuehl"/>
          <w:sz w:val="22"/>
          <w:szCs w:val="22"/>
          <w:rtl/>
        </w:rPr>
        <w:t>–</w:t>
      </w:r>
      <w:r>
        <w:rPr>
          <w:rFonts w:cs="FrankRuehl" w:hint="cs"/>
          <w:sz w:val="22"/>
          <w:szCs w:val="22"/>
          <w:rtl/>
        </w:rPr>
        <w:t xml:space="preserve"> תיקון תשמ"ג-1983 בסעיף 1 לחוק עזר לירושלים (תיקון חוקי עזר), תשמ"ג-1983.</w:t>
      </w:r>
    </w:p>
    <w:p w:rsidR="000A4189" w:rsidRDefault="000A4189" w:rsidP="005B62F1">
      <w:pPr>
        <w:pStyle w:val="a5"/>
        <w:spacing w:before="72" w:line="240" w:lineRule="auto"/>
        <w:ind w:right="1134"/>
        <w:rPr>
          <w:rFonts w:cs="FrankRuehl" w:hint="cs"/>
          <w:sz w:val="22"/>
          <w:szCs w:val="22"/>
          <w:rtl/>
        </w:rPr>
      </w:pPr>
      <w:hyperlink r:id="rId8" w:history="1">
        <w:r w:rsidRPr="000A4189">
          <w:rPr>
            <w:rStyle w:val="Hyperlink"/>
            <w:rFonts w:cs="FrankRuehl" w:hint="cs"/>
            <w:sz w:val="22"/>
            <w:szCs w:val="22"/>
            <w:rtl/>
          </w:rPr>
          <w:t>ק"ת חש"ם תשמ"ד מס' 209</w:t>
        </w:r>
      </w:hyperlink>
      <w:r>
        <w:rPr>
          <w:rFonts w:cs="FrankRuehl" w:hint="cs"/>
          <w:sz w:val="22"/>
          <w:szCs w:val="22"/>
          <w:rtl/>
        </w:rPr>
        <w:t xml:space="preserve"> מיום 8.1.1984 עמ' 228 </w:t>
      </w:r>
      <w:r>
        <w:rPr>
          <w:rFonts w:cs="FrankRuehl"/>
          <w:sz w:val="22"/>
          <w:szCs w:val="22"/>
          <w:rtl/>
        </w:rPr>
        <w:t>–</w:t>
      </w:r>
      <w:r>
        <w:rPr>
          <w:rFonts w:cs="FrankRuehl" w:hint="cs"/>
          <w:sz w:val="22"/>
          <w:szCs w:val="22"/>
          <w:rtl/>
        </w:rPr>
        <w:t xml:space="preserve"> תיקון תשמ"ד-1984 בסעיף 1 לחוק עזר לירושלים (תיקון חוקי עזר), תשמ"ד-1984.</w:t>
      </w:r>
    </w:p>
    <w:p w:rsidR="00492893" w:rsidRDefault="00492893" w:rsidP="005B62F1">
      <w:pPr>
        <w:pStyle w:val="a5"/>
        <w:spacing w:before="72" w:line="240" w:lineRule="auto"/>
        <w:ind w:right="1134"/>
        <w:rPr>
          <w:rFonts w:cs="FrankRuehl" w:hint="cs"/>
          <w:sz w:val="22"/>
          <w:szCs w:val="22"/>
          <w:rtl/>
        </w:rPr>
      </w:pPr>
      <w:hyperlink r:id="rId9" w:history="1">
        <w:r w:rsidRPr="00492893">
          <w:rPr>
            <w:rStyle w:val="Hyperlink"/>
            <w:rFonts w:cs="FrankRuehl" w:hint="cs"/>
            <w:sz w:val="22"/>
            <w:szCs w:val="22"/>
            <w:rtl/>
          </w:rPr>
          <w:t>ק"ת חש"ם תשמ"ה מס' 254</w:t>
        </w:r>
      </w:hyperlink>
      <w:r>
        <w:rPr>
          <w:rFonts w:cs="FrankRuehl" w:hint="cs"/>
          <w:sz w:val="22"/>
          <w:szCs w:val="22"/>
          <w:rtl/>
        </w:rPr>
        <w:t xml:space="preserve"> מיום 18.11.1984 עמ' 79 </w:t>
      </w:r>
      <w:r>
        <w:rPr>
          <w:rFonts w:cs="FrankRuehl"/>
          <w:sz w:val="22"/>
          <w:szCs w:val="22"/>
          <w:rtl/>
        </w:rPr>
        <w:t>–</w:t>
      </w:r>
      <w:r>
        <w:rPr>
          <w:rFonts w:cs="FrankRuehl" w:hint="cs"/>
          <w:sz w:val="22"/>
          <w:szCs w:val="22"/>
          <w:rtl/>
        </w:rPr>
        <w:t xml:space="preserve"> תיקון תשמ"ה-1984 בסעיף 1 לחוק עזר לירושלים (תיקון חוקי עזר), תשמ"ה-1984.</w:t>
      </w:r>
    </w:p>
    <w:p w:rsidR="00F80B63" w:rsidRDefault="00F80B63" w:rsidP="005B62F1">
      <w:pPr>
        <w:pStyle w:val="a5"/>
        <w:spacing w:before="72" w:line="240" w:lineRule="auto"/>
        <w:ind w:right="1134"/>
        <w:rPr>
          <w:rFonts w:cs="FrankRuehl" w:hint="cs"/>
          <w:sz w:val="22"/>
          <w:szCs w:val="22"/>
          <w:rtl/>
        </w:rPr>
      </w:pPr>
      <w:hyperlink r:id="rId10" w:history="1">
        <w:r w:rsidRPr="00F80B63">
          <w:rPr>
            <w:rStyle w:val="Hyperlink"/>
            <w:rFonts w:cs="FrankRuehl" w:hint="cs"/>
            <w:sz w:val="22"/>
            <w:szCs w:val="22"/>
            <w:rtl/>
          </w:rPr>
          <w:t>ק"ת חש"ם תשמ"ח מס' 366</w:t>
        </w:r>
      </w:hyperlink>
      <w:r>
        <w:rPr>
          <w:rFonts w:cs="FrankRuehl" w:hint="cs"/>
          <w:sz w:val="22"/>
          <w:szCs w:val="22"/>
          <w:rtl/>
        </w:rPr>
        <w:t xml:space="preserve"> מיום 16.6.1988 עמ' 379 </w:t>
      </w:r>
      <w:r>
        <w:rPr>
          <w:rFonts w:cs="FrankRuehl"/>
          <w:sz w:val="22"/>
          <w:szCs w:val="22"/>
          <w:rtl/>
        </w:rPr>
        <w:t>–</w:t>
      </w:r>
      <w:r>
        <w:rPr>
          <w:rFonts w:cs="FrankRuehl" w:hint="cs"/>
          <w:sz w:val="22"/>
          <w:szCs w:val="22"/>
          <w:rtl/>
        </w:rPr>
        <w:t xml:space="preserve"> תיקון תשמ"ח-1988.</w:t>
      </w:r>
    </w:p>
    <w:p w:rsidR="009F4D81" w:rsidRDefault="009F4D81" w:rsidP="009F4D81">
      <w:pPr>
        <w:pStyle w:val="a5"/>
        <w:spacing w:before="72" w:line="240" w:lineRule="auto"/>
        <w:ind w:right="1134"/>
        <w:jc w:val="left"/>
        <w:rPr>
          <w:rFonts w:cs="FrankRuehl"/>
          <w:sz w:val="22"/>
          <w:szCs w:val="22"/>
          <w:rtl/>
          <w:lang w:eastAsia="en-US"/>
        </w:rPr>
      </w:pPr>
      <w:hyperlink r:id="rId11" w:history="1">
        <w:r w:rsidR="003121D0" w:rsidRPr="009F4D81">
          <w:rPr>
            <w:rStyle w:val="Hyperlink"/>
            <w:rFonts w:cs="FrankRuehl" w:hint="cs"/>
            <w:sz w:val="22"/>
            <w:szCs w:val="22"/>
            <w:rtl/>
            <w:lang w:eastAsia="en-US"/>
          </w:rPr>
          <w:t>ק"ת חש"ם תשע"ו מס' 842</w:t>
        </w:r>
      </w:hyperlink>
      <w:r w:rsidR="003121D0" w:rsidRPr="006C4ECC">
        <w:rPr>
          <w:rFonts w:cs="FrankRuehl" w:hint="cs"/>
          <w:sz w:val="22"/>
          <w:szCs w:val="22"/>
          <w:rtl/>
          <w:lang w:eastAsia="en-US"/>
        </w:rPr>
        <w:t xml:space="preserve"> מיום 14.1.2016 עמ' 8</w:t>
      </w:r>
      <w:r w:rsidR="003121D0">
        <w:rPr>
          <w:rFonts w:cs="FrankRuehl" w:hint="cs"/>
          <w:sz w:val="22"/>
          <w:szCs w:val="22"/>
          <w:rtl/>
          <w:lang w:eastAsia="en-US"/>
        </w:rPr>
        <w:t>3</w:t>
      </w:r>
      <w:r w:rsidR="003121D0" w:rsidRPr="006C4ECC">
        <w:rPr>
          <w:rFonts w:cs="FrankRuehl" w:hint="cs"/>
          <w:sz w:val="22"/>
          <w:szCs w:val="22"/>
          <w:rtl/>
          <w:lang w:eastAsia="en-US"/>
        </w:rPr>
        <w:t xml:space="preserve"> </w:t>
      </w:r>
      <w:r w:rsidR="003121D0" w:rsidRPr="006C4ECC">
        <w:rPr>
          <w:rFonts w:cs="FrankRuehl"/>
          <w:sz w:val="22"/>
          <w:szCs w:val="22"/>
          <w:rtl/>
          <w:lang w:eastAsia="en-US"/>
        </w:rPr>
        <w:t>–</w:t>
      </w:r>
      <w:r w:rsidR="003121D0" w:rsidRPr="006C4ECC">
        <w:rPr>
          <w:rFonts w:cs="FrankRuehl" w:hint="cs"/>
          <w:sz w:val="22"/>
          <w:szCs w:val="22"/>
          <w:rtl/>
          <w:lang w:eastAsia="en-US"/>
        </w:rPr>
        <w:t xml:space="preserve"> תיקון תשע"ו-2016 בסעיף 1(</w:t>
      </w:r>
      <w:r w:rsidR="003121D0">
        <w:rPr>
          <w:rFonts w:cs="FrankRuehl" w:hint="cs"/>
          <w:sz w:val="22"/>
          <w:szCs w:val="22"/>
          <w:rtl/>
          <w:lang w:eastAsia="en-US"/>
        </w:rPr>
        <w:t>18</w:t>
      </w:r>
      <w:r w:rsidR="003121D0" w:rsidRPr="006C4ECC">
        <w:rPr>
          <w:rFonts w:cs="FrankRuehl" w:hint="cs"/>
          <w:sz w:val="22"/>
          <w:szCs w:val="22"/>
          <w:rtl/>
          <w:lang w:eastAsia="en-US"/>
        </w:rPr>
        <w:t>) לחוק עזר לירושלים (ביטול סעיפי העונשין),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rsidP="000B47B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0B47B1">
      <w:rPr>
        <w:rFonts w:hAnsi="FrankRuehl" w:cs="FrankRuehl" w:hint="cs"/>
        <w:color w:val="000000"/>
        <w:sz w:val="28"/>
        <w:szCs w:val="28"/>
        <w:rtl/>
      </w:rPr>
      <w:t>לירושלים</w:t>
    </w:r>
    <w:r>
      <w:rPr>
        <w:rFonts w:hAnsi="FrankRuehl" w:cs="FrankRuehl" w:hint="cs"/>
        <w:color w:val="000000"/>
        <w:sz w:val="28"/>
        <w:szCs w:val="28"/>
        <w:rtl/>
      </w:rPr>
      <w:t xml:space="preserve"> (רוכלים), </w:t>
    </w:r>
    <w:r w:rsidR="000B47B1">
      <w:rPr>
        <w:rFonts w:hAnsi="FrankRuehl" w:cs="FrankRuehl" w:hint="cs"/>
        <w:color w:val="000000"/>
        <w:sz w:val="28"/>
        <w:szCs w:val="28"/>
        <w:rtl/>
      </w:rPr>
      <w:t>תשכ"ב-1962</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A4189"/>
    <w:rsid w:val="000B47B1"/>
    <w:rsid w:val="000E036A"/>
    <w:rsid w:val="000E695D"/>
    <w:rsid w:val="00113B69"/>
    <w:rsid w:val="0016436F"/>
    <w:rsid w:val="00182A86"/>
    <w:rsid w:val="001A344B"/>
    <w:rsid w:val="001B3849"/>
    <w:rsid w:val="001C1397"/>
    <w:rsid w:val="002470F4"/>
    <w:rsid w:val="0029007C"/>
    <w:rsid w:val="002B3A03"/>
    <w:rsid w:val="002B7042"/>
    <w:rsid w:val="002F2A4E"/>
    <w:rsid w:val="003121D0"/>
    <w:rsid w:val="0033377F"/>
    <w:rsid w:val="00340AFB"/>
    <w:rsid w:val="00353DBA"/>
    <w:rsid w:val="00384611"/>
    <w:rsid w:val="003D32CE"/>
    <w:rsid w:val="003E7F7F"/>
    <w:rsid w:val="003F3A1E"/>
    <w:rsid w:val="003F5A42"/>
    <w:rsid w:val="00412D35"/>
    <w:rsid w:val="0041448F"/>
    <w:rsid w:val="00441245"/>
    <w:rsid w:val="00492893"/>
    <w:rsid w:val="00495A43"/>
    <w:rsid w:val="00521548"/>
    <w:rsid w:val="00545013"/>
    <w:rsid w:val="0056723B"/>
    <w:rsid w:val="00580F7C"/>
    <w:rsid w:val="005954F9"/>
    <w:rsid w:val="005B62F1"/>
    <w:rsid w:val="005C1B2F"/>
    <w:rsid w:val="005C2037"/>
    <w:rsid w:val="006136F0"/>
    <w:rsid w:val="00653865"/>
    <w:rsid w:val="006A287D"/>
    <w:rsid w:val="006A2C45"/>
    <w:rsid w:val="006A2CDC"/>
    <w:rsid w:val="006A5DE3"/>
    <w:rsid w:val="006C4ECE"/>
    <w:rsid w:val="00712589"/>
    <w:rsid w:val="007176F7"/>
    <w:rsid w:val="007546B3"/>
    <w:rsid w:val="007573AA"/>
    <w:rsid w:val="00771BE9"/>
    <w:rsid w:val="00773F82"/>
    <w:rsid w:val="00775A21"/>
    <w:rsid w:val="00776ECA"/>
    <w:rsid w:val="007851F8"/>
    <w:rsid w:val="007A3E0B"/>
    <w:rsid w:val="007B2B4D"/>
    <w:rsid w:val="007B535C"/>
    <w:rsid w:val="007C1296"/>
    <w:rsid w:val="007C395F"/>
    <w:rsid w:val="00882B1E"/>
    <w:rsid w:val="00885311"/>
    <w:rsid w:val="008B35F0"/>
    <w:rsid w:val="008C4954"/>
    <w:rsid w:val="008D0855"/>
    <w:rsid w:val="008E1BE4"/>
    <w:rsid w:val="0091524D"/>
    <w:rsid w:val="00923837"/>
    <w:rsid w:val="00976500"/>
    <w:rsid w:val="00996013"/>
    <w:rsid w:val="009D5DA5"/>
    <w:rsid w:val="009F4D81"/>
    <w:rsid w:val="00A109B3"/>
    <w:rsid w:val="00A60385"/>
    <w:rsid w:val="00A67CD4"/>
    <w:rsid w:val="00A7257A"/>
    <w:rsid w:val="00A9617D"/>
    <w:rsid w:val="00B66A8A"/>
    <w:rsid w:val="00B743D7"/>
    <w:rsid w:val="00B761DB"/>
    <w:rsid w:val="00B971B7"/>
    <w:rsid w:val="00BA501E"/>
    <w:rsid w:val="00BB55FC"/>
    <w:rsid w:val="00BC4B6D"/>
    <w:rsid w:val="00BD495E"/>
    <w:rsid w:val="00BD77F4"/>
    <w:rsid w:val="00C14288"/>
    <w:rsid w:val="00C1768A"/>
    <w:rsid w:val="00C25EC7"/>
    <w:rsid w:val="00C7029E"/>
    <w:rsid w:val="00C863C3"/>
    <w:rsid w:val="00C94A30"/>
    <w:rsid w:val="00CA7379"/>
    <w:rsid w:val="00CC4BAD"/>
    <w:rsid w:val="00CD1279"/>
    <w:rsid w:val="00CD4C92"/>
    <w:rsid w:val="00D12FCD"/>
    <w:rsid w:val="00D422AF"/>
    <w:rsid w:val="00D64D20"/>
    <w:rsid w:val="00DB00A5"/>
    <w:rsid w:val="00DD189D"/>
    <w:rsid w:val="00DE5087"/>
    <w:rsid w:val="00DF3232"/>
    <w:rsid w:val="00DF4603"/>
    <w:rsid w:val="00E069F4"/>
    <w:rsid w:val="00E07F01"/>
    <w:rsid w:val="00E21D69"/>
    <w:rsid w:val="00E42B26"/>
    <w:rsid w:val="00E52E2F"/>
    <w:rsid w:val="00E64A74"/>
    <w:rsid w:val="00E8696C"/>
    <w:rsid w:val="00E92E8C"/>
    <w:rsid w:val="00EB06A3"/>
    <w:rsid w:val="00EB5096"/>
    <w:rsid w:val="00EF4C4A"/>
    <w:rsid w:val="00F127A7"/>
    <w:rsid w:val="00F20EDA"/>
    <w:rsid w:val="00F80B63"/>
    <w:rsid w:val="00FA444E"/>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D51EA3C-9C64-46D0-94FF-1FF194C0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209.pdf" TargetMode="External"/><Relationship Id="rId3" Type="http://schemas.openxmlformats.org/officeDocument/2006/relationships/hyperlink" Target="http://www.nevo.co.il/law_word/law06/tak-1914.pdf" TargetMode="External"/><Relationship Id="rId7" Type="http://schemas.openxmlformats.org/officeDocument/2006/relationships/hyperlink" Target="http://www.nevo.co.il/Law_word/law07/mekomi-0168.pdf" TargetMode="External"/><Relationship Id="rId2" Type="http://schemas.openxmlformats.org/officeDocument/2006/relationships/hyperlink" Target="http://www.nevo.co.il/law_word/law06/tak-1801.pdf" TargetMode="External"/><Relationship Id="rId1" Type="http://schemas.openxmlformats.org/officeDocument/2006/relationships/hyperlink" Target="http://www.nevo.co.il/law_word/law06/tak-1363.pdf" TargetMode="External"/><Relationship Id="rId6" Type="http://schemas.openxmlformats.org/officeDocument/2006/relationships/hyperlink" Target="http://www.nevo.co.il/Law_word/law07/mekomi-0011.pdf" TargetMode="External"/><Relationship Id="rId11" Type="http://schemas.openxmlformats.org/officeDocument/2006/relationships/hyperlink" Target="http://www.nevo.co.il/Law_word/law07/mekomi-0842.pdf" TargetMode="External"/><Relationship Id="rId5" Type="http://schemas.openxmlformats.org/officeDocument/2006/relationships/hyperlink" Target="http://www.nevo.co.il/law_word/law06/tak-3719.pdf" TargetMode="External"/><Relationship Id="rId10" Type="http://schemas.openxmlformats.org/officeDocument/2006/relationships/hyperlink" Target="http://www.nevo.co.il/Law_word/law07/mekomi-0366.pdf" TargetMode="External"/><Relationship Id="rId4" Type="http://schemas.openxmlformats.org/officeDocument/2006/relationships/hyperlink" Target="http://www.nevo.co.il/law_word/law06/tak-2407.pdf" TargetMode="External"/><Relationship Id="rId9" Type="http://schemas.openxmlformats.org/officeDocument/2006/relationships/hyperlink" Target="http://www.nevo.co.il/Law_word/law07/mekomi-0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6188</CharactersWithSpaces>
  <SharedDoc>false</SharedDoc>
  <HLinks>
    <vt:vector size="222" baseType="variant">
      <vt:variant>
        <vt:i4>393283</vt:i4>
      </vt:variant>
      <vt:variant>
        <vt:i4>147</vt:i4>
      </vt:variant>
      <vt:variant>
        <vt:i4>0</vt:i4>
      </vt:variant>
      <vt:variant>
        <vt:i4>5</vt:i4>
      </vt:variant>
      <vt:variant>
        <vt:lpwstr>http://www.nevo.co.il/advertisements/nevo-100.doc</vt:lpwstr>
      </vt:variant>
      <vt:variant>
        <vt:lpwstr/>
      </vt:variant>
      <vt:variant>
        <vt:i4>393283</vt:i4>
      </vt:variant>
      <vt:variant>
        <vt:i4>144</vt:i4>
      </vt:variant>
      <vt:variant>
        <vt:i4>0</vt:i4>
      </vt:variant>
      <vt:variant>
        <vt:i4>5</vt:i4>
      </vt:variant>
      <vt:variant>
        <vt:lpwstr>http://www.nevo.co.il/advertisements/nevo-100.doc</vt:lpwstr>
      </vt:variant>
      <vt:variant>
        <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7798809</vt:i4>
      </vt:variant>
      <vt:variant>
        <vt:i4>30</vt:i4>
      </vt:variant>
      <vt:variant>
        <vt:i4>0</vt:i4>
      </vt:variant>
      <vt:variant>
        <vt:i4>5</vt:i4>
      </vt:variant>
      <vt:variant>
        <vt:lpwstr>http://www.nevo.co.il/Law_word/law07/mekomi-0842.pdf</vt:lpwstr>
      </vt:variant>
      <vt:variant>
        <vt:lpwstr/>
      </vt:variant>
      <vt:variant>
        <vt:i4>7864347</vt:i4>
      </vt:variant>
      <vt:variant>
        <vt:i4>27</vt:i4>
      </vt:variant>
      <vt:variant>
        <vt:i4>0</vt:i4>
      </vt:variant>
      <vt:variant>
        <vt:i4>5</vt:i4>
      </vt:variant>
      <vt:variant>
        <vt:lpwstr>http://www.nevo.co.il/Law_word/law07/mekomi-0366.pdf</vt:lpwstr>
      </vt:variant>
      <vt:variant>
        <vt:lpwstr/>
      </vt:variant>
      <vt:variant>
        <vt:i4>8060952</vt:i4>
      </vt:variant>
      <vt:variant>
        <vt:i4>24</vt:i4>
      </vt:variant>
      <vt:variant>
        <vt:i4>0</vt:i4>
      </vt:variant>
      <vt:variant>
        <vt:i4>5</vt:i4>
      </vt:variant>
      <vt:variant>
        <vt:lpwstr>http://www.nevo.co.il/Law_word/law07/mekomi-0254.pdf</vt:lpwstr>
      </vt:variant>
      <vt:variant>
        <vt:lpwstr/>
      </vt:variant>
      <vt:variant>
        <vt:i4>7733277</vt:i4>
      </vt:variant>
      <vt:variant>
        <vt:i4>21</vt:i4>
      </vt:variant>
      <vt:variant>
        <vt:i4>0</vt:i4>
      </vt:variant>
      <vt:variant>
        <vt:i4>5</vt:i4>
      </vt:variant>
      <vt:variant>
        <vt:lpwstr>http://www.nevo.co.il/Law_word/law07/mekomi-0209.pdf</vt:lpwstr>
      </vt:variant>
      <vt:variant>
        <vt:lpwstr/>
      </vt:variant>
      <vt:variant>
        <vt:i4>7602203</vt:i4>
      </vt:variant>
      <vt:variant>
        <vt:i4>18</vt:i4>
      </vt:variant>
      <vt:variant>
        <vt:i4>0</vt:i4>
      </vt:variant>
      <vt:variant>
        <vt:i4>5</vt:i4>
      </vt:variant>
      <vt:variant>
        <vt:lpwstr>http://www.nevo.co.il/Law_word/law07/mekomi-0168.pdf</vt:lpwstr>
      </vt:variant>
      <vt:variant>
        <vt:lpwstr/>
      </vt:variant>
      <vt:variant>
        <vt:i4>8126492</vt:i4>
      </vt:variant>
      <vt:variant>
        <vt:i4>15</vt:i4>
      </vt:variant>
      <vt:variant>
        <vt:i4>0</vt:i4>
      </vt:variant>
      <vt:variant>
        <vt:i4>5</vt:i4>
      </vt:variant>
      <vt:variant>
        <vt:lpwstr>http://www.nevo.co.il/Law_word/law07/mekomi-0011.pdf</vt:lpwstr>
      </vt:variant>
      <vt:variant>
        <vt:lpwstr/>
      </vt:variant>
      <vt:variant>
        <vt:i4>8060934</vt:i4>
      </vt:variant>
      <vt:variant>
        <vt:i4>12</vt:i4>
      </vt:variant>
      <vt:variant>
        <vt:i4>0</vt:i4>
      </vt:variant>
      <vt:variant>
        <vt:i4>5</vt:i4>
      </vt:variant>
      <vt:variant>
        <vt:lpwstr>http://www.nevo.co.il/law_word/law06/tak-3719.pdf</vt:lpwstr>
      </vt:variant>
      <vt:variant>
        <vt:lpwstr/>
      </vt:variant>
      <vt:variant>
        <vt:i4>8060939</vt:i4>
      </vt:variant>
      <vt:variant>
        <vt:i4>9</vt:i4>
      </vt:variant>
      <vt:variant>
        <vt:i4>0</vt:i4>
      </vt:variant>
      <vt:variant>
        <vt:i4>5</vt:i4>
      </vt:variant>
      <vt:variant>
        <vt:lpwstr>http://www.nevo.co.il/law_word/law06/tak-2407.pdf</vt:lpwstr>
      </vt:variant>
      <vt:variant>
        <vt:lpwstr/>
      </vt:variant>
      <vt:variant>
        <vt:i4>7929861</vt:i4>
      </vt:variant>
      <vt:variant>
        <vt:i4>6</vt:i4>
      </vt:variant>
      <vt:variant>
        <vt:i4>0</vt:i4>
      </vt:variant>
      <vt:variant>
        <vt:i4>5</vt:i4>
      </vt:variant>
      <vt:variant>
        <vt:lpwstr>http://www.nevo.co.il/law_word/law06/tak-1914.pdf</vt:lpwstr>
      </vt:variant>
      <vt:variant>
        <vt:lpwstr/>
      </vt:variant>
      <vt:variant>
        <vt:i4>7864321</vt:i4>
      </vt:variant>
      <vt:variant>
        <vt:i4>3</vt:i4>
      </vt:variant>
      <vt:variant>
        <vt:i4>0</vt:i4>
      </vt:variant>
      <vt:variant>
        <vt:i4>5</vt:i4>
      </vt:variant>
      <vt:variant>
        <vt:lpwstr>http://www.nevo.co.il/law_word/law06/tak-1801.pdf</vt:lpwstr>
      </vt:variant>
      <vt:variant>
        <vt:lpwstr/>
      </vt:variant>
      <vt:variant>
        <vt:i4>8257544</vt:i4>
      </vt:variant>
      <vt:variant>
        <vt:i4>0</vt:i4>
      </vt:variant>
      <vt:variant>
        <vt:i4>0</vt:i4>
      </vt:variant>
      <vt:variant>
        <vt:i4>5</vt:i4>
      </vt:variant>
      <vt:variant>
        <vt:lpwstr>http://www.nevo.co.il/law_word/law06/tak-1363.pdf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לירושלים (רוכלים), תשכ"ב-1962</vt:lpwstr>
  </property>
  <property fmtid="{D5CDD505-2E9C-101B-9397-08002B2CF9AE}" pid="5" name="LAWNUMBER">
    <vt:lpwstr>003_012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 1934</vt:lpwstr>
  </property>
  <property fmtid="{D5CDD505-2E9C-101B-9397-08002B2CF9AE}" pid="62" name="MEKOR_SAIF1">
    <vt:lpwstr>99X</vt:lpwstr>
  </property>
  <property fmtid="{D5CDD505-2E9C-101B-9397-08002B2CF9AE}" pid="63" name="MEKORSAMCHUT">
    <vt:lpwstr/>
  </property>
  <property fmtid="{D5CDD505-2E9C-101B-9397-08002B2CF9AE}" pid="64" name="LINKK1">
    <vt:lpwstr>http://www.nevo.co.il/Law_word/law07/mekomi-0842.pdf;‎רשומות - תקנות חש"ם#ק"ת חש"ם תשע"ו מס' ‏‏842 #מיום 14.1.2016 עמ' 83 – תיקון תשע"ו-2016 בסעיף 1(18) לחוק עזר לירושלים (ביטול סעיפי העונשין), תשע"ו-2016‏</vt:lpwstr>
  </property>
</Properties>
</file>