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9A46" w14:textId="77777777" w:rsidR="009345B3" w:rsidRDefault="009345B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עזר לירושלים (תיעול), תש"ם-1980</w:t>
      </w:r>
    </w:p>
    <w:p w14:paraId="4FE7587A" w14:textId="77777777" w:rsidR="009A4A4F" w:rsidRPr="009A4A4F" w:rsidRDefault="009A4A4F" w:rsidP="009A4A4F">
      <w:pPr>
        <w:spacing w:line="320" w:lineRule="auto"/>
        <w:jc w:val="left"/>
        <w:rPr>
          <w:rFonts w:cs="FrankRuehl"/>
          <w:szCs w:val="26"/>
          <w:rtl/>
        </w:rPr>
      </w:pPr>
    </w:p>
    <w:p w14:paraId="793A337B" w14:textId="77777777" w:rsidR="009A4A4F" w:rsidRDefault="009A4A4F" w:rsidP="009A4A4F">
      <w:pPr>
        <w:spacing w:line="320" w:lineRule="auto"/>
        <w:jc w:val="left"/>
        <w:rPr>
          <w:rtl/>
        </w:rPr>
      </w:pPr>
    </w:p>
    <w:p w14:paraId="48D5FCDB" w14:textId="77777777" w:rsidR="009A4A4F" w:rsidRPr="009A4A4F" w:rsidRDefault="009A4A4F" w:rsidP="009A4A4F">
      <w:pPr>
        <w:spacing w:line="320" w:lineRule="auto"/>
        <w:jc w:val="left"/>
        <w:rPr>
          <w:rFonts w:cs="Miriam"/>
          <w:szCs w:val="22"/>
          <w:rtl/>
        </w:rPr>
      </w:pPr>
      <w:r w:rsidRPr="009A4A4F">
        <w:rPr>
          <w:rFonts w:cs="Miriam"/>
          <w:szCs w:val="22"/>
          <w:rtl/>
        </w:rPr>
        <w:t>רשויות ומשפט מנהלי</w:t>
      </w:r>
      <w:r w:rsidRPr="009A4A4F">
        <w:rPr>
          <w:rFonts w:cs="FrankRuehl"/>
          <w:szCs w:val="26"/>
          <w:rtl/>
        </w:rPr>
        <w:t xml:space="preserve"> – רשויות מקומיות – חוקי עזר – תיעול</w:t>
      </w:r>
    </w:p>
    <w:p w14:paraId="54522B1C" w14:textId="77777777" w:rsidR="009345B3" w:rsidRDefault="009345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3A8D" w:rsidRPr="007B3A8D" w14:paraId="6842938A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4CAAEF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4683E4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B3E9F6B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767A66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74C13DBD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22F1F8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A992F5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החלטה להתקין תיעול</w:t>
            </w:r>
          </w:p>
        </w:tc>
        <w:tc>
          <w:tcPr>
            <w:tcW w:w="567" w:type="dxa"/>
          </w:tcPr>
          <w:p w14:paraId="24778F02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דעה על החלטה להתקין תיעול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B5F694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777A2F6B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6A81C8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501B4E3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תיעול</w:t>
            </w:r>
          </w:p>
        </w:tc>
        <w:tc>
          <w:tcPr>
            <w:tcW w:w="567" w:type="dxa"/>
          </w:tcPr>
          <w:p w14:paraId="5D85637F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ת תיעול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46E2DD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27EABD41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7A14BB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77A2352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מיוחדות בהתקנת תיעול</w:t>
            </w:r>
          </w:p>
        </w:tc>
        <w:tc>
          <w:tcPr>
            <w:tcW w:w="567" w:type="dxa"/>
          </w:tcPr>
          <w:p w14:paraId="03A9F562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מכויות מיוחדות בהתקנת תיעול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3755FE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57B5D11B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6B2121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FE2E9DE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567" w:type="dxa"/>
          </w:tcPr>
          <w:p w14:paraId="6F32E5A7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רשות כניסה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A12930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4C9E1B6B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23DB43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B9F8D1A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 תיעול באדמה חקלאית</w:t>
            </w:r>
          </w:p>
        </w:tc>
        <w:tc>
          <w:tcPr>
            <w:tcW w:w="567" w:type="dxa"/>
          </w:tcPr>
          <w:p w14:paraId="32F510B6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יטל תיעול באדמה חקלאית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8EF01A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0732077C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8EA904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3F6F3CA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לביצוע עבודות להחזרת התעלה לקדמותה</w:t>
            </w:r>
          </w:p>
        </w:tc>
        <w:tc>
          <w:tcPr>
            <w:tcW w:w="567" w:type="dxa"/>
          </w:tcPr>
          <w:p w14:paraId="73F37774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רישה לביצוע עבודות להחזרת התעלה לקדמותה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3A8CA2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27088379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55D15A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684D311A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ביצעו עבודות על ידי העיריה</w:t>
            </w:r>
          </w:p>
        </w:tc>
        <w:tc>
          <w:tcPr>
            <w:tcW w:w="567" w:type="dxa"/>
          </w:tcPr>
          <w:p w14:paraId="74619041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צעו עבודות על ידי העיריה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E7F756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2860463A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87BA6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369C35BE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567" w:type="dxa"/>
          </w:tcPr>
          <w:p w14:paraId="21C69AD5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סירת הודעה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2EAAEE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7F0D5361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2E9C7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9א </w:t>
            </w:r>
          </w:p>
        </w:tc>
        <w:tc>
          <w:tcPr>
            <w:tcW w:w="5669" w:type="dxa"/>
          </w:tcPr>
          <w:p w14:paraId="237F2E71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מגבלת גבייה</w:t>
            </w:r>
          </w:p>
        </w:tc>
        <w:tc>
          <w:tcPr>
            <w:tcW w:w="567" w:type="dxa"/>
          </w:tcPr>
          <w:p w14:paraId="612572E6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גבלת גבייה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B5D730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7A4D05FB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44B5B0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FFAE7BF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79956D1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A44DE4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3A8D" w:rsidRPr="007B3A8D" w14:paraId="4C101D05" w14:textId="77777777" w:rsidTr="007B3A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EB6C6F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DABE114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תיעול</w:t>
            </w:r>
          </w:p>
        </w:tc>
        <w:tc>
          <w:tcPr>
            <w:tcW w:w="567" w:type="dxa"/>
          </w:tcPr>
          <w:p w14:paraId="65E66E64" w14:textId="77777777" w:rsidR="007B3A8D" w:rsidRPr="007B3A8D" w:rsidRDefault="007B3A8D" w:rsidP="007B3A8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אגרת תיעול" w:history="1">
              <w:r w:rsidRPr="007B3A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25E006" w14:textId="77777777" w:rsidR="007B3A8D" w:rsidRPr="007B3A8D" w:rsidRDefault="007B3A8D" w:rsidP="007B3A8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3636AA" w14:textId="77777777" w:rsidR="009345B3" w:rsidRDefault="009345B3">
      <w:pPr>
        <w:pStyle w:val="big-header"/>
        <w:ind w:left="0" w:right="1134"/>
        <w:rPr>
          <w:rFonts w:cs="FrankRuehl"/>
          <w:sz w:val="32"/>
          <w:rtl/>
        </w:rPr>
      </w:pPr>
    </w:p>
    <w:p w14:paraId="37DBD62D" w14:textId="77777777" w:rsidR="009345B3" w:rsidRDefault="009345B3">
      <w:pPr>
        <w:pStyle w:val="big-header"/>
        <w:ind w:left="0" w:right="1134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eastAsia"/>
          <w:sz w:val="32"/>
          <w:rtl/>
        </w:rPr>
        <w:lastRenderedPageBreak/>
        <w:t>חוק</w:t>
      </w:r>
      <w:r>
        <w:rPr>
          <w:rFonts w:cs="FrankRuehl"/>
          <w:sz w:val="32"/>
          <w:rtl/>
        </w:rPr>
        <w:t xml:space="preserve"> עזר </w:t>
      </w:r>
      <w:r>
        <w:rPr>
          <w:rFonts w:cs="FrankRuehl" w:hint="cs"/>
          <w:sz w:val="32"/>
          <w:rtl/>
        </w:rPr>
        <w:t>לירושלים</w:t>
      </w:r>
      <w:r>
        <w:rPr>
          <w:rFonts w:cs="FrankRuehl"/>
          <w:sz w:val="32"/>
          <w:rtl/>
        </w:rPr>
        <w:t xml:space="preserve"> (</w:t>
      </w:r>
      <w:r>
        <w:rPr>
          <w:rFonts w:cs="FrankRuehl" w:hint="cs"/>
          <w:sz w:val="32"/>
          <w:rtl/>
        </w:rPr>
        <w:t>תיעול</w:t>
      </w:r>
      <w:r>
        <w:rPr>
          <w:rFonts w:cs="FrankRuehl"/>
          <w:sz w:val="32"/>
          <w:rtl/>
        </w:rPr>
        <w:t>), תש</w:t>
      </w:r>
      <w:r>
        <w:rPr>
          <w:rFonts w:cs="FrankRuehl" w:hint="cs"/>
          <w:sz w:val="32"/>
          <w:rtl/>
        </w:rPr>
        <w:t>"ם</w:t>
      </w:r>
      <w:r>
        <w:rPr>
          <w:rFonts w:cs="FrankRuehl"/>
          <w:sz w:val="32"/>
          <w:rtl/>
        </w:rPr>
        <w:t>-</w:t>
      </w:r>
      <w:r>
        <w:rPr>
          <w:rFonts w:cs="FrankRuehl" w:hint="cs"/>
          <w:sz w:val="32"/>
          <w:rtl/>
        </w:rPr>
        <w:t>1980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7B43B97" w14:textId="77777777" w:rsidR="009345B3" w:rsidRDefault="005A4052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9345B3">
        <w:rPr>
          <w:rFonts w:cs="FrankRuehl"/>
          <w:rtl/>
          <w:lang w:val="he-IL"/>
        </w:rPr>
        <w:t>בתוקף סמכותה לפי סעיפים 250</w:t>
      </w:r>
      <w:r w:rsidR="009345B3">
        <w:rPr>
          <w:rFonts w:cs="FrankRuehl" w:hint="cs"/>
          <w:rtl/>
          <w:lang w:val="he-IL"/>
        </w:rPr>
        <w:t>, 251, 252</w:t>
      </w:r>
      <w:r w:rsidR="009345B3">
        <w:rPr>
          <w:rFonts w:cs="FrankRuehl"/>
          <w:rtl/>
          <w:lang w:val="he-IL"/>
        </w:rPr>
        <w:t xml:space="preserve"> ו</w:t>
      </w:r>
      <w:r w:rsidR="009345B3"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 w:rsidR="009345B3">
        <w:rPr>
          <w:rFonts w:cs="FrankRuehl"/>
          <w:rtl/>
          <w:lang w:val="he-IL"/>
        </w:rPr>
        <w:t>25</w:t>
      </w:r>
      <w:r w:rsidR="009345B3">
        <w:rPr>
          <w:rFonts w:cs="FrankRuehl" w:hint="cs"/>
          <w:rtl/>
          <w:lang w:val="he-IL"/>
        </w:rPr>
        <w:t>4</w:t>
      </w:r>
      <w:r w:rsidR="009345B3">
        <w:rPr>
          <w:rFonts w:cs="FrankRuehl"/>
          <w:rtl/>
          <w:lang w:val="he-IL"/>
        </w:rPr>
        <w:t xml:space="preserve"> לפקודת העיר</w:t>
      </w:r>
      <w:r w:rsidR="009345B3">
        <w:rPr>
          <w:rFonts w:cs="FrankRuehl" w:hint="cs"/>
          <w:rtl/>
          <w:lang w:val="he-IL"/>
        </w:rPr>
        <w:t>י</w:t>
      </w:r>
      <w:r w:rsidR="009345B3">
        <w:rPr>
          <w:rFonts w:cs="FrankRuehl"/>
          <w:rtl/>
          <w:lang w:val="he-IL"/>
        </w:rPr>
        <w:t>ות</w:t>
      </w:r>
      <w:r w:rsidR="009345B3">
        <w:rPr>
          <w:rFonts w:cs="FrankRuehl" w:hint="cs"/>
          <w:rtl/>
          <w:lang w:val="he-IL"/>
        </w:rPr>
        <w:t xml:space="preserve">, </w:t>
      </w:r>
      <w:r w:rsidR="009345B3">
        <w:rPr>
          <w:rFonts w:cs="FrankRuehl"/>
          <w:rtl/>
          <w:lang w:val="he-IL"/>
        </w:rPr>
        <w:t>מתקינה מועצת עי</w:t>
      </w:r>
      <w:r w:rsidR="009345B3">
        <w:rPr>
          <w:rFonts w:cs="FrankRuehl" w:hint="cs"/>
          <w:rtl/>
          <w:lang w:val="he-IL"/>
        </w:rPr>
        <w:t>רי</w:t>
      </w:r>
      <w:r w:rsidR="009345B3">
        <w:rPr>
          <w:rFonts w:cs="FrankRuehl"/>
          <w:rtl/>
          <w:lang w:val="he-IL"/>
        </w:rPr>
        <w:t xml:space="preserve">ית </w:t>
      </w:r>
      <w:r w:rsidR="009345B3">
        <w:rPr>
          <w:rFonts w:cs="FrankRuehl" w:hint="cs"/>
          <w:rtl/>
          <w:lang w:val="he-IL"/>
        </w:rPr>
        <w:t>ירושלים</w:t>
      </w:r>
      <w:r w:rsidR="009345B3">
        <w:rPr>
          <w:rFonts w:cs="FrankRuehl"/>
          <w:rtl/>
          <w:lang w:val="he-IL"/>
        </w:rPr>
        <w:t xml:space="preserve"> חוק עזר</w:t>
      </w:r>
      <w:r w:rsidR="009345B3">
        <w:rPr>
          <w:rFonts w:cs="FrankRuehl" w:hint="cs"/>
          <w:rtl/>
          <w:lang w:val="he-IL"/>
        </w:rPr>
        <w:t xml:space="preserve"> זה:</w:t>
      </w:r>
    </w:p>
    <w:p w14:paraId="285ECF06" w14:textId="77777777" w:rsidR="009345B3" w:rsidRDefault="009345B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62BFE8D3">
          <v:rect id="_x0000_s1026" style="position:absolute;left:0;text-align:left;margin-left:464.5pt;margin-top:8.05pt;width:75.05pt;height:16.8pt;z-index:251651584" o:allowincell="f" filled="f" stroked="f" strokecolor="lime" strokeweight=".25pt">
            <v:textbox style="mso-next-textbox:#_x0000_s1026" inset="0,0,0,0">
              <w:txbxContent>
                <w:p w14:paraId="7E8522C3" w14:textId="77777777" w:rsidR="009345B3" w:rsidRDefault="009345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14:paraId="5838D160" w14:textId="77777777" w:rsidR="009345B3" w:rsidRDefault="009345B3">
      <w:pPr>
        <w:pStyle w:val="P00"/>
        <w:spacing w:before="72"/>
        <w:ind w:left="0" w:right="1134"/>
        <w:rPr>
          <w:rFonts w:cs="FrankRuehl" w:hint="eastAsia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"אזור איסוף" </w:t>
      </w:r>
      <w:r>
        <w:rPr>
          <w:rFonts w:cs="FrankRuehl" w:hint="eastAsia"/>
          <w:rtl/>
          <w:lang w:eastAsia="en-US"/>
        </w:rPr>
        <w:t xml:space="preserve">– שטח שממנו נקווים </w:t>
      </w:r>
      <w:r>
        <w:rPr>
          <w:rFonts w:cs="FrankRuehl" w:hint="cs"/>
          <w:rtl/>
          <w:lang w:eastAsia="en-US"/>
        </w:rPr>
        <w:t>ה</w:t>
      </w:r>
      <w:r>
        <w:rPr>
          <w:rFonts w:cs="FrankRuehl" w:hint="eastAsia"/>
          <w:rtl/>
          <w:lang w:eastAsia="en-US"/>
        </w:rPr>
        <w:t xml:space="preserve">מים </w:t>
      </w:r>
      <w:r>
        <w:rPr>
          <w:rFonts w:cs="FrankRuehl" w:hint="cs"/>
          <w:rtl/>
          <w:lang w:eastAsia="en-US"/>
        </w:rPr>
        <w:t>העליונים</w:t>
      </w:r>
      <w:r>
        <w:rPr>
          <w:rFonts w:cs="FrankRuehl" w:hint="eastAsia"/>
          <w:rtl/>
          <w:lang w:eastAsia="en-US"/>
        </w:rPr>
        <w:t xml:space="preserve"> אל תעלה או אל צינורות תיעול וניקוז, </w:t>
      </w:r>
      <w:r>
        <w:rPr>
          <w:rFonts w:cs="FrankRuehl" w:hint="cs"/>
          <w:rtl/>
          <w:lang w:eastAsia="en-US"/>
        </w:rPr>
        <w:t xml:space="preserve">שנקבע על ידי </w:t>
      </w:r>
      <w:r>
        <w:rPr>
          <w:rFonts w:cs="FrankRuehl" w:hint="eastAsia"/>
          <w:rtl/>
          <w:lang w:eastAsia="en-US"/>
        </w:rPr>
        <w:t xml:space="preserve">המהנדס כאזור </w:t>
      </w:r>
      <w:r>
        <w:rPr>
          <w:rFonts w:cs="FrankRuehl" w:hint="cs"/>
          <w:rtl/>
          <w:lang w:eastAsia="en-US"/>
        </w:rPr>
        <w:t>ל</w:t>
      </w:r>
      <w:r>
        <w:rPr>
          <w:rFonts w:cs="FrankRuehl" w:hint="eastAsia"/>
          <w:rtl/>
          <w:lang w:eastAsia="en-US"/>
        </w:rPr>
        <w:t>איסוף</w:t>
      </w:r>
      <w:r>
        <w:rPr>
          <w:rFonts w:cs="FrankRuehl" w:hint="cs"/>
          <w:rtl/>
          <w:lang w:eastAsia="en-US"/>
        </w:rPr>
        <w:t xml:space="preserve"> מי גשמים או מים עליונים</w:t>
      </w:r>
      <w:r>
        <w:rPr>
          <w:rFonts w:cs="FrankRuehl" w:hint="eastAsia"/>
          <w:rtl/>
          <w:lang w:eastAsia="en-US"/>
        </w:rPr>
        <w:t>;</w:t>
      </w:r>
    </w:p>
    <w:p w14:paraId="16C5328F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"בעל נכס"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אחד </w:t>
      </w:r>
      <w:r>
        <w:rPr>
          <w:rFonts w:cs="FrankRuehl" w:hint="cs"/>
          <w:rtl/>
          <w:lang w:eastAsia="en-US"/>
        </w:rPr>
        <w:t>או יותר מאחד מאלה</w:t>
      </w:r>
      <w:r>
        <w:rPr>
          <w:rFonts w:cs="FrankRuehl"/>
          <w:rtl/>
          <w:lang w:eastAsia="en-US"/>
        </w:rPr>
        <w:t>:</w:t>
      </w:r>
    </w:p>
    <w:p w14:paraId="263153E5" w14:textId="77777777" w:rsidR="009345B3" w:rsidRDefault="009345B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הבעל הרשום של הנכס;</w:t>
      </w:r>
    </w:p>
    <w:p w14:paraId="4D6C37A8" w14:textId="77777777" w:rsidR="009345B3" w:rsidRDefault="009345B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אד</w:t>
      </w:r>
      <w:r>
        <w:rPr>
          <w:rFonts w:cs="FrankRuehl" w:hint="cs"/>
          <w:rtl/>
          <w:lang w:eastAsia="en-US"/>
        </w:rPr>
        <w:t>ם</w:t>
      </w:r>
      <w:r>
        <w:rPr>
          <w:rFonts w:cs="FrankRuehl"/>
          <w:rtl/>
          <w:lang w:eastAsia="en-US"/>
        </w:rPr>
        <w:t xml:space="preserve"> המקבל או הזכאי לקבל הכנסה מנכס או שהיה מקבלה אילו היה הנכס נותן הכנ</w:t>
      </w:r>
      <w:r>
        <w:rPr>
          <w:rFonts w:cs="FrankRuehl" w:hint="cs"/>
          <w:rtl/>
          <w:lang w:eastAsia="en-US"/>
        </w:rPr>
        <w:t>ס</w:t>
      </w:r>
      <w:r>
        <w:rPr>
          <w:rFonts w:cs="FrankRuehl"/>
          <w:rtl/>
          <w:lang w:eastAsia="en-US"/>
        </w:rPr>
        <w:t>ה, בין בזכותו וב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>ן כמורשה, כנאמן או כבא-כו</w:t>
      </w:r>
      <w:r>
        <w:rPr>
          <w:rFonts w:cs="FrankRuehl" w:hint="cs"/>
          <w:rtl/>
          <w:lang w:eastAsia="en-US"/>
        </w:rPr>
        <w:t>ח</w:t>
      </w:r>
      <w:r>
        <w:rPr>
          <w:rFonts w:cs="FrankRuehl"/>
          <w:rtl/>
          <w:lang w:eastAsia="en-US"/>
        </w:rPr>
        <w:t>;</w:t>
      </w:r>
    </w:p>
    <w:p w14:paraId="4B9FFC1A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>שוכר או ש</w:t>
      </w:r>
      <w:r w:rsidR="009345B3">
        <w:rPr>
          <w:rFonts w:cs="FrankRuehl" w:hint="cs"/>
          <w:rtl/>
          <w:lang w:eastAsia="en-US"/>
        </w:rPr>
        <w:t>ו</w:t>
      </w:r>
      <w:r w:rsidR="009345B3">
        <w:rPr>
          <w:rFonts w:cs="FrankRuehl"/>
          <w:rtl/>
          <w:lang w:eastAsia="en-US"/>
        </w:rPr>
        <w:t>כר משנה ששכר א</w:t>
      </w:r>
      <w:r w:rsidR="009345B3">
        <w:rPr>
          <w:rFonts w:cs="FrankRuehl" w:hint="cs"/>
          <w:rtl/>
          <w:lang w:eastAsia="en-US"/>
        </w:rPr>
        <w:t>ת</w:t>
      </w:r>
      <w:r w:rsidR="009345B3">
        <w:rPr>
          <w:rFonts w:cs="FrankRuehl"/>
          <w:rtl/>
          <w:lang w:eastAsia="en-US"/>
        </w:rPr>
        <w:t xml:space="preserve"> ה</w:t>
      </w:r>
      <w:r w:rsidR="009345B3">
        <w:rPr>
          <w:rFonts w:cs="FrankRuehl" w:hint="cs"/>
          <w:rtl/>
          <w:lang w:eastAsia="en-US"/>
        </w:rPr>
        <w:t>נ</w:t>
      </w:r>
      <w:r w:rsidR="009345B3">
        <w:rPr>
          <w:rFonts w:cs="FrankRuehl"/>
          <w:rtl/>
          <w:lang w:eastAsia="en-US"/>
        </w:rPr>
        <w:t>כס לתקופה שלמעלה מ</w:t>
      </w:r>
      <w:r w:rsidR="009345B3">
        <w:rPr>
          <w:rFonts w:cs="FrankRuehl" w:hint="cs"/>
          <w:rtl/>
          <w:lang w:eastAsia="en-US"/>
        </w:rPr>
        <w:t>ח</w:t>
      </w:r>
      <w:r w:rsidR="009345B3">
        <w:rPr>
          <w:rFonts w:cs="FrankRuehl"/>
          <w:rtl/>
          <w:lang w:eastAsia="en-US"/>
        </w:rPr>
        <w:t>מש שנים;</w:t>
      </w:r>
    </w:p>
    <w:p w14:paraId="539743A4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(4)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>בעל דירה כמשמעותו בחוק המק</w:t>
      </w:r>
      <w:r w:rsidR="009345B3">
        <w:rPr>
          <w:rFonts w:cs="FrankRuehl" w:hint="cs"/>
          <w:rtl/>
          <w:lang w:eastAsia="en-US"/>
        </w:rPr>
        <w:t>רק</w:t>
      </w:r>
      <w:r w:rsidR="009345B3">
        <w:rPr>
          <w:rFonts w:cs="FrankRuehl"/>
          <w:rtl/>
          <w:lang w:eastAsia="en-US"/>
        </w:rPr>
        <w:t>עין, תשכ"ט</w:t>
      </w:r>
      <w:r w:rsidR="009345B3">
        <w:rPr>
          <w:rFonts w:cs="FrankRuehl" w:hint="cs"/>
          <w:rtl/>
          <w:lang w:eastAsia="en-US"/>
        </w:rPr>
        <w:t>-</w:t>
      </w:r>
      <w:r w:rsidR="009345B3">
        <w:rPr>
          <w:rFonts w:cs="FrankRuehl"/>
          <w:rtl/>
          <w:lang w:eastAsia="en-US"/>
        </w:rPr>
        <w:t xml:space="preserve">1969 (להלן </w:t>
      </w:r>
      <w:r w:rsidR="009345B3">
        <w:rPr>
          <w:rFonts w:cs="FrankRuehl" w:hint="cs"/>
          <w:rtl/>
          <w:lang w:eastAsia="en-US"/>
        </w:rPr>
        <w:t>–</w:t>
      </w:r>
      <w:r w:rsidR="009345B3">
        <w:rPr>
          <w:rFonts w:cs="FrankRuehl"/>
          <w:rtl/>
          <w:lang w:eastAsia="en-US"/>
        </w:rPr>
        <w:t xml:space="preserve"> </w:t>
      </w:r>
      <w:r w:rsidR="009345B3">
        <w:rPr>
          <w:rFonts w:cs="FrankRuehl" w:hint="cs"/>
          <w:rtl/>
          <w:lang w:eastAsia="en-US"/>
        </w:rPr>
        <w:t>ח</w:t>
      </w:r>
      <w:r w:rsidR="009345B3">
        <w:rPr>
          <w:rFonts w:cs="FrankRuehl"/>
          <w:rtl/>
          <w:lang w:eastAsia="en-US"/>
        </w:rPr>
        <w:t>וק המקרקעין);</w:t>
      </w:r>
    </w:p>
    <w:p w14:paraId="6D0ACE61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(5)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 xml:space="preserve">נציגות בית </w:t>
      </w:r>
      <w:r w:rsidR="009345B3">
        <w:rPr>
          <w:rFonts w:cs="FrankRuehl" w:hint="cs"/>
          <w:rtl/>
          <w:lang w:eastAsia="en-US"/>
        </w:rPr>
        <w:t>מ</w:t>
      </w:r>
      <w:r w:rsidR="009345B3">
        <w:rPr>
          <w:rFonts w:cs="FrankRuehl"/>
          <w:rtl/>
          <w:lang w:eastAsia="en-US"/>
        </w:rPr>
        <w:t>שותף כמשמעות</w:t>
      </w:r>
      <w:r w:rsidR="009345B3">
        <w:rPr>
          <w:rFonts w:cs="FrankRuehl" w:hint="cs"/>
          <w:rtl/>
          <w:lang w:eastAsia="en-US"/>
        </w:rPr>
        <w:t>ה בחוק המקרקעין;</w:t>
      </w:r>
    </w:p>
    <w:p w14:paraId="529C5D57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"התקנת תיעול"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התקנת צינורות תיעול וניקוז לאזור אחד או לאזורי איסוף אחדים, לרבות עבודות ופעול</w:t>
      </w:r>
      <w:r>
        <w:rPr>
          <w:rFonts w:cs="FrankRuehl" w:hint="cs"/>
          <w:rtl/>
          <w:lang w:eastAsia="en-US"/>
        </w:rPr>
        <w:t>ו</w:t>
      </w:r>
      <w:r>
        <w:rPr>
          <w:rFonts w:cs="FrankRuehl"/>
          <w:rtl/>
          <w:lang w:eastAsia="en-US"/>
        </w:rPr>
        <w:t>ת אלה:</w:t>
      </w:r>
    </w:p>
    <w:p w14:paraId="53B5C76B" w14:textId="77777777" w:rsidR="009345B3" w:rsidRDefault="009345B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חפירה, מילוי, פילוס, סילוק עמודי חשמל, טלגרף או טלפון, הקמ</w:t>
      </w:r>
      <w:r>
        <w:rPr>
          <w:rFonts w:cs="FrankRuehl" w:hint="cs"/>
          <w:rtl/>
          <w:lang w:eastAsia="en-US"/>
        </w:rPr>
        <w:t>ת</w:t>
      </w:r>
      <w:r>
        <w:rPr>
          <w:rFonts w:cs="FrankRuehl"/>
          <w:rtl/>
          <w:lang w:eastAsia="en-US"/>
        </w:rPr>
        <w:t>ם מחדש, עקירת עצים, הריסת קירות, גדרות או מבנים אחרים, בנייתם מחדש, בנייתם ושינוים של קירות תומכים או אבני שפה, גשרים, גשרונים, מע</w:t>
      </w:r>
      <w:r>
        <w:rPr>
          <w:rFonts w:cs="FrankRuehl" w:hint="cs"/>
          <w:rtl/>
          <w:lang w:eastAsia="en-US"/>
        </w:rPr>
        <w:t>בי</w:t>
      </w:r>
      <w:r>
        <w:rPr>
          <w:rFonts w:cs="FrankRuehl"/>
          <w:rtl/>
          <w:lang w:eastAsia="en-US"/>
        </w:rPr>
        <w:t>רי מים, הקמתם, בנייתם מחדש ושינוים, הנ</w:t>
      </w:r>
      <w:r>
        <w:rPr>
          <w:rFonts w:cs="FrankRuehl" w:hint="cs"/>
          <w:rtl/>
          <w:lang w:eastAsia="en-US"/>
        </w:rPr>
        <w:t>ח</w:t>
      </w:r>
      <w:r>
        <w:rPr>
          <w:rFonts w:cs="FrankRuehl"/>
          <w:rtl/>
          <w:lang w:eastAsia="en-US"/>
        </w:rPr>
        <w:t>ת צינורות, בנ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>ית תאי קיבול למי גשמים או רשתות, כיסוי תעלות, ייבוש אדמות וביצות, הסד</w:t>
      </w:r>
      <w:r>
        <w:rPr>
          <w:rFonts w:cs="FrankRuehl" w:hint="cs"/>
          <w:rtl/>
          <w:lang w:eastAsia="en-US"/>
        </w:rPr>
        <w:t>ר</w:t>
      </w:r>
      <w:r>
        <w:rPr>
          <w:rFonts w:cs="FrankRuehl"/>
          <w:rtl/>
          <w:lang w:eastAsia="en-US"/>
        </w:rPr>
        <w:t xml:space="preserve"> זרימה של מי גשמים ותיקון נזקים שנגרמו לנכסים כתוצאה מביצוע עבודו</w:t>
      </w:r>
      <w:r>
        <w:rPr>
          <w:rFonts w:cs="FrankRuehl" w:hint="cs"/>
          <w:rtl/>
          <w:lang w:eastAsia="en-US"/>
        </w:rPr>
        <w:t>ת</w:t>
      </w:r>
      <w:r>
        <w:rPr>
          <w:rFonts w:cs="FrankRuehl"/>
          <w:rtl/>
          <w:lang w:eastAsia="en-US"/>
        </w:rPr>
        <w:t xml:space="preserve"> תיעול;</w:t>
      </w:r>
    </w:p>
    <w:p w14:paraId="7FB03486" w14:textId="77777777" w:rsidR="009345B3" w:rsidRDefault="009345B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הכנת תכניות התיעול והניקוז וההשגחה על ביצוע העבודות;</w:t>
      </w:r>
    </w:p>
    <w:p w14:paraId="25DC0506" w14:textId="77777777" w:rsidR="009345B3" w:rsidRDefault="009345B3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כל עבודה או פעולה אחרת הדרוש</w:t>
      </w:r>
      <w:r>
        <w:rPr>
          <w:rFonts w:cs="FrankRuehl" w:hint="cs"/>
          <w:rtl/>
          <w:lang w:eastAsia="en-US"/>
        </w:rPr>
        <w:t>ה</w:t>
      </w:r>
      <w:r>
        <w:rPr>
          <w:rFonts w:cs="FrankRuehl"/>
          <w:rtl/>
          <w:lang w:eastAsia="en-US"/>
        </w:rPr>
        <w:t xml:space="preserve"> להתקנת התיעול או הכרוכה בה;</w:t>
      </w:r>
    </w:p>
    <w:p w14:paraId="04B972E7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"המה</w:t>
      </w:r>
      <w:r>
        <w:rPr>
          <w:rFonts w:cs="FrankRuehl" w:hint="cs"/>
          <w:rtl/>
          <w:lang w:eastAsia="en-US"/>
        </w:rPr>
        <w:t>נד</w:t>
      </w:r>
      <w:r>
        <w:rPr>
          <w:rFonts w:cs="FrankRuehl"/>
          <w:rtl/>
          <w:lang w:eastAsia="en-US"/>
        </w:rPr>
        <w:t xml:space="preserve">ס" – </w:t>
      </w:r>
      <w:r>
        <w:rPr>
          <w:rFonts w:cs="FrankRuehl" w:hint="cs"/>
          <w:rtl/>
          <w:lang w:eastAsia="en-US"/>
        </w:rPr>
        <w:t>אדם שמינתה המועצה למלא את תפקידי המהנדס, כולם או מקצתם;</w:t>
      </w:r>
    </w:p>
    <w:p w14:paraId="5979B27A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"מועצה" </w:t>
      </w:r>
      <w:r>
        <w:rPr>
          <w:rFonts w:cs="FrankRuehl" w:hint="eastAsia"/>
          <w:rtl/>
          <w:lang w:eastAsia="en-US"/>
        </w:rPr>
        <w:t>– מועצת העיריה</w:t>
      </w:r>
      <w:r>
        <w:rPr>
          <w:rFonts w:cs="FrankRuehl"/>
          <w:rtl/>
          <w:lang w:eastAsia="en-US"/>
        </w:rPr>
        <w:t>;</w:t>
      </w:r>
    </w:p>
    <w:p w14:paraId="2CC0D2C1" w14:textId="77777777" w:rsidR="009345B3" w:rsidRDefault="009345B3">
      <w:pPr>
        <w:pStyle w:val="P00"/>
        <w:spacing w:before="72"/>
        <w:ind w:left="0" w:right="1134"/>
        <w:rPr>
          <w:rFonts w:cs="FrankRuehl" w:hint="eastAsia"/>
          <w:rtl/>
          <w:lang w:eastAsia="en-US"/>
        </w:rPr>
      </w:pPr>
      <w:r>
        <w:rPr>
          <w:rFonts w:cs="FrankRuehl" w:hint="cs"/>
          <w:rtl/>
          <w:lang w:eastAsia="en-US"/>
        </w:rPr>
        <w:tab/>
        <w:t xml:space="preserve">"מנהל" </w:t>
      </w:r>
      <w:r>
        <w:rPr>
          <w:rFonts w:cs="FrankRuehl" w:hint="eastAsia"/>
          <w:rtl/>
          <w:lang w:eastAsia="en-US"/>
        </w:rPr>
        <w:t>– אדם שמינתה המועצה למלא את תפקידי המנהל, כולם או מקצתם;</w:t>
      </w:r>
    </w:p>
    <w:p w14:paraId="7C62072F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"נכס"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 xml:space="preserve">כל בנין וכל קרקע וכל חלק מבנין וכן חלק מקרקע המהווים יחידת רישום נפרדת </w:t>
      </w:r>
      <w:r>
        <w:rPr>
          <w:rFonts w:cs="FrankRuehl" w:hint="cs"/>
          <w:rtl/>
          <w:lang w:eastAsia="en-US"/>
        </w:rPr>
        <w:lastRenderedPageBreak/>
        <w:t>בספרי רישום המקרקעין, למעט רחובות, הנמצאים בתחום העיריה; בהעדר חלוקה אך כאשר יש חלוקה פנימית של הנכס, מכוח הסכם בין הבעלים או בהתאם לתכנית בנין עיר, יראו כל חלק לפי חלוקה כאמור, כנכס כמשמעותו בחוק עזר זה;</w:t>
      </w:r>
    </w:p>
    <w:p w14:paraId="57BA8471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</w:t>
      </w:r>
      <w:r>
        <w:rPr>
          <w:rFonts w:cs="FrankRuehl" w:hint="cs"/>
          <w:rtl/>
          <w:lang w:eastAsia="en-US"/>
        </w:rPr>
        <w:t>דירה</w:t>
      </w:r>
      <w:r>
        <w:rPr>
          <w:rFonts w:cs="FrankRuehl"/>
          <w:rtl/>
          <w:lang w:eastAsia="en-US"/>
        </w:rPr>
        <w:t xml:space="preserve">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חדר או חדרים שנועדו לשמש יחידה נפרדת למגורים, לעסק או לכל צורך אחר</w:t>
      </w:r>
      <w:r>
        <w:rPr>
          <w:rFonts w:cs="FrankRuehl"/>
          <w:rtl/>
          <w:lang w:eastAsia="en-US"/>
        </w:rPr>
        <w:t>;</w:t>
      </w:r>
    </w:p>
    <w:p w14:paraId="2977D252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"ב</w:t>
      </w:r>
      <w:r>
        <w:rPr>
          <w:rFonts w:cs="FrankRuehl" w:hint="cs"/>
          <w:rtl/>
          <w:lang w:eastAsia="en-US"/>
        </w:rPr>
        <w:t>ית</w:t>
      </w:r>
      <w:r>
        <w:rPr>
          <w:rFonts w:cs="FrankRuehl"/>
          <w:rtl/>
          <w:lang w:eastAsia="en-US"/>
        </w:rPr>
        <w:t xml:space="preserve"> דירות"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בית שיש בו יותר מד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>רה אחת;</w:t>
      </w:r>
    </w:p>
    <w:p w14:paraId="74CC6383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"שטח דירה"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לפי הבנוי למעשה והמחושב בהתאם לסימן ב' ל</w:t>
      </w:r>
      <w:r>
        <w:rPr>
          <w:rFonts w:cs="FrankRuehl" w:hint="cs"/>
          <w:rtl/>
          <w:lang w:eastAsia="en-US"/>
        </w:rPr>
        <w:t>ת</w:t>
      </w:r>
      <w:r>
        <w:rPr>
          <w:rFonts w:cs="FrankRuehl"/>
          <w:rtl/>
          <w:lang w:eastAsia="en-US"/>
        </w:rPr>
        <w:t>וספת השלישית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לתקנות התכנון והבניה (בקשה להיתר, תנאיו ואגרות), תש"ל</w:t>
      </w:r>
      <w:r>
        <w:rPr>
          <w:rFonts w:cs="FrankRuehl" w:hint="cs"/>
          <w:rtl/>
          <w:lang w:eastAsia="en-US"/>
        </w:rPr>
        <w:t xml:space="preserve">-1970 </w:t>
      </w:r>
      <w:r>
        <w:rPr>
          <w:rFonts w:cs="FrankRuehl"/>
          <w:rtl/>
          <w:lang w:eastAsia="en-US"/>
        </w:rPr>
        <w:t xml:space="preserve">(להלן </w:t>
      </w:r>
      <w:r>
        <w:rPr>
          <w:rFonts w:cs="FrankRuehl" w:hint="cs"/>
          <w:rtl/>
          <w:lang w:eastAsia="en-US"/>
        </w:rPr>
        <w:t xml:space="preserve">– </w:t>
      </w:r>
      <w:r>
        <w:rPr>
          <w:rFonts w:cs="FrankRuehl"/>
          <w:rtl/>
          <w:lang w:eastAsia="en-US"/>
        </w:rPr>
        <w:t>תקנות התכנון והבניה);</w:t>
      </w:r>
    </w:p>
    <w:p w14:paraId="60127C9E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"שטח דירה בבית דירות"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שטח דירה לרבות חלק יחסי מן השטח ה</w:t>
      </w:r>
      <w:r>
        <w:rPr>
          <w:rFonts w:cs="FrankRuehl" w:hint="cs"/>
          <w:rtl/>
          <w:lang w:eastAsia="en-US"/>
        </w:rPr>
        <w:t>ב</w:t>
      </w:r>
      <w:r>
        <w:rPr>
          <w:rFonts w:cs="FrankRuehl"/>
          <w:rtl/>
          <w:lang w:eastAsia="en-US"/>
        </w:rPr>
        <w:t>נוי, שהוא רכוש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משותף כמשמעותו בחוק המקרקעין, בין אם הבית רשום כבית משותף ובין אם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אינו רשום כך, ושיעורו כיחס שבין שטח הדירה והשטח של כל ה</w:t>
      </w:r>
      <w:r>
        <w:rPr>
          <w:rFonts w:cs="FrankRuehl" w:hint="cs"/>
          <w:rtl/>
          <w:lang w:eastAsia="en-US"/>
        </w:rPr>
        <w:t>ד</w:t>
      </w:r>
      <w:r>
        <w:rPr>
          <w:rFonts w:cs="FrankRuehl"/>
          <w:rtl/>
          <w:lang w:eastAsia="en-US"/>
        </w:rPr>
        <w:t>ירות בבית;</w:t>
      </w:r>
    </w:p>
    <w:p w14:paraId="4043A61F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"שטח ק</w:t>
      </w:r>
      <w:r>
        <w:rPr>
          <w:rFonts w:cs="FrankRuehl" w:hint="cs"/>
          <w:rtl/>
          <w:lang w:eastAsia="en-US"/>
        </w:rPr>
        <w:t>ר</w:t>
      </w:r>
      <w:r>
        <w:rPr>
          <w:rFonts w:cs="FrankRuehl"/>
          <w:rtl/>
          <w:lang w:eastAsia="en-US"/>
        </w:rPr>
        <w:t xml:space="preserve">קע בבית דירות"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חלק יחסי משטח הקרקע שהוא רכוש משותף כמשמעותו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בחוק המקרקעין, בין אם הבית רשום כבית משותף ובין אם אינו רשום כך, וכ</w:t>
      </w:r>
      <w:r>
        <w:rPr>
          <w:rFonts w:cs="FrankRuehl" w:hint="cs"/>
          <w:rtl/>
          <w:lang w:eastAsia="en-US"/>
        </w:rPr>
        <w:t>שי</w:t>
      </w:r>
      <w:r>
        <w:rPr>
          <w:rFonts w:cs="FrankRuehl"/>
          <w:rtl/>
          <w:lang w:eastAsia="en-US"/>
        </w:rPr>
        <w:t>עורו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 xml:space="preserve">כיחס שבין שטח הדירה והשטח של כל </w:t>
      </w:r>
      <w:r>
        <w:rPr>
          <w:rFonts w:cs="FrankRuehl" w:hint="cs"/>
          <w:rtl/>
          <w:lang w:eastAsia="en-US"/>
        </w:rPr>
        <w:t>ה</w:t>
      </w:r>
      <w:r>
        <w:rPr>
          <w:rFonts w:cs="FrankRuehl"/>
          <w:rtl/>
          <w:lang w:eastAsia="en-US"/>
        </w:rPr>
        <w:t>דירות בבית;</w:t>
      </w:r>
    </w:p>
    <w:p w14:paraId="7E48BC3D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"שטח קומה"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לפי הבנוי למעשה והמחושב בהתא</w:t>
      </w:r>
      <w:r>
        <w:rPr>
          <w:rFonts w:cs="FrankRuehl" w:hint="cs"/>
          <w:rtl/>
          <w:lang w:eastAsia="en-US"/>
        </w:rPr>
        <w:t>ם</w:t>
      </w:r>
      <w:r>
        <w:rPr>
          <w:rFonts w:cs="FrankRuehl"/>
          <w:rtl/>
          <w:lang w:eastAsia="en-US"/>
        </w:rPr>
        <w:t xml:space="preserve"> לתקנות התכנון והבניה;</w:t>
      </w:r>
    </w:p>
    <w:p w14:paraId="476A6D37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"שטח ב</w:t>
      </w:r>
      <w:r>
        <w:rPr>
          <w:rFonts w:cs="FrankRuehl" w:hint="cs"/>
          <w:rtl/>
          <w:lang w:eastAsia="en-US"/>
        </w:rPr>
        <w:t>ני</w:t>
      </w:r>
      <w:r>
        <w:rPr>
          <w:rFonts w:cs="FrankRuehl"/>
          <w:rtl/>
          <w:lang w:eastAsia="en-US"/>
        </w:rPr>
        <w:t xml:space="preserve">ן"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הסכם במ"ר של </w:t>
      </w:r>
      <w:r>
        <w:rPr>
          <w:rFonts w:cs="FrankRuehl" w:hint="cs"/>
          <w:rtl/>
          <w:lang w:eastAsia="en-US"/>
        </w:rPr>
        <w:t>ש</w:t>
      </w:r>
      <w:r>
        <w:rPr>
          <w:rFonts w:cs="FrankRuehl"/>
          <w:rtl/>
          <w:lang w:eastAsia="en-US"/>
        </w:rPr>
        <w:t>טחי כל הקו</w:t>
      </w:r>
      <w:r>
        <w:rPr>
          <w:rFonts w:cs="FrankRuehl" w:hint="cs"/>
          <w:rtl/>
          <w:lang w:eastAsia="en-US"/>
        </w:rPr>
        <w:t>מו</w:t>
      </w:r>
      <w:r>
        <w:rPr>
          <w:rFonts w:cs="FrankRuehl"/>
          <w:rtl/>
          <w:lang w:eastAsia="en-US"/>
        </w:rPr>
        <w:t>ת שבבנ</w:t>
      </w:r>
      <w:r>
        <w:rPr>
          <w:rFonts w:cs="FrankRuehl" w:hint="cs"/>
          <w:rtl/>
          <w:lang w:eastAsia="en-US"/>
        </w:rPr>
        <w:t>ין</w:t>
      </w:r>
      <w:r>
        <w:rPr>
          <w:rFonts w:cs="FrankRuehl"/>
          <w:rtl/>
          <w:lang w:eastAsia="en-US"/>
        </w:rPr>
        <w:t>;</w:t>
      </w:r>
    </w:p>
    <w:p w14:paraId="58ECB6F6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עירית ירושלים;</w:t>
      </w:r>
    </w:p>
    <w:p w14:paraId="0C33EF5C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"ר</w:t>
      </w:r>
      <w:r>
        <w:rPr>
          <w:rFonts w:cs="FrankRuehl"/>
          <w:rtl/>
          <w:lang w:eastAsia="en-US"/>
        </w:rPr>
        <w:t xml:space="preserve">אש העיריה"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</w:t>
      </w:r>
      <w:r>
        <w:rPr>
          <w:rFonts w:cs="FrankRuehl" w:hint="cs"/>
          <w:rtl/>
          <w:lang w:eastAsia="en-US"/>
        </w:rPr>
        <w:t>ר</w:t>
      </w:r>
      <w:r>
        <w:rPr>
          <w:rFonts w:cs="FrankRuehl"/>
          <w:rtl/>
          <w:lang w:eastAsia="en-US"/>
        </w:rPr>
        <w:t>בות מי שראש העיריה העביר אליו בכתב את סמכויותיו לפי חוק עזר זה, כולן או מקצתן;</w:t>
      </w:r>
    </w:p>
    <w:p w14:paraId="3F7256CB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"תעלה"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תעלת ניקוז המיועדת להעברת מי גשמים ומלם עליוני</w:t>
      </w:r>
      <w:r>
        <w:rPr>
          <w:rFonts w:cs="FrankRuehl" w:hint="cs"/>
          <w:rtl/>
          <w:lang w:eastAsia="en-US"/>
        </w:rPr>
        <w:t>ם</w:t>
      </w:r>
      <w:r>
        <w:rPr>
          <w:rFonts w:cs="FrankRuehl"/>
          <w:rtl/>
          <w:lang w:eastAsia="en-US"/>
        </w:rPr>
        <w:t xml:space="preserve"> לרבות צינור,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מוביל, אבזר, תא בקורת, תא איסוף, תא קיבול וכל דבר אחר המהווה חלק מהתעלה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או הקשור בה</w:t>
      </w:r>
      <w:r>
        <w:rPr>
          <w:rFonts w:cs="FrankRuehl" w:hint="cs"/>
          <w:rtl/>
          <w:lang w:eastAsia="en-US"/>
        </w:rPr>
        <w:t>.</w:t>
      </w:r>
    </w:p>
    <w:p w14:paraId="20787055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7753C3A3">
          <v:rect id="_x0000_s1027" style="position:absolute;left:0;text-align:left;margin-left:464.5pt;margin-top:8.05pt;width:75.05pt;height:17.8pt;z-index:251652608" o:allowincell="f" filled="f" stroked="f" strokecolor="lime" strokeweight=".25pt">
            <v:textbox style="mso-next-textbox:#_x0000_s1027" inset="0,0,0,0">
              <w:txbxContent>
                <w:p w14:paraId="3E264B9A" w14:textId="77777777" w:rsidR="009345B3" w:rsidRDefault="009345B3" w:rsidP="005A405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על החלטה</w:t>
                  </w:r>
                  <w:r w:rsidR="005A40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להתקין תיעול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Fonts w:cs="FrankRuehl"/>
          <w:rtl/>
          <w:lang w:eastAsia="en-US"/>
        </w:rPr>
        <w:t>החליטה המועצה על התקנת תיעול, יודיע ראש העיריה בכתב על ההחלטה לבעלי הנכסים הנמצאים באותו אזור איסוף א</w:t>
      </w:r>
      <w:r>
        <w:rPr>
          <w:rFonts w:cs="FrankRuehl" w:hint="cs"/>
          <w:rtl/>
          <w:lang w:eastAsia="en-US"/>
        </w:rPr>
        <w:t>ו</w:t>
      </w:r>
      <w:r>
        <w:rPr>
          <w:rFonts w:cs="FrankRuehl"/>
          <w:rtl/>
          <w:lang w:eastAsia="en-US"/>
        </w:rPr>
        <w:t xml:space="preserve"> יפרסם הודעה על כך בשני עיתונים יומיים הנפוצים בתחום העיריה</w:t>
      </w:r>
      <w:r>
        <w:rPr>
          <w:rFonts w:cs="FrankRuehl" w:hint="cs"/>
          <w:rtl/>
          <w:lang w:eastAsia="en-US"/>
        </w:rPr>
        <w:t>.</w:t>
      </w:r>
    </w:p>
    <w:p w14:paraId="477A2467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63852E03">
          <v:rect id="_x0000_s1028" style="position:absolute;left:0;text-align:left;margin-left:464.5pt;margin-top:8.05pt;width:75.05pt;height:16pt;z-index:251653632" o:allowincell="f" filled="f" stroked="f" strokecolor="lime" strokeweight=".25pt">
            <v:textbox style="mso-next-textbox:#_x0000_s1028" inset="0,0,0,0">
              <w:txbxContent>
                <w:p w14:paraId="54657AB7" w14:textId="77777777" w:rsidR="009345B3" w:rsidRDefault="009345B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תיעול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(א)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בעל של נכס הנמצא באזור האיסוף שביחס אליו במסרה הודעה כאמור בסעיפים 2 עד 8 ישלם לעיריה אגרת תיעול בשיעורים שנקבעו בתו</w:t>
      </w:r>
      <w:r>
        <w:rPr>
          <w:rFonts w:cs="FrankRuehl" w:hint="cs"/>
          <w:rtl/>
          <w:lang w:eastAsia="en-US"/>
        </w:rPr>
        <w:t>ס</w:t>
      </w:r>
      <w:r>
        <w:rPr>
          <w:rFonts w:cs="FrankRuehl"/>
          <w:rtl/>
          <w:lang w:eastAsia="en-US"/>
        </w:rPr>
        <w:t>פו</w:t>
      </w:r>
      <w:r>
        <w:rPr>
          <w:rFonts w:cs="FrankRuehl" w:hint="cs"/>
          <w:rtl/>
          <w:lang w:eastAsia="en-US"/>
        </w:rPr>
        <w:t>ת</w:t>
      </w:r>
      <w:r>
        <w:rPr>
          <w:rFonts w:cs="FrankRuehl"/>
          <w:rtl/>
          <w:lang w:eastAsia="en-US"/>
        </w:rPr>
        <w:t>.</w:t>
      </w:r>
    </w:p>
    <w:p w14:paraId="33D34DBF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val="he-IL"/>
        </w:rPr>
        <w:pict w14:anchorId="07431537">
          <v:rect id="_x0000_s1055" style="position:absolute;left:0;text-align:left;margin-left:464.35pt;margin-top:7.1pt;width:75.05pt;height:15pt;z-index:251661824" filled="f" stroked="f" strokecolor="lime" strokeweight=".25pt">
            <v:textbox style="mso-next-textbox:#_x0000_s1055" inset="0,0,0,0">
              <w:txbxContent>
                <w:p w14:paraId="2830AFB6" w14:textId="77777777" w:rsidR="009345B3" w:rsidRDefault="005A4052" w:rsidP="005A40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9345B3">
                    <w:rPr>
                      <w:rFonts w:cs="Miriam" w:hint="cs"/>
                      <w:sz w:val="18"/>
                      <w:szCs w:val="18"/>
                      <w:rtl/>
                    </w:rPr>
                    <w:t>תשמ"ה-1985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האגרה תשולם לעיריה תו</w:t>
      </w:r>
      <w:r>
        <w:rPr>
          <w:rFonts w:cs="FrankRuehl" w:hint="cs"/>
          <w:rtl/>
          <w:lang w:eastAsia="en-US"/>
        </w:rPr>
        <w:t>ך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שלושים יום</w:t>
      </w:r>
      <w:r>
        <w:rPr>
          <w:rFonts w:cs="FrankRuehl"/>
          <w:rtl/>
          <w:lang w:eastAsia="en-US"/>
        </w:rPr>
        <w:t xml:space="preserve"> מיום שנמסרה לבעל הנכס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הודעה על סכום האגרה המגיע ממנו או תוך שלושים יום מיום תחילת עבודת התקנת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התיעול, הכל לפי המועד המאוחר יותר; תעודה מאת המה</w:t>
      </w:r>
      <w:r>
        <w:rPr>
          <w:rFonts w:cs="FrankRuehl" w:hint="cs"/>
          <w:rtl/>
          <w:lang w:eastAsia="en-US"/>
        </w:rPr>
        <w:t>נ</w:t>
      </w:r>
      <w:r>
        <w:rPr>
          <w:rFonts w:cs="FrankRuehl"/>
          <w:rtl/>
          <w:lang w:eastAsia="en-US"/>
        </w:rPr>
        <w:t>דס בדבר מועד תחילת העבודה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תשמש ראיה לדבר.</w:t>
      </w:r>
    </w:p>
    <w:p w14:paraId="4C5A796B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(ג)</w:t>
      </w:r>
      <w:r>
        <w:rPr>
          <w:rFonts w:cs="FrankRuehl" w:hint="cs"/>
          <w:rtl/>
          <w:lang w:eastAsia="en-US"/>
        </w:rPr>
        <w:tab/>
        <w:t xml:space="preserve">נוספה בניה לנכס או חלק ממנו שאין עליו בנין אחרי שנמסרה או פורסמה הודעה כאמור בסעיף 2, ישלם בעליו, בשעת נוספת הבניה, או בעת מתן היתר בניה </w:t>
      </w:r>
      <w:r>
        <w:rPr>
          <w:rFonts w:cs="FrankRuehl"/>
          <w:rtl/>
          <w:lang w:eastAsia="en-US"/>
        </w:rPr>
        <w:t>מאת הועדה המקומית לתכנון ולבניה, אגרת תיעול נוספת לכל מטר מרובע משטח הבנין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נ</w:t>
      </w:r>
      <w:r>
        <w:rPr>
          <w:rFonts w:cs="FrankRuehl"/>
          <w:rtl/>
          <w:lang w:eastAsia="en-US"/>
        </w:rPr>
        <w:t>וסף, בשיעור שבקבע בתוספת.</w:t>
      </w:r>
    </w:p>
    <w:p w14:paraId="45F0E054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(ד)</w:t>
      </w: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על אף האמור בסעיף קטן (ב), בכל מקרה שבעל </w:t>
      </w:r>
      <w:r>
        <w:rPr>
          <w:rFonts w:cs="FrankRuehl" w:hint="cs"/>
          <w:rtl/>
          <w:lang w:eastAsia="en-US"/>
        </w:rPr>
        <w:t>נ</w:t>
      </w:r>
      <w:r>
        <w:rPr>
          <w:rFonts w:cs="FrankRuehl"/>
          <w:rtl/>
          <w:lang w:eastAsia="en-US"/>
        </w:rPr>
        <w:t>כס מבקש מהעיריה תעודה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לפי סעיף 324 לפקודת העיריות, או כל אישור אחר על סילוק חובותיו לעיריה לצורך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העברת זכויות בנכס, יוקדם מועד התשלום למועד מתן התעודה כאמור, ובלבד שהוחל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עד לאותו המועד בעבודות התיעול.</w:t>
      </w:r>
    </w:p>
    <w:p w14:paraId="44DAC3EB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33919694">
          <v:rect id="_x0000_s1029" style="position:absolute;left:0;text-align:left;margin-left:464.5pt;margin-top:8.05pt;width:75.05pt;height:18.95pt;z-index:251654656" o:allowincell="f" filled="f" stroked="f" strokecolor="lime" strokeweight=".25pt">
            <v:textbox style="mso-next-textbox:#_x0000_s1029" inset="0,0,0,0">
              <w:txbxContent>
                <w:p w14:paraId="7D105B14" w14:textId="77777777" w:rsidR="009345B3" w:rsidRDefault="009345B3" w:rsidP="005A405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סמכויות מיוחדות</w:t>
                  </w:r>
                  <w:r w:rsidR="005A40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בהתקנת תיעול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Fonts w:cs="FrankRuehl"/>
          <w:rtl/>
          <w:lang w:eastAsia="en-US"/>
        </w:rPr>
        <w:t xml:space="preserve">בהתקנת תיעול רשאית העיריה </w:t>
      </w:r>
      <w:r>
        <w:rPr>
          <w:rFonts w:cs="FrankRuehl" w:hint="cs"/>
          <w:rtl/>
          <w:lang w:eastAsia="en-US"/>
        </w:rPr>
        <w:t>–</w:t>
      </w:r>
    </w:p>
    <w:p w14:paraId="179ADA34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>להניח מעלות מתחת לכל רחוב;</w:t>
      </w:r>
    </w:p>
    <w:p w14:paraId="2AB1A979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 xml:space="preserve">לבצע </w:t>
      </w:r>
      <w:r w:rsidR="009345B3">
        <w:rPr>
          <w:rFonts w:cs="FrankRuehl" w:hint="cs"/>
          <w:rtl/>
          <w:lang w:eastAsia="en-US"/>
        </w:rPr>
        <w:t>כ</w:t>
      </w:r>
      <w:r w:rsidR="009345B3">
        <w:rPr>
          <w:rFonts w:cs="FrankRuehl"/>
          <w:rtl/>
          <w:lang w:eastAsia="en-US"/>
        </w:rPr>
        <w:t>ל עבודה במבנה או במיתקן שמתחת לרחוב, לרבות הריסתם, הכל במידה הדרושה להסרת מכשולים להתקנת התיעול;</w:t>
      </w:r>
    </w:p>
    <w:p w14:paraId="7CBF63B7" w14:textId="77777777" w:rsidR="009345B3" w:rsidRDefault="005A405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>(3)</w:t>
      </w:r>
      <w:r>
        <w:rPr>
          <w:rFonts w:cs="FrankRuehl" w:hint="cs"/>
          <w:rtl/>
          <w:lang w:eastAsia="en-US"/>
        </w:rPr>
        <w:tab/>
      </w:r>
      <w:r w:rsidR="009345B3">
        <w:rPr>
          <w:rFonts w:cs="FrankRuehl"/>
          <w:rtl/>
          <w:lang w:eastAsia="en-US"/>
        </w:rPr>
        <w:t xml:space="preserve">להניח צינורות המחברים נכס לתעלה </w:t>
      </w:r>
      <w:r w:rsidR="009345B3">
        <w:rPr>
          <w:rFonts w:cs="FrankRuehl" w:hint="cs"/>
          <w:rtl/>
          <w:lang w:eastAsia="en-US"/>
        </w:rPr>
        <w:t>ו</w:t>
      </w:r>
      <w:r w:rsidR="009345B3">
        <w:rPr>
          <w:rFonts w:cs="FrankRuehl"/>
          <w:rtl/>
          <w:lang w:eastAsia="en-US"/>
        </w:rPr>
        <w:t>להעביר את התעלה דרך כל נכס או מתחתיו, לאח</w:t>
      </w:r>
      <w:r w:rsidR="009345B3">
        <w:rPr>
          <w:rFonts w:cs="FrankRuehl" w:hint="cs"/>
          <w:rtl/>
          <w:lang w:eastAsia="en-US"/>
        </w:rPr>
        <w:t>ר</w:t>
      </w:r>
      <w:r w:rsidR="009345B3">
        <w:rPr>
          <w:rFonts w:cs="FrankRuehl"/>
          <w:rtl/>
          <w:lang w:eastAsia="en-US"/>
        </w:rPr>
        <w:t xml:space="preserve"> מתן הודעה על כ לבעלי הנכסים</w:t>
      </w:r>
      <w:r w:rsidR="009345B3">
        <w:rPr>
          <w:rFonts w:cs="FrankRuehl" w:hint="cs"/>
          <w:rtl/>
          <w:lang w:eastAsia="en-US"/>
        </w:rPr>
        <w:t>.</w:t>
      </w:r>
    </w:p>
    <w:p w14:paraId="55615EBD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734A7D0F">
          <v:rect id="_x0000_s1030" style="position:absolute;left:0;text-align:left;margin-left:464.5pt;margin-top:8.05pt;width:75.05pt;height:12.85pt;z-index:251655680" o:allowincell="f" filled="f" stroked="f" strokecolor="lime" strokeweight=".25pt">
            <v:textbox style="mso-next-textbox:#_x0000_s1030" inset="0,0,0,0">
              <w:txbxContent>
                <w:p w14:paraId="79A6A526" w14:textId="77777777" w:rsidR="009345B3" w:rsidRDefault="009345B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(א)</w:t>
      </w:r>
      <w:r>
        <w:rPr>
          <w:rStyle w:val="default"/>
          <w:rFonts w:hint="cs"/>
          <w:rtl/>
        </w:rPr>
        <w:tab/>
      </w:r>
      <w:r>
        <w:rPr>
          <w:rFonts w:cs="FrankRuehl" w:hint="cs"/>
          <w:rtl/>
          <w:lang w:eastAsia="en-US"/>
        </w:rPr>
        <w:t>ראש העיריה, שליחיו ופועליו רשאים להיכנס בכל עת סבירה לכל נכס, כדי לברר אם ממלאים אחר הוראות חוק עזר זה, או כדי לבצע פעולה שהמועצה רשאית לבצע לפיו.</w:t>
      </w:r>
    </w:p>
    <w:p w14:paraId="137C4ADC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  <w:t>לא יפריע אדם לראש העיריה, לשליחיו או לפועליו, ולא ימנע אותם מלהשתמש בסמכויותיהם לפי סעיף קטן (א)</w:t>
      </w:r>
      <w:r>
        <w:rPr>
          <w:rFonts w:cs="FrankRuehl"/>
          <w:rtl/>
          <w:lang w:eastAsia="en-US"/>
        </w:rPr>
        <w:t>.</w:t>
      </w:r>
    </w:p>
    <w:p w14:paraId="2250975D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Seif6"/>
      <w:bookmarkEnd w:id="5"/>
      <w:r>
        <w:rPr>
          <w:lang w:val="he-IL"/>
        </w:rPr>
        <w:pict w14:anchorId="0BACABBA">
          <v:rect id="_x0000_s1031" style="position:absolute;left:0;text-align:left;margin-left:464.5pt;margin-top:8.05pt;width:75.05pt;height:17.5pt;z-index:251656704" o:allowincell="f" filled="f" stroked="f" strokecolor="lime" strokeweight=".25pt">
            <v:textbox style="mso-next-textbox:#_x0000_s1031" inset="0,0,0,0">
              <w:txbxContent>
                <w:p w14:paraId="5C0F2AF1" w14:textId="77777777" w:rsidR="009345B3" w:rsidRDefault="009345B3" w:rsidP="005A40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היטל תיעול באדמה חקלאית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tl/>
        </w:rPr>
        <w:t>(א</w:t>
      </w:r>
      <w:r>
        <w:rPr>
          <w:rStyle w:val="default"/>
          <w:rFonts w:hint="cs"/>
          <w:rtl/>
        </w:rPr>
        <w:t>)</w:t>
      </w:r>
      <w:r>
        <w:rPr>
          <w:rStyle w:val="default"/>
          <w:rFonts w:hint="cs"/>
          <w:rtl/>
        </w:rPr>
        <w:tab/>
      </w:r>
      <w:r>
        <w:rPr>
          <w:rFonts w:cs="FrankRuehl" w:hint="cs"/>
          <w:rtl/>
          <w:lang w:eastAsia="en-US"/>
        </w:rPr>
        <w:t>לא יטפל אדם בתעלה, לא יחבר אליה צינור ולא ישתמש במים הזורמים בתוכה, אלא על פי היתר בכתב מאת ראש העיריה ובהתאם לתנאי ההיתר</w:t>
      </w:r>
      <w:r>
        <w:rPr>
          <w:rFonts w:cs="FrankRuehl"/>
          <w:rtl/>
          <w:lang w:eastAsia="en-US"/>
        </w:rPr>
        <w:t xml:space="preserve">. </w:t>
      </w:r>
    </w:p>
    <w:p w14:paraId="08CBA288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  <w:t>לא יטיל אדם לתעלה חפץ, מי שופכין, מים דלוחים, מי פסולת תעשיה או כל נוזל אחר</w:t>
      </w:r>
      <w:r>
        <w:rPr>
          <w:rFonts w:cs="FrankRuehl"/>
          <w:rtl/>
          <w:lang w:eastAsia="en-US"/>
        </w:rPr>
        <w:t>.</w:t>
      </w:r>
    </w:p>
    <w:p w14:paraId="0726E36C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>
        <w:rPr>
          <w:lang w:val="he-IL"/>
        </w:rPr>
        <w:pict w14:anchorId="7A44BB09">
          <v:rect id="_x0000_s1032" style="position:absolute;left:0;text-align:left;margin-left:464.5pt;margin-top:8.05pt;width:75.05pt;height:31.2pt;z-index:251657728" o:allowincell="f" filled="f" stroked="f" strokecolor="lime" strokeweight=".25pt">
            <v:textbox inset="0,0,0,0">
              <w:txbxContent>
                <w:p w14:paraId="107C62E0" w14:textId="77777777" w:rsidR="009345B3" w:rsidRDefault="009345B3" w:rsidP="005A40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לביצוע</w:t>
                  </w:r>
                  <w:r w:rsidR="005A40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עבודות להחזרת</w:t>
                  </w:r>
                  <w:r w:rsidR="005A40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התעלה לקדמותה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tl/>
        </w:rPr>
        <w:t>(א</w:t>
      </w:r>
      <w:r>
        <w:rPr>
          <w:rStyle w:val="default"/>
          <w:rFonts w:hint="cs"/>
          <w:rtl/>
        </w:rPr>
        <w:t>)</w:t>
      </w:r>
      <w:r>
        <w:rPr>
          <w:rStyle w:val="default"/>
          <w:rtl/>
        </w:rPr>
        <w:tab/>
      </w:r>
      <w:r>
        <w:rPr>
          <w:rFonts w:cs="FrankRuehl" w:hint="cs"/>
          <w:rtl/>
          <w:lang w:eastAsia="en-US"/>
        </w:rPr>
        <w:t>ראש העיריה רשאי לדרוש בכתב ממי שעשה מעשה בניגוד להוראות סעיף 6, לבצע את העבודות הדרושות לשם החזרת התעלה למצב שבו היתה נתונה לפני שנעשה המעשה</w:t>
      </w:r>
      <w:r>
        <w:rPr>
          <w:rFonts w:cs="FrankRuehl"/>
          <w:rtl/>
          <w:lang w:eastAsia="en-US"/>
        </w:rPr>
        <w:t>.</w:t>
      </w:r>
    </w:p>
    <w:p w14:paraId="79EF598F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(ב)</w:t>
      </w:r>
      <w:r>
        <w:rPr>
          <w:rFonts w:cs="FrankRuehl" w:hint="cs"/>
          <w:rtl/>
          <w:lang w:eastAsia="en-US"/>
        </w:rPr>
        <w:tab/>
        <w:t>בהודעה יצויינו התנאים, הפרטים והדרכים לביצוע העבודות וכן התקופה שבה יש לבצען</w:t>
      </w:r>
      <w:r>
        <w:rPr>
          <w:rFonts w:cs="FrankRuehl"/>
          <w:rtl/>
          <w:lang w:eastAsia="en-US"/>
        </w:rPr>
        <w:t>.</w:t>
      </w:r>
    </w:p>
    <w:p w14:paraId="6E4BAD0C" w14:textId="77777777" w:rsidR="009345B3" w:rsidRDefault="009345B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>(ג)</w:t>
      </w:r>
      <w:r>
        <w:rPr>
          <w:rFonts w:cs="FrankRuehl" w:hint="cs"/>
          <w:rtl/>
          <w:lang w:eastAsia="en-US"/>
        </w:rPr>
        <w:tab/>
        <w:t>מי שקיבל הודעה כאמור, חייב למלא אחריה</w:t>
      </w:r>
      <w:r>
        <w:rPr>
          <w:rFonts w:cs="FrankRuehl"/>
          <w:rtl/>
          <w:lang w:eastAsia="en-US"/>
        </w:rPr>
        <w:t xml:space="preserve">.  </w:t>
      </w:r>
    </w:p>
    <w:p w14:paraId="683A86FD" w14:textId="77777777" w:rsidR="009345B3" w:rsidRDefault="009345B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7" w:name="Seif8"/>
      <w:bookmarkEnd w:id="7"/>
      <w:r>
        <w:rPr>
          <w:lang w:val="he-IL"/>
        </w:rPr>
        <w:pict w14:anchorId="39C83883">
          <v:rect id="_x0000_s1033" style="position:absolute;left:0;text-align:left;margin-left:464.5pt;margin-top:8.05pt;width:75.05pt;height:22.6pt;z-index:251658752" o:allowincell="f" filled="f" stroked="f" strokecolor="lime" strokeweight=".25pt">
            <v:textbox inset="0,0,0,0">
              <w:txbxContent>
                <w:p w14:paraId="3C67CAC2" w14:textId="77777777" w:rsidR="009345B3" w:rsidRDefault="009345B3" w:rsidP="005A405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ביצעו עבודות</w:t>
                  </w:r>
                  <w:r w:rsidR="005A405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 ידי העיריה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ראש העיריה רשאי באמצעות שליחיו ופועליו לבצע כל עבודה הדרושה לשם החזרת התעלה למצב שבו היתה נתונה לפני שנעשה מעשה בניגוד להוראות סעיף 6; בוצעה העבודה כאמור, רשאית העיריה לגבות ממי שהיה חייב בביצועה את הוצאות הכרוכות בכך; תעודה מאת ראש העיריה על סכום ההוצאות תשמש כראיה לכאורה לדבר</w:t>
      </w:r>
      <w:r>
        <w:rPr>
          <w:rFonts w:cs="FrankRuehl"/>
          <w:rtl/>
          <w:lang w:eastAsia="en-US"/>
        </w:rPr>
        <w:t>.</w:t>
      </w:r>
    </w:p>
    <w:p w14:paraId="28598BD3" w14:textId="77777777" w:rsidR="009345B3" w:rsidRDefault="009345B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9"/>
      <w:bookmarkEnd w:id="8"/>
      <w:r>
        <w:rPr>
          <w:lang w:val="he-IL"/>
        </w:rPr>
        <w:pict w14:anchorId="512CD753">
          <v:rect id="_x0000_s1034" style="position:absolute;left:0;text-align:left;margin-left:464.5pt;margin-top:8.05pt;width:75.05pt;height:14.1pt;z-index:251659776" o:allowincell="f" filled="f" stroked="f" strokecolor="lime" strokeweight=".25pt">
            <v:textbox style="mso-next-textbox:#_x0000_s1034" inset="0,0,0,0">
              <w:txbxContent>
                <w:p w14:paraId="7357C97D" w14:textId="77777777" w:rsidR="009345B3" w:rsidRDefault="009345B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Fonts w:cs="FrankRuehl"/>
          <w:rtl/>
          <w:lang w:eastAsia="en-US"/>
        </w:rPr>
        <w:t>מסירת הודעה לפ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 xml:space="preserve"> חוק עזר זה תהא כדין, אם נמסרה לידי האדם שאליו </w:t>
      </w:r>
      <w:r>
        <w:rPr>
          <w:rFonts w:cs="FrankRuehl" w:hint="cs"/>
          <w:rtl/>
          <w:lang w:eastAsia="en-US"/>
        </w:rPr>
        <w:t>היא</w:t>
      </w:r>
      <w:r>
        <w:rPr>
          <w:rFonts w:cs="FrankRuehl"/>
          <w:rtl/>
          <w:lang w:eastAsia="en-US"/>
        </w:rPr>
        <w:t xml:space="preserve"> מכוונת, או נמסרה במקום מגור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>ו או במקום עסקיו הרגילים או הידועים לאחרונה, לידי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אחד מבני משפחתו המבוגר</w:t>
      </w:r>
      <w:r>
        <w:rPr>
          <w:rFonts w:cs="FrankRuehl" w:hint="cs"/>
          <w:rtl/>
          <w:lang w:eastAsia="en-US"/>
        </w:rPr>
        <w:t>ים,</w:t>
      </w:r>
      <w:r>
        <w:rPr>
          <w:rFonts w:cs="FrankRuehl"/>
          <w:rtl/>
          <w:lang w:eastAsia="en-US"/>
        </w:rPr>
        <w:t xml:space="preserve"> או לידי אדם בוגר </w:t>
      </w:r>
      <w:r>
        <w:rPr>
          <w:rFonts w:cs="FrankRuehl" w:hint="cs"/>
          <w:rtl/>
          <w:lang w:eastAsia="en-US"/>
        </w:rPr>
        <w:t>ה</w:t>
      </w:r>
      <w:r>
        <w:rPr>
          <w:rFonts w:cs="FrankRuehl"/>
          <w:rtl/>
          <w:lang w:eastAsia="en-US"/>
        </w:rPr>
        <w:t xml:space="preserve">עובד או המועסק שם, או </w:t>
      </w:r>
      <w:r>
        <w:rPr>
          <w:rFonts w:cs="FrankRuehl" w:hint="cs"/>
          <w:rtl/>
          <w:lang w:eastAsia="en-US"/>
        </w:rPr>
        <w:t>נ</w:t>
      </w:r>
      <w:r>
        <w:rPr>
          <w:rFonts w:cs="FrankRuehl"/>
          <w:rtl/>
          <w:lang w:eastAsia="en-US"/>
        </w:rPr>
        <w:t>שלחה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בדואר במכתב רשום הערו</w:t>
      </w:r>
      <w:r>
        <w:rPr>
          <w:rFonts w:cs="FrankRuehl" w:hint="cs"/>
          <w:rtl/>
          <w:lang w:eastAsia="en-US"/>
        </w:rPr>
        <w:t>ך</w:t>
      </w:r>
      <w:r>
        <w:rPr>
          <w:rFonts w:cs="FrankRuehl"/>
          <w:rtl/>
          <w:lang w:eastAsia="en-US"/>
        </w:rPr>
        <w:t xml:space="preserve"> אל אותו אדם לפי מען מגו</w:t>
      </w:r>
      <w:r>
        <w:rPr>
          <w:rFonts w:cs="FrankRuehl" w:hint="cs"/>
          <w:rtl/>
          <w:lang w:eastAsia="en-US"/>
        </w:rPr>
        <w:t>ר</w:t>
      </w:r>
      <w:r>
        <w:rPr>
          <w:rFonts w:cs="FrankRuehl"/>
          <w:rtl/>
          <w:lang w:eastAsia="en-US"/>
        </w:rPr>
        <w:t>יו או מקום עסק</w:t>
      </w:r>
      <w:r>
        <w:rPr>
          <w:rFonts w:cs="FrankRuehl" w:hint="cs"/>
          <w:rtl/>
          <w:lang w:eastAsia="en-US"/>
        </w:rPr>
        <w:t>י</w:t>
      </w:r>
      <w:r>
        <w:rPr>
          <w:rFonts w:cs="FrankRuehl"/>
          <w:rtl/>
          <w:lang w:eastAsia="en-US"/>
        </w:rPr>
        <w:t>ו הרגילים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או הידועי</w:t>
      </w:r>
      <w:r>
        <w:rPr>
          <w:rFonts w:cs="FrankRuehl" w:hint="cs"/>
          <w:rtl/>
          <w:lang w:eastAsia="en-US"/>
        </w:rPr>
        <w:t>ם</w:t>
      </w:r>
      <w:r>
        <w:rPr>
          <w:rFonts w:cs="FrankRuehl"/>
          <w:rtl/>
          <w:lang w:eastAsia="en-US"/>
        </w:rPr>
        <w:t xml:space="preserve"> לאחרו</w:t>
      </w:r>
      <w:r>
        <w:rPr>
          <w:rFonts w:cs="FrankRuehl" w:hint="cs"/>
          <w:rtl/>
          <w:lang w:eastAsia="en-US"/>
        </w:rPr>
        <w:t>נ</w:t>
      </w:r>
      <w:r>
        <w:rPr>
          <w:rFonts w:cs="FrankRuehl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;</w:t>
      </w:r>
      <w:r>
        <w:rPr>
          <w:rFonts w:cs="FrankRuehl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 xml:space="preserve">אן אי אפשר </w:t>
      </w:r>
      <w:r>
        <w:rPr>
          <w:rFonts w:cs="FrankRuehl"/>
          <w:rtl/>
          <w:lang w:eastAsia="en-US"/>
        </w:rPr>
        <w:t xml:space="preserve">לקיים </w:t>
      </w:r>
      <w:r>
        <w:rPr>
          <w:rFonts w:cs="FrankRuehl" w:hint="cs"/>
          <w:rtl/>
          <w:lang w:eastAsia="en-US"/>
        </w:rPr>
        <w:t>את ה</w:t>
      </w:r>
      <w:r>
        <w:rPr>
          <w:rFonts w:cs="FrankRuehl"/>
          <w:rtl/>
          <w:lang w:eastAsia="en-US"/>
        </w:rPr>
        <w:t>מסירה כאמור, תה</w:t>
      </w:r>
      <w:r>
        <w:rPr>
          <w:rFonts w:cs="FrankRuehl" w:hint="cs"/>
          <w:rtl/>
          <w:lang w:eastAsia="en-US"/>
        </w:rPr>
        <w:t>א</w:t>
      </w:r>
      <w:r>
        <w:rPr>
          <w:rFonts w:cs="FrankRuehl"/>
          <w:rtl/>
          <w:lang w:eastAsia="en-US"/>
        </w:rPr>
        <w:t xml:space="preserve"> המסירה </w:t>
      </w:r>
      <w:r>
        <w:rPr>
          <w:rFonts w:cs="FrankRuehl" w:hint="cs"/>
          <w:rtl/>
          <w:lang w:eastAsia="en-US"/>
        </w:rPr>
        <w:t xml:space="preserve">כדין אם הוצגה </w:t>
      </w:r>
      <w:r>
        <w:rPr>
          <w:rFonts w:cs="FrankRuehl"/>
          <w:rtl/>
          <w:lang w:eastAsia="en-US"/>
        </w:rPr>
        <w:t>ההודעה במקום בולט באחד המקומות האמורים או</w:t>
      </w:r>
      <w:r>
        <w:rPr>
          <w:rFonts w:cs="FrankRuehl" w:hint="cs"/>
          <w:rtl/>
          <w:lang w:eastAsia="en-US"/>
        </w:rPr>
        <w:t xml:space="preserve"> על הנכס שבו היא דנה, או </w:t>
      </w:r>
      <w:r>
        <w:rPr>
          <w:rFonts w:cs="FrankRuehl"/>
          <w:rtl/>
          <w:lang w:eastAsia="en-US"/>
        </w:rPr>
        <w:t>פ</w:t>
      </w:r>
      <w:r>
        <w:rPr>
          <w:rFonts w:cs="FrankRuehl" w:hint="cs"/>
          <w:rtl/>
          <w:lang w:eastAsia="en-US"/>
        </w:rPr>
        <w:t>ו</w:t>
      </w:r>
      <w:r>
        <w:rPr>
          <w:rFonts w:cs="FrankRuehl"/>
          <w:rtl/>
          <w:lang w:eastAsia="en-US"/>
        </w:rPr>
        <w:t xml:space="preserve">רסמה בשני עיתונים </w:t>
      </w:r>
      <w:r>
        <w:rPr>
          <w:rFonts w:cs="FrankRuehl" w:hint="cs"/>
          <w:rtl/>
          <w:lang w:eastAsia="en-US"/>
        </w:rPr>
        <w:t>יומיים הנפוצים בתחום העיריה שאחד מהם לפחות הוא בשפה העברית.</w:t>
      </w:r>
    </w:p>
    <w:p w14:paraId="0E55F76B" w14:textId="77777777" w:rsidR="00CC078B" w:rsidRDefault="008455A5" w:rsidP="00CC078B">
      <w:pPr>
        <w:pStyle w:val="P00"/>
        <w:spacing w:before="72"/>
        <w:ind w:left="0" w:right="1134"/>
        <w:rPr>
          <w:rStyle w:val="default"/>
          <w:rtl/>
        </w:rPr>
      </w:pPr>
      <w:bookmarkStart w:id="9" w:name="Seif10"/>
      <w:bookmarkEnd w:id="9"/>
      <w:r>
        <w:rPr>
          <w:lang w:val="he-IL"/>
        </w:rPr>
        <w:pict w14:anchorId="404D6DE8">
          <v:rect id="_x0000_s1059" style="position:absolute;left:0;text-align:left;margin-left:464.5pt;margin-top:8.05pt;width:75.05pt;height:25.95pt;z-index:251663872" o:allowincell="f" filled="f" stroked="f" strokecolor="lime" strokeweight=".25pt">
            <v:textbox style="mso-next-textbox:#_x0000_s1059" inset="0,0,0,0">
              <w:txbxContent>
                <w:p w14:paraId="7D584B79" w14:textId="77777777" w:rsidR="008455A5" w:rsidRDefault="008455A5" w:rsidP="008455A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מגבלת גבייה</w:t>
                  </w:r>
                </w:p>
                <w:p w14:paraId="3F546BE0" w14:textId="77777777" w:rsidR="008455A5" w:rsidRDefault="008455A5" w:rsidP="008455A5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תשע"ב-2012</w:t>
                  </w:r>
                </w:p>
                <w:p w14:paraId="24BB413A" w14:textId="77777777" w:rsidR="00CC078B" w:rsidRDefault="00CC078B" w:rsidP="008455A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</w:t>
      </w:r>
      <w:r>
        <w:rPr>
          <w:rFonts w:cs="FrankRuehl" w:hint="cs"/>
          <w:rtl/>
          <w:lang w:eastAsia="en-US"/>
        </w:rPr>
        <w:t>א</w:t>
      </w:r>
      <w:r w:rsidRPr="008455A5">
        <w:rPr>
          <w:rFonts w:cs="FrankRuehl"/>
          <w:rtl/>
          <w:lang w:eastAsia="en-US"/>
        </w:rPr>
        <w:t>.</w:t>
      </w:r>
      <w:r w:rsidRPr="008455A5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 xml:space="preserve">החל ביום </w:t>
      </w:r>
      <w:r w:rsidR="00CC078B">
        <w:rPr>
          <w:rFonts w:cs="FrankRuehl" w:hint="cs"/>
          <w:rtl/>
          <w:lang w:eastAsia="en-US"/>
        </w:rPr>
        <w:t>ח</w:t>
      </w:r>
      <w:r>
        <w:rPr>
          <w:rFonts w:cs="FrankRuehl" w:hint="cs"/>
          <w:rtl/>
          <w:lang w:eastAsia="en-US"/>
        </w:rPr>
        <w:t>' בטבת התש</w:t>
      </w:r>
      <w:r w:rsidR="00CC078B">
        <w:rPr>
          <w:rFonts w:cs="FrankRuehl" w:hint="cs"/>
          <w:rtl/>
          <w:lang w:eastAsia="en-US"/>
        </w:rPr>
        <w:t>פ"ג</w:t>
      </w:r>
      <w:r>
        <w:rPr>
          <w:rFonts w:cs="FrankRuehl" w:hint="cs"/>
          <w:rtl/>
          <w:lang w:eastAsia="en-US"/>
        </w:rPr>
        <w:t xml:space="preserve"> (1 בינואר 20</w:t>
      </w:r>
      <w:r w:rsidR="00CC078B">
        <w:rPr>
          <w:rFonts w:cs="FrankRuehl" w:hint="cs"/>
          <w:rtl/>
          <w:lang w:eastAsia="en-US"/>
        </w:rPr>
        <w:t>23</w:t>
      </w:r>
      <w:r>
        <w:rPr>
          <w:rFonts w:cs="FrankRuehl" w:hint="cs"/>
          <w:rtl/>
          <w:lang w:eastAsia="en-US"/>
        </w:rPr>
        <w:t>), הטלת אגרה לפי חוק עזר זה טעונה את אישורם של מועצת העירייה ושל שר הפנים או מי מטעמו.</w:t>
      </w:r>
    </w:p>
    <w:p w14:paraId="13018E94" w14:textId="77777777" w:rsidR="009345B3" w:rsidRDefault="009345B3" w:rsidP="00CE018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lang w:val="he-IL"/>
        </w:rPr>
        <w:pict w14:anchorId="757E468D">
          <v:rect id="_x0000_s1035" style="position:absolute;left:0;text-align:left;margin-left:464.5pt;margin-top:8.05pt;width:75.05pt;height:11.35pt;z-index:251660800" o:allowincell="f" filled="f" stroked="f" strokecolor="lime" strokeweight=".25pt">
            <v:textbox style="mso-next-textbox:#_x0000_s1035" inset="0,0,0,0">
              <w:txbxContent>
                <w:p w14:paraId="33B3CA2E" w14:textId="77777777" w:rsidR="009345B3" w:rsidRDefault="00CE01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 w:rsidR="00CE018A">
        <w:rPr>
          <w:rFonts w:cs="FrankRuehl" w:hint="cs"/>
          <w:rtl/>
          <w:lang w:eastAsia="en-US"/>
        </w:rPr>
        <w:t>(בוטל)</w:t>
      </w:r>
      <w:r>
        <w:rPr>
          <w:rFonts w:cs="FrankRuehl" w:hint="cs"/>
          <w:rtl/>
          <w:lang w:eastAsia="en-US"/>
        </w:rPr>
        <w:t>.</w:t>
      </w:r>
    </w:p>
    <w:p w14:paraId="3DC77AEA" w14:textId="77777777" w:rsidR="005A4052" w:rsidRDefault="005A405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8C330DC" w14:textId="77777777" w:rsidR="009345B3" w:rsidRPr="005A4052" w:rsidRDefault="005A4052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10" w:name="med0"/>
      <w:bookmarkEnd w:id="10"/>
      <w:r>
        <w:rPr>
          <w:rFonts w:cs="FrankRuehl" w:hint="cs"/>
          <w:noProof/>
          <w:sz w:val="26"/>
          <w:szCs w:val="26"/>
          <w:rtl/>
          <w:lang w:eastAsia="en-US"/>
        </w:rPr>
        <w:pict w14:anchorId="0865974C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70.25pt;margin-top:7.1pt;width:1in;height:11.4pt;z-index:251662848" filled="f" stroked="f">
            <v:textbox inset="1mm,0,1mm,0">
              <w:txbxContent>
                <w:p w14:paraId="67131252" w14:textId="77777777" w:rsidR="005A4052" w:rsidRDefault="005A4052" w:rsidP="008455A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8455A5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CC078B"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 w:rsidR="008455A5">
                    <w:rPr>
                      <w:rFonts w:cs="Miriam" w:hint="cs"/>
                      <w:sz w:val="18"/>
                      <w:szCs w:val="18"/>
                      <w:rtl/>
                    </w:rPr>
                    <w:t>-201</w:t>
                  </w:r>
                  <w:r w:rsidR="00CC078B"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noProof/>
          <w:sz w:val="26"/>
          <w:szCs w:val="26"/>
          <w:rtl/>
        </w:rPr>
        <w:t>תוספת</w:t>
      </w:r>
    </w:p>
    <w:p w14:paraId="63363732" w14:textId="77777777" w:rsidR="009345B3" w:rsidRDefault="009345B3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>(סעיף 3)</w:t>
      </w:r>
    </w:p>
    <w:p w14:paraId="31F059BF" w14:textId="77777777" w:rsidR="009345B3" w:rsidRPr="005A4052" w:rsidRDefault="009345B3">
      <w:pPr>
        <w:pStyle w:val="medium2-header"/>
        <w:keepLines w:val="0"/>
        <w:spacing w:before="72"/>
        <w:ind w:left="0" w:right="1134"/>
        <w:rPr>
          <w:rFonts w:cs="FrankRuehl" w:hint="cs"/>
          <w:b/>
          <w:noProof/>
          <w:sz w:val="22"/>
          <w:szCs w:val="22"/>
          <w:rtl/>
        </w:rPr>
      </w:pPr>
      <w:bookmarkStart w:id="11" w:name="med1"/>
      <w:bookmarkEnd w:id="11"/>
      <w:r w:rsidRPr="005A4052">
        <w:rPr>
          <w:rFonts w:cs="FrankRuehl" w:hint="cs"/>
          <w:b/>
          <w:noProof/>
          <w:sz w:val="22"/>
          <w:szCs w:val="22"/>
          <w:rtl/>
        </w:rPr>
        <w:t>אגרת תיעול</w:t>
      </w:r>
    </w:p>
    <w:p w14:paraId="6CAFD365" w14:textId="77777777" w:rsidR="008455A5" w:rsidRPr="008455A5" w:rsidRDefault="005A4052" w:rsidP="00CC078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521"/>
        </w:tabs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  <w:r w:rsidRPr="008455A5">
        <w:rPr>
          <w:rStyle w:val="default"/>
          <w:rFonts w:hint="cs"/>
          <w:sz w:val="22"/>
          <w:szCs w:val="22"/>
          <w:rtl/>
        </w:rPr>
        <w:tab/>
      </w:r>
      <w:r w:rsidR="008455A5" w:rsidRPr="008455A5">
        <w:rPr>
          <w:rStyle w:val="default"/>
          <w:rFonts w:hint="cs"/>
          <w:sz w:val="22"/>
          <w:szCs w:val="22"/>
          <w:rtl/>
        </w:rPr>
        <w:t>שיעור</w:t>
      </w:r>
      <w:r w:rsidR="00CC078B">
        <w:rPr>
          <w:rStyle w:val="default"/>
          <w:rFonts w:hint="cs"/>
          <w:sz w:val="22"/>
          <w:szCs w:val="22"/>
          <w:rtl/>
        </w:rPr>
        <w:t>י</w:t>
      </w:r>
      <w:r w:rsidR="008455A5" w:rsidRPr="008455A5">
        <w:rPr>
          <w:rStyle w:val="default"/>
          <w:rFonts w:hint="cs"/>
          <w:sz w:val="22"/>
          <w:szCs w:val="22"/>
          <w:rtl/>
        </w:rPr>
        <w:t xml:space="preserve"> </w:t>
      </w:r>
      <w:r w:rsidR="009345B3" w:rsidRPr="008455A5">
        <w:rPr>
          <w:rStyle w:val="default"/>
          <w:rFonts w:hint="cs"/>
          <w:sz w:val="22"/>
          <w:szCs w:val="22"/>
          <w:rtl/>
        </w:rPr>
        <w:t xml:space="preserve">האגרה </w:t>
      </w:r>
    </w:p>
    <w:p w14:paraId="304DAFD2" w14:textId="77777777" w:rsidR="009345B3" w:rsidRPr="005A4052" w:rsidRDefault="008455A5" w:rsidP="00CC078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521"/>
        </w:tabs>
        <w:spacing w:before="0"/>
        <w:ind w:left="0" w:right="1134"/>
        <w:rPr>
          <w:rStyle w:val="default"/>
          <w:rFonts w:hint="cs"/>
          <w:sz w:val="22"/>
          <w:szCs w:val="22"/>
          <w:u w:val="single"/>
          <w:rtl/>
        </w:rPr>
      </w:pPr>
      <w:r w:rsidRPr="008455A5">
        <w:rPr>
          <w:rStyle w:val="default"/>
          <w:rFonts w:hint="cs"/>
          <w:sz w:val="22"/>
          <w:szCs w:val="22"/>
          <w:rtl/>
        </w:rPr>
        <w:tab/>
      </w:r>
      <w:r w:rsidR="005A4052">
        <w:rPr>
          <w:rStyle w:val="default"/>
          <w:rFonts w:hint="cs"/>
          <w:sz w:val="22"/>
          <w:szCs w:val="22"/>
          <w:u w:val="single"/>
          <w:rtl/>
        </w:rPr>
        <w:t>בשקלים</w:t>
      </w:r>
      <w:r>
        <w:rPr>
          <w:rStyle w:val="default"/>
          <w:rFonts w:hint="cs"/>
          <w:sz w:val="22"/>
          <w:szCs w:val="22"/>
          <w:u w:val="single"/>
          <w:rtl/>
        </w:rPr>
        <w:t xml:space="preserve"> חדשים</w:t>
      </w:r>
    </w:p>
    <w:p w14:paraId="2F5ED4F2" w14:textId="77777777" w:rsidR="009345B3" w:rsidRDefault="00CC078B" w:rsidP="00CC078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521"/>
        </w:tabs>
        <w:spacing w:before="72"/>
        <w:ind w:left="0" w:right="1134"/>
        <w:rPr>
          <w:rStyle w:val="default"/>
          <w:rFonts w:hint="eastAsia"/>
          <w:rtl/>
        </w:rPr>
      </w:pPr>
      <w:r>
        <w:rPr>
          <w:rStyle w:val="default"/>
          <w:rFonts w:hint="cs"/>
          <w:rtl/>
        </w:rPr>
        <w:t>1.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שטח קרקע, לכל מ"ר משטח הקרקע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19.29</w:t>
      </w:r>
    </w:p>
    <w:p w14:paraId="641C1098" w14:textId="77777777" w:rsidR="009345B3" w:rsidRDefault="00CC078B" w:rsidP="00CC078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center" w:pos="6521"/>
        </w:tabs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>2.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שטח בניין, לכל מ"ר משטח הבניין</w:t>
      </w:r>
      <w:r>
        <w:rPr>
          <w:rStyle w:val="default"/>
          <w:rtl/>
        </w:rPr>
        <w:tab/>
      </w:r>
      <w:r>
        <w:rPr>
          <w:rStyle w:val="default"/>
          <w:rFonts w:hint="cs"/>
          <w:rtl/>
        </w:rPr>
        <w:t>35.64</w:t>
      </w:r>
    </w:p>
    <w:p w14:paraId="23B57867" w14:textId="77777777" w:rsidR="00CC078B" w:rsidRPr="005A4052" w:rsidRDefault="00CC078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3D8D173" w14:textId="77777777" w:rsidR="005A4052" w:rsidRPr="005A4052" w:rsidRDefault="005A4052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FE7EDF0" w14:textId="77777777" w:rsidR="009345B3" w:rsidRDefault="005A4052" w:rsidP="005A4052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ab/>
      </w:r>
      <w:r w:rsidR="009345B3">
        <w:rPr>
          <w:rFonts w:cs="FrankRuehl" w:hint="cs"/>
          <w:sz w:val="28"/>
          <w:szCs w:val="26"/>
          <w:rtl/>
        </w:rPr>
        <w:t>נתאשר.</w:t>
      </w:r>
    </w:p>
    <w:p w14:paraId="6F9FDCC3" w14:textId="77777777" w:rsidR="009345B3" w:rsidRDefault="009345B3" w:rsidP="005A405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>כ"ט בסיון תש"ם (3 ביוני 1980)</w:t>
      </w:r>
      <w:r>
        <w:rPr>
          <w:rFonts w:cs="FrankRuehl"/>
          <w:sz w:val="28"/>
          <w:szCs w:val="26"/>
          <w:rtl/>
        </w:rPr>
        <w:tab/>
      </w:r>
      <w:r>
        <w:rPr>
          <w:rFonts w:cs="FrankRuehl" w:hint="cs"/>
          <w:sz w:val="28"/>
          <w:szCs w:val="26"/>
          <w:rtl/>
        </w:rPr>
        <w:t>טדי קולק</w:t>
      </w:r>
    </w:p>
    <w:p w14:paraId="62E5171B" w14:textId="77777777" w:rsidR="009345B3" w:rsidRPr="005A4052" w:rsidRDefault="009345B3" w:rsidP="005A4052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5A4052">
        <w:rPr>
          <w:rFonts w:cs="FrankRuehl" w:hint="cs"/>
          <w:sz w:val="22"/>
          <w:rtl/>
        </w:rPr>
        <w:tab/>
        <w:t>ראש עיריית ירושלים</w:t>
      </w:r>
    </w:p>
    <w:p w14:paraId="09B440CD" w14:textId="77777777" w:rsidR="009345B3" w:rsidRDefault="009345B3" w:rsidP="005A4052">
      <w:pPr>
        <w:pStyle w:val="sig-1"/>
        <w:widowControl/>
        <w:tabs>
          <w:tab w:val="clear" w:pos="851"/>
          <w:tab w:val="clear" w:pos="4820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ab/>
        <w:t>יוסף בורג</w:t>
      </w:r>
    </w:p>
    <w:p w14:paraId="6326B1B7" w14:textId="77777777" w:rsidR="009345B3" w:rsidRPr="005A4052" w:rsidRDefault="009345B3" w:rsidP="005A4052">
      <w:pPr>
        <w:pStyle w:val="sig-1"/>
        <w:widowControl/>
        <w:tabs>
          <w:tab w:val="clear" w:pos="851"/>
          <w:tab w:val="clear" w:pos="4820"/>
        </w:tabs>
        <w:ind w:left="0" w:right="1134"/>
        <w:rPr>
          <w:rFonts w:cs="FrankRuehl" w:hint="cs"/>
          <w:sz w:val="22"/>
          <w:rtl/>
        </w:rPr>
      </w:pPr>
      <w:r w:rsidRPr="005A4052">
        <w:rPr>
          <w:rFonts w:cs="FrankRuehl" w:hint="cs"/>
          <w:sz w:val="22"/>
          <w:rtl/>
        </w:rPr>
        <w:tab/>
        <w:t>שר הפנים</w:t>
      </w:r>
    </w:p>
    <w:p w14:paraId="5E7CB0FD" w14:textId="77777777" w:rsidR="009345B3" w:rsidRPr="005A4052" w:rsidRDefault="009345B3" w:rsidP="005A4052">
      <w:pPr>
        <w:pStyle w:val="P00"/>
        <w:spacing w:before="72"/>
        <w:ind w:left="0" w:right="1134"/>
        <w:rPr>
          <w:rtl/>
          <w:lang w:eastAsia="en-US"/>
        </w:rPr>
      </w:pPr>
    </w:p>
    <w:p w14:paraId="709ECF3F" w14:textId="77777777" w:rsidR="009345B3" w:rsidRPr="005A4052" w:rsidRDefault="009345B3" w:rsidP="005A4052">
      <w:pPr>
        <w:pStyle w:val="P00"/>
        <w:spacing w:before="72"/>
        <w:ind w:left="0" w:right="1134"/>
        <w:rPr>
          <w:rtl/>
          <w:lang w:eastAsia="en-US"/>
        </w:rPr>
      </w:pPr>
    </w:p>
    <w:p w14:paraId="17818EF6" w14:textId="77777777" w:rsidR="009345B3" w:rsidRPr="005A4052" w:rsidRDefault="009345B3" w:rsidP="005A4052">
      <w:pPr>
        <w:pStyle w:val="P00"/>
        <w:spacing w:before="72"/>
        <w:ind w:left="0" w:right="1134"/>
        <w:rPr>
          <w:rFonts w:hint="cs"/>
          <w:rtl/>
          <w:lang w:eastAsia="en-US"/>
        </w:rPr>
      </w:pPr>
      <w:bookmarkStart w:id="12" w:name="LawPartEnd"/>
      <w:bookmarkEnd w:id="12"/>
    </w:p>
    <w:p w14:paraId="60563C92" w14:textId="77777777" w:rsidR="00092A44" w:rsidRDefault="00092A44" w:rsidP="005A4052">
      <w:pPr>
        <w:pStyle w:val="P00"/>
        <w:spacing w:before="72"/>
        <w:ind w:left="0" w:right="1134"/>
        <w:rPr>
          <w:rtl/>
          <w:lang w:eastAsia="en-US"/>
        </w:rPr>
      </w:pPr>
    </w:p>
    <w:p w14:paraId="675E98A2" w14:textId="77777777" w:rsidR="00092A44" w:rsidRDefault="00092A44" w:rsidP="00092A4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31278C3" w14:textId="77777777" w:rsidR="00BC4B63" w:rsidRPr="00650A6B" w:rsidRDefault="00BC4B63" w:rsidP="00BC4B63">
      <w:pPr>
        <w:pStyle w:val="P00"/>
        <w:spacing w:before="72"/>
        <w:ind w:left="0" w:right="1134"/>
        <w:rPr>
          <w:rStyle w:val="default"/>
          <w:rFonts w:hint="cs"/>
          <w:sz w:val="16"/>
          <w:szCs w:val="16"/>
          <w:rtl/>
        </w:rPr>
      </w:pPr>
      <w:r>
        <w:rPr>
          <w:rStyle w:val="default"/>
          <w:rFonts w:hint="cs"/>
          <w:sz w:val="16"/>
          <w:szCs w:val="16"/>
          <w:rtl/>
        </w:rPr>
        <w:t>גפני</w:t>
      </w:r>
    </w:p>
    <w:p w14:paraId="66AF989E" w14:textId="77777777" w:rsidR="007B3A8D" w:rsidRDefault="007B3A8D" w:rsidP="00092A4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14:paraId="797EE60C" w14:textId="77777777" w:rsidR="007B3A8D" w:rsidRDefault="007B3A8D" w:rsidP="00092A44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14:paraId="144C55D8" w14:textId="77777777" w:rsidR="007B3A8D" w:rsidRDefault="007B3A8D" w:rsidP="007B3A8D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4F860022" w14:textId="77777777" w:rsidR="00281A81" w:rsidRPr="007B3A8D" w:rsidRDefault="00281A81" w:rsidP="007B3A8D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281A81" w:rsidRPr="007B3A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3A18" w14:textId="77777777" w:rsidR="008A57D2" w:rsidRDefault="008A57D2">
      <w:r>
        <w:separator/>
      </w:r>
    </w:p>
  </w:endnote>
  <w:endnote w:type="continuationSeparator" w:id="0">
    <w:p w14:paraId="56786125" w14:textId="77777777" w:rsidR="008A57D2" w:rsidRDefault="008A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00EA" w14:textId="77777777" w:rsidR="009345B3" w:rsidRDefault="009345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2CD605" w14:textId="77777777" w:rsidR="009345B3" w:rsidRDefault="009345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1B3C75" w14:textId="77777777" w:rsidR="009345B3" w:rsidRDefault="009345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4052">
      <w:rPr>
        <w:rFonts w:cs="TopType Jerushalmi"/>
        <w:noProof/>
        <w:color w:val="000000"/>
        <w:sz w:val="14"/>
        <w:szCs w:val="14"/>
      </w:rPr>
      <w:t>D:\Yael\hakika\mekomi\mek_003_003.doc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4177" w14:textId="77777777" w:rsidR="009345B3" w:rsidRDefault="009345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3A8D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47737847" w14:textId="77777777" w:rsidR="009345B3" w:rsidRDefault="009345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DA13FC" w14:textId="77777777" w:rsidR="009345B3" w:rsidRDefault="009345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4052">
      <w:rPr>
        <w:rFonts w:cs="TopType Jerushalmi"/>
        <w:noProof/>
        <w:color w:val="000000"/>
        <w:sz w:val="14"/>
        <w:szCs w:val="14"/>
      </w:rPr>
      <w:t>D:\Yael\hakika\mekomi\mek_003_003.doc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ECB1" w14:textId="77777777" w:rsidR="008A57D2" w:rsidRDefault="008A57D2" w:rsidP="005A405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5A1606" w14:textId="77777777" w:rsidR="008A57D2" w:rsidRDefault="008A57D2">
      <w:r>
        <w:continuationSeparator/>
      </w:r>
    </w:p>
  </w:footnote>
  <w:footnote w:id="1">
    <w:p w14:paraId="5E4D534D" w14:textId="77777777" w:rsidR="009345B3" w:rsidRDefault="009345B3" w:rsidP="00CE018A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cs="FrankRuehl"/>
          <w:sz w:val="22"/>
          <w:szCs w:val="22"/>
          <w:rtl/>
        </w:rPr>
        <w:t>פ</w:t>
      </w:r>
      <w:r w:rsidR="005A4052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 w:hint="eastAsia"/>
            <w:sz w:val="22"/>
            <w:szCs w:val="22"/>
            <w:rtl/>
          </w:rPr>
          <w:t>ק</w:t>
        </w:r>
        <w:r>
          <w:rPr>
            <w:rStyle w:val="Hyperlink"/>
            <w:rFonts w:cs="FrankRuehl"/>
            <w:sz w:val="22"/>
            <w:szCs w:val="22"/>
            <w:rtl/>
          </w:rPr>
          <w:t>"ת תש"ם מס' 4141</w:t>
        </w:r>
      </w:hyperlink>
      <w:r>
        <w:rPr>
          <w:rFonts w:cs="FrankRuehl" w:hint="cs"/>
          <w:sz w:val="22"/>
          <w:szCs w:val="22"/>
          <w:rtl/>
        </w:rPr>
        <w:t xml:space="preserve"> מיום 30.6.1980 עמ' 1984.</w:t>
      </w:r>
    </w:p>
    <w:p w14:paraId="5781A3D6" w14:textId="77777777" w:rsidR="009345B3" w:rsidRDefault="009345B3" w:rsidP="00CE018A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>
          <w:rPr>
            <w:rStyle w:val="Hyperlink"/>
            <w:rFonts w:cs="FrankRuehl"/>
            <w:sz w:val="22"/>
            <w:szCs w:val="22"/>
            <w:rtl/>
          </w:rPr>
          <w:t>ק"ת חש"ם תשמ"א מס' 71</w:t>
        </w:r>
      </w:hyperlink>
      <w:r>
        <w:rPr>
          <w:rFonts w:cs="FrankRuehl" w:hint="cs"/>
          <w:sz w:val="22"/>
          <w:szCs w:val="22"/>
          <w:rtl/>
        </w:rPr>
        <w:t xml:space="preserve"> מיום 9.6.1981 עמ' 1217 </w:t>
      </w:r>
      <w:r>
        <w:rPr>
          <w:rFonts w:cs="FrankRuehl" w:hint="eastAsia"/>
          <w:sz w:val="22"/>
          <w:szCs w:val="22"/>
          <w:rtl/>
        </w:rPr>
        <w:t>– תיקון תשמ</w:t>
      </w:r>
      <w:r>
        <w:rPr>
          <w:rFonts w:cs="FrankRuehl" w:hint="cs"/>
          <w:sz w:val="22"/>
          <w:szCs w:val="22"/>
          <w:rtl/>
        </w:rPr>
        <w:t>"א-1981.</w:t>
      </w:r>
    </w:p>
    <w:p w14:paraId="2377340B" w14:textId="77777777" w:rsidR="009345B3" w:rsidRDefault="009345B3" w:rsidP="00CE018A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>
          <w:rPr>
            <w:rStyle w:val="Hyperlink"/>
            <w:rFonts w:cs="FrankRuehl"/>
            <w:sz w:val="22"/>
            <w:szCs w:val="22"/>
            <w:rtl/>
          </w:rPr>
          <w:t>ק"ת חש"ם תשמ"ד מס' 209</w:t>
        </w:r>
      </w:hyperlink>
      <w:r>
        <w:rPr>
          <w:rFonts w:cs="FrankRuehl" w:hint="cs"/>
          <w:sz w:val="22"/>
          <w:szCs w:val="22"/>
          <w:rtl/>
        </w:rPr>
        <w:t xml:space="preserve"> מיום 8.1.1984 עמ' 227 </w:t>
      </w:r>
      <w:r>
        <w:rPr>
          <w:rFonts w:cs="FrankRuehl" w:hint="eastAsia"/>
          <w:sz w:val="22"/>
          <w:szCs w:val="22"/>
          <w:rtl/>
        </w:rPr>
        <w:t>– תיקון תשמ</w:t>
      </w:r>
      <w:r>
        <w:rPr>
          <w:rFonts w:cs="FrankRuehl" w:hint="cs"/>
          <w:sz w:val="22"/>
          <w:szCs w:val="22"/>
          <w:rtl/>
        </w:rPr>
        <w:t>"ד-1984.</w:t>
      </w:r>
    </w:p>
    <w:p w14:paraId="2F1441AB" w14:textId="77777777" w:rsidR="009345B3" w:rsidRDefault="009345B3" w:rsidP="00CE018A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>
          <w:rPr>
            <w:rStyle w:val="Hyperlink"/>
            <w:rFonts w:cs="FrankRuehl"/>
            <w:sz w:val="22"/>
            <w:szCs w:val="22"/>
            <w:rtl/>
          </w:rPr>
          <w:t>ק"ת חש"ם תשמ"ה מס' 271</w:t>
        </w:r>
      </w:hyperlink>
      <w:r>
        <w:rPr>
          <w:rFonts w:cs="FrankRuehl" w:hint="cs"/>
          <w:sz w:val="22"/>
          <w:szCs w:val="22"/>
          <w:rtl/>
        </w:rPr>
        <w:t xml:space="preserve">  מיום 28.4.1985 עמ' 251 </w:t>
      </w:r>
      <w:r>
        <w:rPr>
          <w:rFonts w:cs="FrankRuehl" w:hint="eastAsia"/>
          <w:sz w:val="22"/>
          <w:szCs w:val="22"/>
          <w:rtl/>
        </w:rPr>
        <w:t>– תיקון תשמ</w:t>
      </w:r>
      <w:r>
        <w:rPr>
          <w:rFonts w:cs="FrankRuehl" w:hint="cs"/>
          <w:sz w:val="22"/>
          <w:szCs w:val="22"/>
          <w:rtl/>
        </w:rPr>
        <w:t>"ה-1985.</w:t>
      </w:r>
    </w:p>
    <w:p w14:paraId="37281563" w14:textId="77777777" w:rsidR="00CE018A" w:rsidRDefault="00F708FF" w:rsidP="00CE018A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8455A5" w:rsidRPr="00F708FF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8455A5" w:rsidRPr="00F708FF">
          <w:rPr>
            <w:rStyle w:val="Hyperlink"/>
            <w:rFonts w:cs="FrankRuehl" w:hint="cs"/>
            <w:sz w:val="22"/>
            <w:szCs w:val="22"/>
            <w:rtl/>
          </w:rPr>
          <w:t>ת</w:t>
        </w:r>
        <w:r w:rsidR="008455A5" w:rsidRPr="00F708FF">
          <w:rPr>
            <w:rStyle w:val="Hyperlink"/>
            <w:rFonts w:cs="FrankRuehl" w:hint="cs"/>
            <w:sz w:val="22"/>
            <w:szCs w:val="22"/>
            <w:rtl/>
          </w:rPr>
          <w:t>שע"ב מס' 769</w:t>
        </w:r>
      </w:hyperlink>
      <w:r w:rsidR="008455A5">
        <w:rPr>
          <w:rFonts w:cs="FrankRuehl" w:hint="cs"/>
          <w:sz w:val="22"/>
          <w:szCs w:val="22"/>
          <w:rtl/>
        </w:rPr>
        <w:t xml:space="preserve"> מיום 3.4.2012 עמ' 327 </w:t>
      </w:r>
      <w:r w:rsidR="008455A5">
        <w:rPr>
          <w:rFonts w:cs="FrankRuehl"/>
          <w:sz w:val="22"/>
          <w:szCs w:val="22"/>
          <w:rtl/>
        </w:rPr>
        <w:t>–</w:t>
      </w:r>
      <w:r w:rsidR="008455A5">
        <w:rPr>
          <w:rFonts w:cs="FrankRuehl" w:hint="cs"/>
          <w:sz w:val="22"/>
          <w:szCs w:val="22"/>
          <w:rtl/>
        </w:rPr>
        <w:t xml:space="preserve"> תיקון תשע"ב-2012; ר' סעיף 3 לענין הוראת שעה.</w:t>
      </w:r>
    </w:p>
    <w:p w14:paraId="17C94FC2" w14:textId="77777777" w:rsidR="005042C4" w:rsidRDefault="00A3205A" w:rsidP="00CE018A">
      <w:pPr>
        <w:pStyle w:val="a5"/>
        <w:spacing w:before="40" w:line="240" w:lineRule="auto"/>
        <w:ind w:left="17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3. </w:t>
      </w:r>
      <w:r w:rsidR="005042C4">
        <w:rPr>
          <w:rFonts w:cs="FrankRuehl" w:hint="cs"/>
          <w:sz w:val="22"/>
          <w:szCs w:val="22"/>
          <w:rtl/>
        </w:rPr>
        <w:t xml:space="preserve">על אף האמור בסעיף 2 לחוק עזר לירושלים (הצמדה למדד), התשמ"ד-1984, יעודכנו תעריפי האגרה שנקבעו בתוספת לחוק העבר העיקרי כנוסחם בחוק עזר זה במועד פרסומנו של חוק עזר זה (להלן </w:t>
      </w:r>
      <w:r w:rsidR="005042C4">
        <w:rPr>
          <w:rFonts w:cs="FrankRuehl"/>
          <w:sz w:val="22"/>
          <w:szCs w:val="22"/>
          <w:rtl/>
        </w:rPr>
        <w:t>–</w:t>
      </w:r>
      <w:r w:rsidR="005042C4">
        <w:rPr>
          <w:rFonts w:cs="FrankRuehl" w:hint="cs"/>
          <w:sz w:val="22"/>
          <w:szCs w:val="22"/>
          <w:rtl/>
        </w:rPr>
        <w:t xml:space="preserve"> יום העדכון הראשון), לפי שיעור השינוי שיחול במדד, מן המדד שפורסם לאחרונה לפני יום העדכון הראשון לעומת מדד חודש דצמבר 2009.</w:t>
      </w:r>
    </w:p>
    <w:p w14:paraId="21058252" w14:textId="77777777" w:rsidR="008C044A" w:rsidRDefault="008C044A" w:rsidP="008C044A">
      <w:pPr>
        <w:pStyle w:val="a5"/>
        <w:spacing w:before="72" w:line="240" w:lineRule="auto"/>
        <w:ind w:right="1134"/>
        <w:rPr>
          <w:rFonts w:cs="FrankRuehl"/>
          <w:sz w:val="22"/>
          <w:szCs w:val="22"/>
          <w:rtl/>
          <w:lang w:eastAsia="en-US"/>
        </w:rPr>
      </w:pPr>
      <w:hyperlink r:id="rId6" w:history="1">
        <w:r w:rsidR="00CE018A" w:rsidRPr="008C044A">
          <w:rPr>
            <w:rStyle w:val="Hyperlink"/>
            <w:rFonts w:cs="FrankRuehl" w:hint="cs"/>
            <w:sz w:val="22"/>
            <w:szCs w:val="22"/>
            <w:rtl/>
            <w:lang w:eastAsia="en-US"/>
          </w:rPr>
          <w:t>ק"ת חש"ם תשע"ו מס' 842</w:t>
        </w:r>
      </w:hyperlink>
      <w:r w:rsidR="00CE018A" w:rsidRPr="0084542C">
        <w:rPr>
          <w:rFonts w:cs="FrankRuehl" w:hint="cs"/>
          <w:sz w:val="22"/>
          <w:szCs w:val="22"/>
          <w:rtl/>
          <w:lang w:eastAsia="en-US"/>
        </w:rPr>
        <w:t xml:space="preserve"> מיום 14.1.2016 עמ' 83 </w:t>
      </w:r>
      <w:r w:rsidR="00CE018A" w:rsidRPr="0084542C">
        <w:rPr>
          <w:rFonts w:cs="FrankRuehl"/>
          <w:sz w:val="22"/>
          <w:szCs w:val="22"/>
          <w:rtl/>
          <w:lang w:eastAsia="en-US"/>
        </w:rPr>
        <w:t>–</w:t>
      </w:r>
      <w:r w:rsidR="00CE018A" w:rsidRPr="0084542C">
        <w:rPr>
          <w:rFonts w:cs="FrankRuehl" w:hint="cs"/>
          <w:sz w:val="22"/>
          <w:szCs w:val="22"/>
          <w:rtl/>
          <w:lang w:eastAsia="en-US"/>
        </w:rPr>
        <w:t xml:space="preserve"> תיקון תשע"ו-2016 בסעיף 1(</w:t>
      </w:r>
      <w:r w:rsidR="00CE018A">
        <w:rPr>
          <w:rFonts w:cs="FrankRuehl" w:hint="cs"/>
          <w:sz w:val="22"/>
          <w:szCs w:val="22"/>
          <w:rtl/>
          <w:lang w:eastAsia="en-US"/>
        </w:rPr>
        <w:t>24</w:t>
      </w:r>
      <w:r w:rsidR="00CE018A" w:rsidRPr="0084542C">
        <w:rPr>
          <w:rFonts w:cs="FrankRuehl" w:hint="cs"/>
          <w:sz w:val="22"/>
          <w:szCs w:val="22"/>
          <w:rtl/>
          <w:lang w:eastAsia="en-US"/>
        </w:rPr>
        <w:t>) לחוק עזר לירושלים (ביטול סעיפי העונשין), תשע"ו-2016.</w:t>
      </w:r>
    </w:p>
    <w:p w14:paraId="6B654A25" w14:textId="77777777" w:rsidR="00A352BD" w:rsidRDefault="00A352BD" w:rsidP="00A352BD">
      <w:pPr>
        <w:pStyle w:val="a5"/>
        <w:spacing w:before="72" w:line="240" w:lineRule="auto"/>
        <w:ind w:right="1134"/>
        <w:rPr>
          <w:rFonts w:cs="FrankRuehl"/>
          <w:sz w:val="22"/>
          <w:szCs w:val="22"/>
          <w:rtl/>
          <w:lang w:eastAsia="en-US"/>
        </w:rPr>
      </w:pPr>
      <w:hyperlink r:id="rId7" w:history="1">
        <w:r w:rsidR="00CC078B" w:rsidRPr="00A352BD">
          <w:rPr>
            <w:rStyle w:val="Hyperlink"/>
            <w:rFonts w:cs="FrankRuehl" w:hint="cs"/>
            <w:sz w:val="22"/>
            <w:szCs w:val="22"/>
            <w:rtl/>
            <w:lang w:eastAsia="en-US"/>
          </w:rPr>
          <w:t>ק"ת חש"ם תשע"ח מס' 896</w:t>
        </w:r>
      </w:hyperlink>
      <w:r w:rsidR="00CC078B">
        <w:rPr>
          <w:rFonts w:cs="FrankRuehl" w:hint="cs"/>
          <w:sz w:val="22"/>
          <w:szCs w:val="22"/>
          <w:rtl/>
          <w:lang w:eastAsia="en-US"/>
        </w:rPr>
        <w:t xml:space="preserve"> מיום 18.12.2017 עמ' 247 </w:t>
      </w:r>
      <w:r w:rsidR="00CC078B">
        <w:rPr>
          <w:rFonts w:cs="FrankRuehl"/>
          <w:sz w:val="22"/>
          <w:szCs w:val="22"/>
          <w:rtl/>
          <w:lang w:eastAsia="en-US"/>
        </w:rPr>
        <w:t>–</w:t>
      </w:r>
      <w:r w:rsidR="00CC078B">
        <w:rPr>
          <w:rFonts w:cs="FrankRuehl" w:hint="cs"/>
          <w:sz w:val="22"/>
          <w:szCs w:val="22"/>
          <w:rtl/>
          <w:lang w:eastAsia="en-US"/>
        </w:rPr>
        <w:t xml:space="preserve"> תיקון תשע"ח-2017; ר' סעיף 3 לענין הוראת שעה.</w:t>
      </w:r>
    </w:p>
    <w:p w14:paraId="27DA5CC9" w14:textId="77777777" w:rsidR="00CC078B" w:rsidRDefault="00CC078B" w:rsidP="00CC078B">
      <w:pPr>
        <w:pStyle w:val="a5"/>
        <w:spacing w:before="40" w:line="240" w:lineRule="auto"/>
        <w:ind w:left="170" w:right="1134"/>
        <w:rPr>
          <w:rFonts w:cs="FrankRuehl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 xml:space="preserve">3. על אף האמור בסעיף 2 לחוק עזר לירושלים (הצמדה למדד), התשמ"ד-1984 יעודכנו תעריפי האגרה הנקובים בתוספת במועד פרסומו של חוק עזר זה ברשומות (להלן </w:t>
      </w:r>
      <w:r>
        <w:rPr>
          <w:rFonts w:cs="FrankRuehl"/>
          <w:sz w:val="22"/>
          <w:szCs w:val="22"/>
          <w:rtl/>
          <w:lang w:eastAsia="en-US"/>
        </w:rPr>
        <w:t>–</w:t>
      </w:r>
      <w:r>
        <w:rPr>
          <w:rFonts w:cs="FrankRuehl" w:hint="cs"/>
          <w:sz w:val="22"/>
          <w:szCs w:val="22"/>
          <w:rtl/>
          <w:lang w:eastAsia="en-US"/>
        </w:rPr>
        <w:t xml:space="preserve"> יום העדכון הראשון), לפי שיעור שינוי המדד שפורסם לאחרונה לפני יום העדכון הראשון, לעומת מדד חודש יולי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4305" w14:textId="77777777" w:rsidR="009345B3" w:rsidRDefault="009345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3D7EE8E" w14:textId="77777777" w:rsidR="009345B3" w:rsidRDefault="009345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E7B252" w14:textId="77777777" w:rsidR="009345B3" w:rsidRDefault="009345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6947" w14:textId="77777777" w:rsidR="009345B3" w:rsidRDefault="009345B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לירושלים (תיעול), תש"ם-1980</w:t>
    </w:r>
  </w:p>
  <w:p w14:paraId="74DEB177" w14:textId="77777777" w:rsidR="009345B3" w:rsidRDefault="009345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4B18EB" w14:textId="77777777" w:rsidR="009345B3" w:rsidRDefault="009345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5B3"/>
    <w:rsid w:val="00092A44"/>
    <w:rsid w:val="001B39F5"/>
    <w:rsid w:val="00281A81"/>
    <w:rsid w:val="003D265E"/>
    <w:rsid w:val="004C61EE"/>
    <w:rsid w:val="005042C4"/>
    <w:rsid w:val="005A4052"/>
    <w:rsid w:val="005D6D75"/>
    <w:rsid w:val="006420B3"/>
    <w:rsid w:val="007B3A8D"/>
    <w:rsid w:val="008455A5"/>
    <w:rsid w:val="008A57D2"/>
    <w:rsid w:val="008C044A"/>
    <w:rsid w:val="009345B3"/>
    <w:rsid w:val="00995166"/>
    <w:rsid w:val="009A4A4F"/>
    <w:rsid w:val="009B1424"/>
    <w:rsid w:val="00A3205A"/>
    <w:rsid w:val="00A352BD"/>
    <w:rsid w:val="00A96E42"/>
    <w:rsid w:val="00BC35BD"/>
    <w:rsid w:val="00BC4B63"/>
    <w:rsid w:val="00C20B8A"/>
    <w:rsid w:val="00CC078B"/>
    <w:rsid w:val="00CE018A"/>
    <w:rsid w:val="00F30633"/>
    <w:rsid w:val="00F708FF"/>
    <w:rsid w:val="00F72EFE"/>
    <w:rsid w:val="00FA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062147"/>
  <w15:chartTrackingRefBased/>
  <w15:docId w15:val="{78E8DE97-1B17-44C3-A2F3-C7BF6A5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209.pdf" TargetMode="External"/><Relationship Id="rId7" Type="http://schemas.openxmlformats.org/officeDocument/2006/relationships/hyperlink" Target="http://www.nevo.co.il/Law_word/law07/mekomi-0896.pdf" TargetMode="External"/><Relationship Id="rId2" Type="http://schemas.openxmlformats.org/officeDocument/2006/relationships/hyperlink" Target="http://www.nevo.co.il/Law_word/law07/mekomi-0071.pdf" TargetMode="External"/><Relationship Id="rId1" Type="http://schemas.openxmlformats.org/officeDocument/2006/relationships/hyperlink" Target="http://www.nevo.co.il/Law_word/law06/tak-4141.pdf" TargetMode="External"/><Relationship Id="rId6" Type="http://schemas.openxmlformats.org/officeDocument/2006/relationships/hyperlink" Target="http://www.nevo.co.il/Law_word/law07/mekomi-0842.pdf" TargetMode="External"/><Relationship Id="rId5" Type="http://schemas.openxmlformats.org/officeDocument/2006/relationships/hyperlink" Target="http://www.nevo.co.il/Law_word/law07/mekomi-0769.pdf" TargetMode="External"/><Relationship Id="rId4" Type="http://schemas.openxmlformats.org/officeDocument/2006/relationships/hyperlink" Target="http://www.nevo.co.il/Law_word/law07/mekomi-02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7575</CharactersWithSpaces>
  <SharedDoc>false</SharedDoc>
  <HLinks>
    <vt:vector size="126" baseType="variant"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http://www.nevo.co.il/Law_word/law07/mekomi-0896.pdf</vt:lpwstr>
      </vt:variant>
      <vt:variant>
        <vt:lpwstr/>
      </vt:variant>
      <vt:variant>
        <vt:i4>7798809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http://www.nevo.co.il/Law_word/law07/mekomi-0842.pdf</vt:lpwstr>
      </vt:variant>
      <vt:variant>
        <vt:lpwstr/>
      </vt:variant>
      <vt:variant>
        <vt:i4>7536667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http://www.nevo.co.il/Law_word/law07/mekomi-0769.pdf</vt:lpwstr>
      </vt:variant>
      <vt:variant>
        <vt:lpwstr/>
      </vt:variant>
      <vt:variant>
        <vt:i4>8257562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http://www.nevo.co.il/Law_word/law07/mekomi-0271.pdf</vt:lpwstr>
      </vt:variant>
      <vt:variant>
        <vt:lpwstr/>
      </vt:variant>
      <vt:variant>
        <vt:i4>7733277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http://www.nevo.co.il/Law_word/law07/mekomi-0209.pdf</vt:lpwstr>
      </vt:variant>
      <vt:variant>
        <vt:lpwstr/>
      </vt:variant>
      <vt:variant>
        <vt:i4>8126490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http://www.nevo.co.il/Law_word/law07/mekomi-0071.pdf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p178m2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לירושלים (תיעול), תש"ם-1980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http://www.nevo.co.il/Law_word/law07/mekomi-0769.pdf;‎רשומות - תקנות חש"מ#ק"ת חש"ם תשע"ב מס' ‏‏769 #מיום 3.4.2012 עמ' 327 – תיקון תשע"ב-2012; ר' סעיף 3 לענין הוראת שעה</vt:lpwstr>
  </property>
  <property fmtid="{D5CDD505-2E9C-101B-9397-08002B2CF9AE}" pid="8" name="LINKK2">
    <vt:lpwstr>http://www.nevo.co.il/Law_word/law07/mekomi-0842.pdf;‎רשומות - תקנות חש"ם#ק"ת חש"ם תשע"ו מס' ‏‏842 #מיום 14.1.2016 עמ' 83 – תיקון תשע"ו-2016 בסעיף 1(24) לחוק עזר לירושלים (ביטול סעיפי העונשין), תשע"ו-2016‏</vt:lpwstr>
  </property>
  <property fmtid="{D5CDD505-2E9C-101B-9397-08002B2CF9AE}" pid="9" name="LINKK3">
    <vt:lpwstr>http://www.nevo.co.il/Law_word/law07/mekomi-0896.pdf;‎רשומות - תקנות חש"ם#ק"ת חש"ם תשע"ח מס' ‏‏896 #מיום 18.12.2017 עמ' 247 – תיקון תשע"ח-2017; ר' סעיף 3 לענין הוראת שעה.‏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העיריות</vt:lpwstr>
  </property>
  <property fmtid="{D5CDD505-2E9C-101B-9397-08002B2CF9AE}" pid="23" name="MEKOR_SAIF1">
    <vt:lpwstr>250X;251X;252X;254X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רשויות מקומיות</vt:lpwstr>
  </property>
  <property fmtid="{D5CDD505-2E9C-101B-9397-08002B2CF9AE}" pid="26" name="NOSE31">
    <vt:lpwstr>חוקי עזר</vt:lpwstr>
  </property>
  <property fmtid="{D5CDD505-2E9C-101B-9397-08002B2CF9AE}" pid="27" name="NOSE41">
    <vt:lpwstr>תיעול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