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9F75" w14:textId="77777777" w:rsidR="00BB53B5" w:rsidRDefault="00BB53B5" w:rsidP="00210809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חוק עזר ל</w:t>
      </w:r>
      <w:r w:rsidR="0002312A">
        <w:rPr>
          <w:rFonts w:cs="FrankRuehl" w:hint="cs"/>
          <w:sz w:val="32"/>
          <w:rtl/>
        </w:rPr>
        <w:t>נתניה</w:t>
      </w:r>
      <w:r>
        <w:rPr>
          <w:rFonts w:cs="FrankRuehl" w:hint="cs"/>
          <w:sz w:val="32"/>
          <w:rtl/>
        </w:rPr>
        <w:t xml:space="preserve"> (אגרת ביוב), תש</w:t>
      </w:r>
      <w:r w:rsidR="00210809">
        <w:rPr>
          <w:rFonts w:cs="FrankRuehl" w:hint="cs"/>
          <w:sz w:val="32"/>
          <w:rtl/>
        </w:rPr>
        <w:t>ל</w:t>
      </w:r>
      <w:r>
        <w:rPr>
          <w:rFonts w:cs="FrankRuehl" w:hint="cs"/>
          <w:sz w:val="32"/>
          <w:rtl/>
        </w:rPr>
        <w:t>"</w:t>
      </w:r>
      <w:r w:rsidR="00210809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-19</w:t>
      </w:r>
      <w:r w:rsidR="00210809">
        <w:rPr>
          <w:rFonts w:cs="FrankRuehl" w:hint="cs"/>
          <w:sz w:val="32"/>
          <w:rtl/>
        </w:rPr>
        <w:t>75</w:t>
      </w:r>
    </w:p>
    <w:p w14:paraId="1B2E0534" w14:textId="77777777" w:rsidR="00B11F7C" w:rsidRPr="00B11F7C" w:rsidRDefault="00B11F7C" w:rsidP="00B11F7C">
      <w:pPr>
        <w:spacing w:line="320" w:lineRule="auto"/>
        <w:jc w:val="left"/>
        <w:rPr>
          <w:rFonts w:cs="FrankRuehl"/>
          <w:szCs w:val="26"/>
          <w:rtl/>
        </w:rPr>
      </w:pPr>
    </w:p>
    <w:p w14:paraId="4F8A4A1F" w14:textId="77777777" w:rsidR="00B11F7C" w:rsidRDefault="00B11F7C" w:rsidP="00B11F7C">
      <w:pPr>
        <w:spacing w:line="320" w:lineRule="auto"/>
        <w:jc w:val="left"/>
        <w:rPr>
          <w:rtl/>
        </w:rPr>
      </w:pPr>
    </w:p>
    <w:p w14:paraId="074A63E0" w14:textId="77777777" w:rsidR="00B11F7C" w:rsidRDefault="00B11F7C" w:rsidP="00B11F7C">
      <w:pPr>
        <w:spacing w:line="320" w:lineRule="auto"/>
        <w:jc w:val="left"/>
        <w:rPr>
          <w:rFonts w:cs="FrankRuehl"/>
          <w:szCs w:val="26"/>
          <w:rtl/>
        </w:rPr>
      </w:pPr>
      <w:r w:rsidRPr="00B11F7C">
        <w:rPr>
          <w:rFonts w:cs="Miriam"/>
          <w:szCs w:val="22"/>
          <w:rtl/>
        </w:rPr>
        <w:t>רשויות ומשפט מנהלי</w:t>
      </w:r>
      <w:r w:rsidRPr="00B11F7C">
        <w:rPr>
          <w:rFonts w:cs="FrankRuehl"/>
          <w:szCs w:val="26"/>
          <w:rtl/>
        </w:rPr>
        <w:t xml:space="preserve"> – רשויות מקומיות – מסי שלטון מקומי – אגרות והיטלים</w:t>
      </w:r>
    </w:p>
    <w:p w14:paraId="4BE64F55" w14:textId="77777777" w:rsidR="00B11F7C" w:rsidRDefault="00B11F7C" w:rsidP="00B11F7C">
      <w:pPr>
        <w:spacing w:line="320" w:lineRule="auto"/>
        <w:jc w:val="left"/>
        <w:rPr>
          <w:rFonts w:cs="FrankRuehl"/>
          <w:szCs w:val="26"/>
          <w:rtl/>
        </w:rPr>
      </w:pPr>
      <w:r w:rsidRPr="00B11F7C">
        <w:rPr>
          <w:rFonts w:cs="Miriam"/>
          <w:szCs w:val="22"/>
          <w:rtl/>
        </w:rPr>
        <w:t>רשויות ומשפט מנהלי</w:t>
      </w:r>
      <w:r w:rsidRPr="00B11F7C">
        <w:rPr>
          <w:rFonts w:cs="FrankRuehl"/>
          <w:szCs w:val="26"/>
          <w:rtl/>
        </w:rPr>
        <w:t xml:space="preserve"> – רשויות מקומיות – ביוב</w:t>
      </w:r>
    </w:p>
    <w:p w14:paraId="5D7E4A3E" w14:textId="77777777" w:rsidR="00B11F7C" w:rsidRPr="00B11F7C" w:rsidRDefault="00B11F7C" w:rsidP="00B11F7C">
      <w:pPr>
        <w:spacing w:line="320" w:lineRule="auto"/>
        <w:jc w:val="left"/>
        <w:rPr>
          <w:rFonts w:cs="Miriam"/>
          <w:szCs w:val="22"/>
          <w:rtl/>
        </w:rPr>
      </w:pPr>
      <w:r w:rsidRPr="00B11F7C">
        <w:rPr>
          <w:rFonts w:cs="Miriam"/>
          <w:szCs w:val="22"/>
          <w:rtl/>
        </w:rPr>
        <w:t>רשויות ומשפט מנהלי</w:t>
      </w:r>
      <w:r w:rsidRPr="00B11F7C">
        <w:rPr>
          <w:rFonts w:cs="FrankRuehl"/>
          <w:szCs w:val="26"/>
          <w:rtl/>
        </w:rPr>
        <w:t xml:space="preserve"> – רשויות מקומיות – חוקי עזר</w:t>
      </w:r>
    </w:p>
    <w:p w14:paraId="50F3089C" w14:textId="77777777" w:rsidR="00BB53B5" w:rsidRDefault="00BB53B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15AED" w:rsidRPr="00C15AED" w14:paraId="3336FC4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9E2B94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CFA9D9D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457D6980" w14:textId="77777777" w:rsidR="00C15AED" w:rsidRPr="00C15AED" w:rsidRDefault="00C15AED" w:rsidP="00C15A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C15A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4528B1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A73BB1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AED" w:rsidRPr="00C15AED" w14:paraId="19979C2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79BBF6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C2CA9BA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ביוב</w:t>
            </w:r>
          </w:p>
        </w:tc>
        <w:tc>
          <w:tcPr>
            <w:tcW w:w="567" w:type="dxa"/>
          </w:tcPr>
          <w:p w14:paraId="38782AD9" w14:textId="77777777" w:rsidR="00C15AED" w:rsidRPr="00C15AED" w:rsidRDefault="00C15AED" w:rsidP="00C15A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ת ביוב" w:history="1">
              <w:r w:rsidRPr="00C15A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109E58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A73BB1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AED" w:rsidRPr="00C15AED" w14:paraId="45780BA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4EDD62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48FE88C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משלוח הודעה לחייב</w:t>
            </w:r>
          </w:p>
        </w:tc>
        <w:tc>
          <w:tcPr>
            <w:tcW w:w="567" w:type="dxa"/>
          </w:tcPr>
          <w:p w14:paraId="0FD90493" w14:textId="77777777" w:rsidR="00C15AED" w:rsidRPr="00C15AED" w:rsidRDefault="00C15AED" w:rsidP="00C15A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שלוח הודעה לחייב" w:history="1">
              <w:r w:rsidRPr="00C15A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913A58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A73BB1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AED" w:rsidRPr="00C15AED" w14:paraId="416343D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962C1CF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CB1DD04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תשלום האגרה</w:t>
            </w:r>
          </w:p>
        </w:tc>
        <w:tc>
          <w:tcPr>
            <w:tcW w:w="567" w:type="dxa"/>
          </w:tcPr>
          <w:p w14:paraId="5E78D2D8" w14:textId="77777777" w:rsidR="00C15AED" w:rsidRPr="00C15AED" w:rsidRDefault="00C15AED" w:rsidP="00C15A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ועד תשלום האגרה" w:history="1">
              <w:r w:rsidRPr="00C15A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3D93FD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A73BB1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AED" w:rsidRPr="00C15AED" w14:paraId="45E116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82ECE1A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6A56EFF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הודעה</w:t>
            </w:r>
          </w:p>
        </w:tc>
        <w:tc>
          <w:tcPr>
            <w:tcW w:w="567" w:type="dxa"/>
          </w:tcPr>
          <w:p w14:paraId="23A00547" w14:textId="77777777" w:rsidR="00C15AED" w:rsidRPr="00C15AED" w:rsidRDefault="00C15AED" w:rsidP="00C15A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סירת הודעה" w:history="1">
              <w:r w:rsidRPr="00C15A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F74A10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A73BB1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AED" w:rsidRPr="00C15AED" w14:paraId="3E158CA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725A8BD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AC73866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7CB5D73" w14:textId="77777777" w:rsidR="00C15AED" w:rsidRPr="00C15AED" w:rsidRDefault="00C15AED" w:rsidP="00C15A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שם" w:history="1">
              <w:r w:rsidRPr="00C15A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CCC7B1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A73BB1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5AED" w:rsidRPr="00C15AED" w14:paraId="1CFD76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C16A62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61B26A4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7AA630C6" w14:textId="77777777" w:rsidR="00C15AED" w:rsidRPr="00C15AED" w:rsidRDefault="00C15AED" w:rsidP="00C15AE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C15AE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AA1BE8" w14:textId="77777777" w:rsidR="00C15AED" w:rsidRPr="00C15AED" w:rsidRDefault="00C15AED" w:rsidP="00C15AE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A73BB1"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B47FE6" w14:textId="77777777" w:rsidR="00BB53B5" w:rsidRDefault="00BB53B5">
      <w:pPr>
        <w:pStyle w:val="big-header"/>
        <w:ind w:left="0" w:right="1134"/>
        <w:rPr>
          <w:rFonts w:cs="FrankRuehl"/>
          <w:sz w:val="32"/>
          <w:rtl/>
        </w:rPr>
      </w:pPr>
    </w:p>
    <w:p w14:paraId="219B67A8" w14:textId="77777777" w:rsidR="00BB53B5" w:rsidRDefault="00BB53B5" w:rsidP="008D4AF0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>
        <w:rPr>
          <w:rFonts w:cs="FrankRuehl" w:hint="eastAsia"/>
          <w:sz w:val="32"/>
          <w:rtl/>
        </w:rPr>
        <w:lastRenderedPageBreak/>
        <w:t>חוק</w:t>
      </w:r>
      <w:r>
        <w:rPr>
          <w:rFonts w:cs="FrankRuehl"/>
          <w:sz w:val="32"/>
          <w:rtl/>
        </w:rPr>
        <w:t xml:space="preserve"> עזר </w:t>
      </w:r>
      <w:r>
        <w:rPr>
          <w:rFonts w:cs="FrankRuehl" w:hint="cs"/>
          <w:sz w:val="32"/>
          <w:rtl/>
        </w:rPr>
        <w:t>ל</w:t>
      </w:r>
      <w:r w:rsidR="008D4AF0">
        <w:rPr>
          <w:rFonts w:cs="FrankRuehl" w:hint="cs"/>
          <w:sz w:val="32"/>
          <w:rtl/>
        </w:rPr>
        <w:t>נתניה</w:t>
      </w:r>
      <w:r>
        <w:rPr>
          <w:rFonts w:cs="FrankRuehl"/>
          <w:sz w:val="32"/>
          <w:rtl/>
        </w:rPr>
        <w:t xml:space="preserve"> (</w:t>
      </w:r>
      <w:r>
        <w:rPr>
          <w:rFonts w:cs="FrankRuehl" w:hint="cs"/>
          <w:sz w:val="32"/>
          <w:rtl/>
        </w:rPr>
        <w:t>אגרת ביוב</w:t>
      </w:r>
      <w:r>
        <w:rPr>
          <w:rFonts w:cs="FrankRuehl"/>
          <w:sz w:val="32"/>
          <w:rtl/>
        </w:rPr>
        <w:t xml:space="preserve">), </w:t>
      </w:r>
      <w:r>
        <w:rPr>
          <w:rFonts w:cs="FrankRuehl" w:hint="cs"/>
          <w:sz w:val="32"/>
          <w:rtl/>
        </w:rPr>
        <w:t>תש</w:t>
      </w:r>
      <w:r w:rsidR="008D4AF0">
        <w:rPr>
          <w:rFonts w:cs="FrankRuehl" w:hint="cs"/>
          <w:sz w:val="32"/>
          <w:rtl/>
        </w:rPr>
        <w:t>ל</w:t>
      </w:r>
      <w:r>
        <w:rPr>
          <w:rFonts w:cs="FrankRuehl" w:hint="cs"/>
          <w:sz w:val="32"/>
          <w:rtl/>
        </w:rPr>
        <w:t>"</w:t>
      </w:r>
      <w:r w:rsidR="008D4AF0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-</w:t>
      </w:r>
      <w:r w:rsidR="008D4AF0">
        <w:rPr>
          <w:rFonts w:cs="FrankRuehl" w:hint="cs"/>
          <w:sz w:val="32"/>
          <w:rtl/>
        </w:rPr>
        <w:t>1975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1E46E59" w14:textId="77777777" w:rsidR="00BB53B5" w:rsidRDefault="00A73BB1" w:rsidP="0002312A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 w:rsidR="00BB53B5">
        <w:rPr>
          <w:rFonts w:cs="FrankRuehl"/>
          <w:rtl/>
          <w:lang w:val="he-IL"/>
        </w:rPr>
        <w:t>בתוקף סמכותה לפי סעי</w:t>
      </w:r>
      <w:r w:rsidR="00BB53B5">
        <w:rPr>
          <w:rFonts w:cs="FrankRuehl" w:hint="cs"/>
          <w:rtl/>
          <w:lang w:val="he-IL"/>
        </w:rPr>
        <w:t>ף</w:t>
      </w:r>
      <w:r w:rsidR="00BB53B5">
        <w:rPr>
          <w:rFonts w:cs="FrankRuehl"/>
          <w:rtl/>
          <w:lang w:val="he-IL"/>
        </w:rPr>
        <w:t xml:space="preserve"> 250</w:t>
      </w:r>
      <w:r w:rsidR="00BB53B5">
        <w:rPr>
          <w:rFonts w:cs="FrankRuehl" w:hint="cs"/>
          <w:rtl/>
          <w:lang w:val="he-IL"/>
        </w:rPr>
        <w:t xml:space="preserve"> ו-251 </w:t>
      </w:r>
      <w:r w:rsidR="00BB53B5">
        <w:rPr>
          <w:rFonts w:cs="FrankRuehl"/>
          <w:rtl/>
          <w:lang w:val="he-IL"/>
        </w:rPr>
        <w:t>לפקודת העיר</w:t>
      </w:r>
      <w:r w:rsidR="00BB53B5">
        <w:rPr>
          <w:rFonts w:cs="FrankRuehl" w:hint="cs"/>
          <w:rtl/>
          <w:lang w:val="he-IL"/>
        </w:rPr>
        <w:t>י</w:t>
      </w:r>
      <w:r w:rsidR="00BB53B5">
        <w:rPr>
          <w:rFonts w:cs="FrankRuehl"/>
          <w:rtl/>
          <w:lang w:val="he-IL"/>
        </w:rPr>
        <w:t>ות</w:t>
      </w:r>
      <w:r w:rsidR="00BB53B5">
        <w:rPr>
          <w:rFonts w:cs="FrankRuehl" w:hint="cs"/>
          <w:rtl/>
          <w:lang w:val="he-IL"/>
        </w:rPr>
        <w:t xml:space="preserve">, וסעיפים 37 ו-38 לחוק הרשויות המקומיות (ביוב), תשכ"ב-1962, </w:t>
      </w:r>
      <w:r w:rsidR="00BB53B5">
        <w:rPr>
          <w:rFonts w:cs="FrankRuehl"/>
          <w:rtl/>
          <w:lang w:val="he-IL"/>
        </w:rPr>
        <w:t>מתקינה מועצת עי</w:t>
      </w:r>
      <w:r w:rsidR="00BB53B5">
        <w:rPr>
          <w:rFonts w:cs="FrankRuehl" w:hint="cs"/>
          <w:rtl/>
          <w:lang w:val="he-IL"/>
        </w:rPr>
        <w:t>רי</w:t>
      </w:r>
      <w:r w:rsidR="00BB53B5">
        <w:rPr>
          <w:rFonts w:cs="FrankRuehl"/>
          <w:rtl/>
          <w:lang w:val="he-IL"/>
        </w:rPr>
        <w:t xml:space="preserve">ית </w:t>
      </w:r>
      <w:r w:rsidR="0002312A">
        <w:rPr>
          <w:rFonts w:cs="FrankRuehl" w:hint="cs"/>
          <w:rtl/>
          <w:lang w:val="he-IL"/>
        </w:rPr>
        <w:t>נתניה</w:t>
      </w:r>
      <w:r w:rsidR="00BB53B5">
        <w:rPr>
          <w:rFonts w:cs="FrankRuehl"/>
          <w:rtl/>
          <w:lang w:val="he-IL"/>
        </w:rPr>
        <w:t xml:space="preserve"> חוק עזר</w:t>
      </w:r>
      <w:r w:rsidR="00BB53B5">
        <w:rPr>
          <w:rFonts w:cs="FrankRuehl" w:hint="cs"/>
          <w:rtl/>
          <w:lang w:val="he-IL"/>
        </w:rPr>
        <w:t xml:space="preserve"> זה:</w:t>
      </w:r>
    </w:p>
    <w:p w14:paraId="136A2FC4" w14:textId="77777777" w:rsidR="00BB53B5" w:rsidRDefault="00BB53B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1F714B38">
          <v:rect id="_x0000_s1026" style="position:absolute;left:0;text-align:left;margin-left:464.5pt;margin-top:8.05pt;width:75.05pt;height:12.4pt;z-index:251652096" o:allowincell="f" filled="f" stroked="f" strokecolor="lime" strokeweight=".25pt">
            <v:textbox style="mso-next-textbox:#_x0000_s1026" inset="0,0,0,0">
              <w:txbxContent>
                <w:p w14:paraId="4C175461" w14:textId="77777777" w:rsidR="00715CC4" w:rsidRDefault="00715CC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  <w:r>
        <w:rPr>
          <w:rStyle w:val="default"/>
          <w:rFonts w:hint="cs"/>
          <w:rtl/>
        </w:rPr>
        <w:t xml:space="preserve"> </w:t>
      </w:r>
    </w:p>
    <w:p w14:paraId="6BB7271A" w14:textId="77777777" w:rsidR="00BB53B5" w:rsidRDefault="00BB53B5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>
        <w:rPr>
          <w:rFonts w:cs="FrankRuehl"/>
          <w:rtl/>
          <w:lang w:eastAsia="en-US"/>
        </w:rPr>
        <w:t xml:space="preserve">העיריה"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עירית </w:t>
      </w:r>
      <w:r w:rsidR="0002312A">
        <w:rPr>
          <w:rFonts w:cs="FrankRuehl" w:hint="cs"/>
          <w:rtl/>
          <w:lang w:eastAsia="en-US"/>
        </w:rPr>
        <w:t>נתניה</w:t>
      </w:r>
      <w:r>
        <w:rPr>
          <w:rFonts w:cs="FrankRuehl"/>
          <w:rtl/>
          <w:lang w:eastAsia="en-US"/>
        </w:rPr>
        <w:t>;</w:t>
      </w:r>
    </w:p>
    <w:p w14:paraId="6C63F36C" w14:textId="77777777" w:rsidR="00BB53B5" w:rsidRDefault="00BB53B5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"ראש העיריה"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לרבות מי ש</w:t>
      </w:r>
      <w:r w:rsidR="0002312A">
        <w:rPr>
          <w:rFonts w:cs="FrankRuehl" w:hint="cs"/>
          <w:rtl/>
          <w:lang w:eastAsia="en-US"/>
        </w:rPr>
        <w:t>ה</w:t>
      </w:r>
      <w:r>
        <w:rPr>
          <w:rFonts w:cs="FrankRuehl"/>
          <w:rtl/>
          <w:lang w:eastAsia="en-US"/>
        </w:rPr>
        <w:t>סמי</w:t>
      </w:r>
      <w:r w:rsidR="0002312A">
        <w:rPr>
          <w:rFonts w:cs="FrankRuehl" w:hint="cs"/>
          <w:rtl/>
          <w:lang w:eastAsia="en-US"/>
        </w:rPr>
        <w:t>ך</w:t>
      </w:r>
      <w:r>
        <w:rPr>
          <w:rFonts w:cs="FrankRuehl"/>
          <w:rtl/>
          <w:lang w:eastAsia="en-US"/>
        </w:rPr>
        <w:t xml:space="preserve"> בכתב </w:t>
      </w:r>
      <w:r w:rsidR="0002312A">
        <w:rPr>
          <w:rFonts w:cs="FrankRuehl" w:hint="cs"/>
          <w:rtl/>
          <w:lang w:eastAsia="en-US"/>
        </w:rPr>
        <w:t xml:space="preserve">ראש העיריה </w:t>
      </w:r>
      <w:r>
        <w:rPr>
          <w:rFonts w:cs="FrankRuehl"/>
          <w:rtl/>
          <w:lang w:eastAsia="en-US"/>
        </w:rPr>
        <w:t>לענין חוק ע</w:t>
      </w:r>
      <w:r>
        <w:rPr>
          <w:rFonts w:cs="FrankRuehl" w:hint="cs"/>
          <w:rtl/>
          <w:lang w:eastAsia="en-US"/>
        </w:rPr>
        <w:t>ז</w:t>
      </w:r>
      <w:r>
        <w:rPr>
          <w:rFonts w:cs="FrankRuehl"/>
          <w:rtl/>
          <w:lang w:eastAsia="en-US"/>
        </w:rPr>
        <w:t>ר זה, כולו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או מקצתו;</w:t>
      </w:r>
    </w:p>
    <w:p w14:paraId="517E747D" w14:textId="77777777" w:rsidR="00740CDC" w:rsidRDefault="00740CDC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585F5BFD">
          <v:rect id="_x0000_s1062" style="position:absolute;left:0;text-align:left;margin-left:464.35pt;margin-top:7.1pt;width:75.05pt;height:11.2pt;z-index:251660288" filled="f" stroked="f" strokecolor="lime" strokeweight=".25pt">
            <v:textbox style="mso-next-textbox:#_x0000_s1062" inset="0,0,0,0">
              <w:txbxContent>
                <w:p w14:paraId="42E5BD94" w14:textId="77777777" w:rsidR="00715CC4" w:rsidRDefault="002E08AC" w:rsidP="002E08A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715C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תשנ"א-1991</w:t>
                  </w:r>
                </w:p>
              </w:txbxContent>
            </v:textbox>
            <w10:anchorlock/>
          </v:rect>
        </w:pict>
      </w:r>
      <w:r w:rsidR="00BB53B5">
        <w:rPr>
          <w:rFonts w:cs="FrankRuehl" w:hint="cs"/>
          <w:rtl/>
          <w:lang w:eastAsia="en-US"/>
        </w:rPr>
        <w:tab/>
      </w:r>
      <w:r>
        <w:rPr>
          <w:rFonts w:cs="FrankRuehl" w:hint="cs"/>
          <w:rtl/>
          <w:lang w:eastAsia="en-US"/>
        </w:rPr>
        <w:t>"אגרת ביוב" – אגרה המוטלת לשם כיסוי הוצאות האחזקה של רשת הביוב של העיריה;</w:t>
      </w:r>
    </w:p>
    <w:p w14:paraId="7B47BBCB" w14:textId="77777777" w:rsidR="00BB53B5" w:rsidRDefault="00740CDC" w:rsidP="0002312A">
      <w:pPr>
        <w:pStyle w:val="P00"/>
        <w:spacing w:before="72"/>
        <w:ind w:left="0" w:right="1134"/>
        <w:rPr>
          <w:rStyle w:val="big-number"/>
          <w:rFonts w:hint="cs"/>
          <w:rtl/>
        </w:rPr>
      </w:pPr>
      <w:r>
        <w:rPr>
          <w:rFonts w:cs="FrankRuehl" w:hint="cs"/>
          <w:rtl/>
          <w:lang w:eastAsia="en-US"/>
        </w:rPr>
        <w:tab/>
      </w:r>
      <w:r w:rsidR="00BB53B5">
        <w:rPr>
          <w:rFonts w:cs="FrankRuehl"/>
          <w:rtl/>
          <w:lang w:eastAsia="en-US"/>
        </w:rPr>
        <w:t xml:space="preserve">"מחזיק" </w:t>
      </w:r>
      <w:r w:rsidR="00BB53B5">
        <w:rPr>
          <w:rFonts w:cs="FrankRuehl" w:hint="cs"/>
          <w:rtl/>
          <w:lang w:eastAsia="en-US"/>
        </w:rPr>
        <w:t>–</w:t>
      </w:r>
      <w:r w:rsidR="00BB53B5">
        <w:rPr>
          <w:rFonts w:cs="FrankRuehl"/>
          <w:rtl/>
          <w:lang w:eastAsia="en-US"/>
        </w:rPr>
        <w:t xml:space="preserve"> </w:t>
      </w:r>
      <w:r w:rsidR="0002312A">
        <w:rPr>
          <w:rFonts w:cs="FrankRuehl" w:hint="cs"/>
          <w:rtl/>
          <w:lang w:eastAsia="en-US"/>
        </w:rPr>
        <w:t>ה</w:t>
      </w:r>
      <w:r w:rsidR="00BB53B5">
        <w:rPr>
          <w:rFonts w:cs="FrankRuehl"/>
          <w:rtl/>
          <w:lang w:eastAsia="en-US"/>
        </w:rPr>
        <w:t>מחזיק בפועל בנכס המחובר לרשת הביוב של העיריה</w:t>
      </w:r>
      <w:r w:rsidR="002E08AC">
        <w:rPr>
          <w:rFonts w:cs="FrankRuehl" w:hint="cs"/>
          <w:rtl/>
          <w:lang w:eastAsia="en-US"/>
        </w:rPr>
        <w:t>;</w:t>
      </w:r>
    </w:p>
    <w:p w14:paraId="09FC5987" w14:textId="77777777" w:rsidR="00EA4AE2" w:rsidRDefault="00EA4AE2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5D58DF09">
          <v:rect id="_x0000_s1059" style="position:absolute;left:0;text-align:left;margin-left:464.35pt;margin-top:7.1pt;width:75.05pt;height:11.4pt;z-index:251658240" filled="f" stroked="f" strokecolor="lime" strokeweight=".25pt">
            <v:textbox style="mso-next-textbox:#_x0000_s1059" inset="0,0,0,0">
              <w:txbxContent>
                <w:p w14:paraId="3FF199B2" w14:textId="77777777" w:rsidR="00715CC4" w:rsidRDefault="002E08AC" w:rsidP="002E08A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715C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תשל"ו-1976</w:t>
                  </w:r>
                </w:p>
              </w:txbxContent>
            </v:textbox>
            <w10:anchorlock/>
          </v:rect>
        </w:pict>
      </w:r>
      <w:r w:rsidRPr="00EA4AE2">
        <w:rPr>
          <w:rFonts w:cs="FrankRuehl" w:hint="cs"/>
          <w:rtl/>
          <w:lang w:eastAsia="en-US"/>
        </w:rPr>
        <w:tab/>
        <w:t>"מפעלי תעשיה" – כל מפעל ובית מלאכה הנמצאים באזור התעשיה קרית אליעזר בגושים 8234, 8235, 8236 ו-8237 ובאזור התעשיה בדרומה של נתניה ב</w:t>
      </w:r>
      <w:r w:rsidR="002E08AC">
        <w:rPr>
          <w:rFonts w:cs="FrankRuehl" w:hint="cs"/>
          <w:rtl/>
          <w:lang w:eastAsia="en-US"/>
        </w:rPr>
        <w:t>גושים 7945, 7946 ו-7947;</w:t>
      </w:r>
    </w:p>
    <w:p w14:paraId="31035068" w14:textId="77777777" w:rsidR="00EA4AE2" w:rsidRDefault="00EA4AE2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35714C37">
          <v:rect id="_x0000_s1061" style="position:absolute;left:0;text-align:left;margin-left:464.35pt;margin-top:7.1pt;width:75.05pt;height:11.4pt;z-index:251659264" filled="f" stroked="f" strokecolor="lime" strokeweight=".25pt">
            <v:textbox style="mso-next-textbox:#_x0000_s1061" inset="0,0,0,0">
              <w:txbxContent>
                <w:p w14:paraId="5061B583" w14:textId="77777777" w:rsidR="00715CC4" w:rsidRDefault="002E08AC" w:rsidP="002E08A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715C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תשמ"ח-1987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rtl/>
          <w:lang w:eastAsia="en-US"/>
        </w:rPr>
        <w:tab/>
        <w:t>"שפכים" – פסול</w:t>
      </w:r>
      <w:r w:rsidR="002E08AC">
        <w:rPr>
          <w:rFonts w:cs="FrankRuehl" w:hint="cs"/>
          <w:rtl/>
          <w:lang w:eastAsia="en-US"/>
        </w:rPr>
        <w:t>ת המורחקת מנכסים על ידי זרם מים;</w:t>
      </w:r>
    </w:p>
    <w:p w14:paraId="673080BE" w14:textId="77777777" w:rsidR="00EA4AE2" w:rsidRDefault="002E08AC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56859BB1"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470.25pt;margin-top:7.1pt;width:1in;height:13.45pt;z-index:251663360" filled="f" stroked="f">
            <v:textbox inset="1mm,0,1mm,0">
              <w:txbxContent>
                <w:p w14:paraId="0C40E1F2" w14:textId="77777777" w:rsidR="002E08AC" w:rsidRDefault="002E08AC" w:rsidP="002E08A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תשמ"ח-1987</w:t>
                  </w:r>
                </w:p>
              </w:txbxContent>
            </v:textbox>
            <w10:anchorlock/>
          </v:shape>
        </w:pict>
      </w:r>
      <w:r w:rsidR="00EA4AE2">
        <w:rPr>
          <w:rFonts w:cs="FrankRuehl" w:hint="cs"/>
          <w:rtl/>
          <w:lang w:eastAsia="en-US"/>
        </w:rPr>
        <w:tab/>
        <w:t xml:space="preserve">"מקדם הצח"ב" – היחס שבין ריכוז צריכת חמצן ביולוגית (להלן – צח"ב) בשפכים במיליגרם אחד לליטר מים </w:t>
      </w:r>
      <w:r>
        <w:rPr>
          <w:rFonts w:cs="FrankRuehl" w:hint="cs"/>
          <w:rtl/>
          <w:lang w:eastAsia="en-US"/>
        </w:rPr>
        <w:t>(להלן מג"ל) ובין 250 צח"ב במג"ל;</w:t>
      </w:r>
    </w:p>
    <w:p w14:paraId="4AC7E67E" w14:textId="77777777" w:rsidR="00DA40D3" w:rsidRPr="00EA4AE2" w:rsidRDefault="00DA40D3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pict w14:anchorId="5EB2BA9A">
          <v:rect id="_x0000_s1065" style="position:absolute;left:0;text-align:left;margin-left:464.35pt;margin-top:7.1pt;width:75.05pt;height:11.2pt;z-index:251662336" filled="f" stroked="f" strokecolor="lime" strokeweight=".25pt">
            <v:textbox style="mso-next-textbox:#_x0000_s1065" inset="0,0,0,0">
              <w:txbxContent>
                <w:p w14:paraId="367EE9EB" w14:textId="77777777" w:rsidR="00715CC4" w:rsidRDefault="002E08AC" w:rsidP="002E08A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715C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תשנ"ה-1995</w:t>
                  </w:r>
                </w:p>
              </w:txbxContent>
            </v:textbox>
            <w10:anchorlock/>
          </v:rect>
        </w:pict>
      </w:r>
      <w:r>
        <w:rPr>
          <w:rFonts w:cs="FrankRuehl" w:hint="cs"/>
          <w:rtl/>
          <w:lang w:eastAsia="en-US"/>
        </w:rPr>
        <w:tab/>
        <w:t>"מכשיר מדידה" – מכשיר שהתקין מפעל תעשיה למדידת כמות השפכים המוזרמים ממנו למערכת הביוב העירונית מאושר בידי העיריה ומותקן באופן שהיא קבעה.</w:t>
      </w:r>
    </w:p>
    <w:p w14:paraId="71E25812" w14:textId="77777777" w:rsidR="00DA40D3" w:rsidRDefault="00BB53B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Start w:id="2" w:name="Seif7"/>
      <w:bookmarkEnd w:id="1"/>
      <w:bookmarkEnd w:id="2"/>
      <w:r>
        <w:rPr>
          <w:lang w:val="he-IL"/>
        </w:rPr>
        <w:pict w14:anchorId="09AD95F7">
          <v:rect id="_x0000_s1027" style="position:absolute;left:0;text-align:left;margin-left:464.5pt;margin-top:8.05pt;width:75.05pt;height:20.5pt;z-index:251653120" o:allowincell="f" filled="f" stroked="f" strokecolor="lime" strokeweight=".25pt">
            <v:textbox style="mso-next-textbox:#_x0000_s1027" inset="0,0,0,0">
              <w:txbxContent>
                <w:p w14:paraId="2909906E" w14:textId="77777777" w:rsidR="00715CC4" w:rsidRDefault="00715CC4" w:rsidP="00DA40D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ביוב</w:t>
                  </w:r>
                </w:p>
                <w:p w14:paraId="6EF68FD8" w14:textId="77777777" w:rsidR="002E08AC" w:rsidRDefault="002E08AC" w:rsidP="00DA40D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DA40D3">
        <w:rPr>
          <w:rFonts w:cs="FrankRuehl" w:hint="cs"/>
          <w:rtl/>
          <w:lang w:eastAsia="en-US"/>
        </w:rPr>
        <w:t>(א)</w:t>
      </w:r>
      <w:r w:rsidR="00DA40D3">
        <w:rPr>
          <w:rFonts w:cs="FrankRuehl" w:hint="cs"/>
          <w:rtl/>
          <w:lang w:eastAsia="en-US"/>
        </w:rPr>
        <w:tab/>
        <w:t>מחזיק ישלם אגרת ביוב לפי כמות המים שסופקה לו בפועל, בשיעור שנקבע בתוספת.</w:t>
      </w:r>
    </w:p>
    <w:p w14:paraId="1359A4C0" w14:textId="77777777" w:rsidR="00BB53B5" w:rsidRDefault="00DA40D3" w:rsidP="00DA40D3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eastAsia="en-US"/>
        </w:rPr>
        <w:tab/>
        <w:t>(ב)</w:t>
      </w:r>
      <w:r>
        <w:rPr>
          <w:rFonts w:cs="FrankRuehl" w:hint="cs"/>
          <w:rtl/>
          <w:lang w:eastAsia="en-US"/>
        </w:rPr>
        <w:tab/>
        <w:t>על אף האמור בסעיף קטן (א), מפעל תעשיה מצוייד במכשיר מדידה ישלם אגרת ביוב לפי כמות המים שהוזרמה בפועל למערכת הביוב כפי שרשם מכשיר המדידה, בשיעור שנקבע בתוספת.</w:t>
      </w:r>
      <w:r w:rsidR="00BB53B5">
        <w:rPr>
          <w:rFonts w:cs="FrankRuehl"/>
          <w:rtl/>
          <w:lang w:val="he-IL"/>
        </w:rPr>
        <w:t xml:space="preserve"> </w:t>
      </w:r>
    </w:p>
    <w:p w14:paraId="7112171D" w14:textId="77777777" w:rsidR="00BB53B5" w:rsidRDefault="00BB53B5" w:rsidP="0002312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3"/>
      <w:bookmarkEnd w:id="3"/>
      <w:r>
        <w:rPr>
          <w:lang w:val="he-IL"/>
        </w:rPr>
        <w:pict w14:anchorId="635EED69">
          <v:rect id="_x0000_s1029" style="position:absolute;left:0;text-align:left;margin-left:464.5pt;margin-top:8.05pt;width:75.05pt;height:12.15pt;z-index:251654144" o:allowincell="f" filled="f" stroked="f" strokecolor="lime" strokeweight=".25pt">
            <v:textbox style="mso-next-textbox:#_x0000_s1029" inset="0,0,0,0">
              <w:txbxContent>
                <w:p w14:paraId="24B710D7" w14:textId="77777777" w:rsidR="00715CC4" w:rsidRDefault="00715CC4" w:rsidP="002E08A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משלוח הודעה</w:t>
                  </w:r>
                  <w:r w:rsidR="002E08A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לחייב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ראש העיריה ישלח הודעה לחייב המפרטת את סכום האגרה הנדרש ממנו</w:t>
      </w:r>
      <w:r>
        <w:rPr>
          <w:rFonts w:cs="FrankRuehl" w:hint="cs"/>
          <w:rtl/>
          <w:lang w:eastAsia="en-US"/>
        </w:rPr>
        <w:t>.</w:t>
      </w:r>
    </w:p>
    <w:p w14:paraId="5E0DAAAB" w14:textId="77777777" w:rsidR="00BB53B5" w:rsidRDefault="00BB53B5" w:rsidP="0002312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4"/>
      <w:bookmarkEnd w:id="4"/>
      <w:r>
        <w:rPr>
          <w:lang w:val="he-IL"/>
        </w:rPr>
        <w:pict w14:anchorId="4BC6B653">
          <v:rect id="_x0000_s1030" style="position:absolute;left:0;text-align:left;margin-left:464.5pt;margin-top:8.05pt;width:75.05pt;height:15.2pt;z-index:251655168" o:allowincell="f" filled="f" stroked="f" strokecolor="lime" strokeweight=".25pt">
            <v:textbox style="mso-next-textbox:#_x0000_s1030" inset="0,0,0,0">
              <w:txbxContent>
                <w:p w14:paraId="1001B362" w14:textId="77777777" w:rsidR="00715CC4" w:rsidRDefault="00715CC4" w:rsidP="002E08A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תשלום</w:t>
                  </w:r>
                  <w:r w:rsidR="002E08A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אגרת הביוב תשולם יחד עם אגרת המים המשתלמת לפי חוק עזר ל</w:t>
      </w:r>
      <w:r w:rsidR="0002312A">
        <w:rPr>
          <w:rStyle w:val="default"/>
          <w:rFonts w:hint="cs"/>
          <w:rtl/>
        </w:rPr>
        <w:t>נתניה</w:t>
      </w:r>
      <w:r>
        <w:rPr>
          <w:rStyle w:val="default"/>
          <w:rFonts w:hint="cs"/>
          <w:rtl/>
        </w:rPr>
        <w:t xml:space="preserve"> (אספקת מים), תשכ"ו-1966.</w:t>
      </w:r>
    </w:p>
    <w:p w14:paraId="4D595B21" w14:textId="77777777" w:rsidR="00BB53B5" w:rsidRDefault="00BB53B5" w:rsidP="0002312A">
      <w:pPr>
        <w:pStyle w:val="P00"/>
        <w:spacing w:before="72"/>
        <w:ind w:left="0" w:right="1134"/>
        <w:rPr>
          <w:rFonts w:hint="cs"/>
          <w:rtl/>
          <w:lang w:eastAsia="en-US"/>
        </w:rPr>
      </w:pPr>
      <w:bookmarkStart w:id="5" w:name="Seif5"/>
      <w:bookmarkEnd w:id="5"/>
      <w:r>
        <w:rPr>
          <w:lang w:val="he-IL"/>
        </w:rPr>
        <w:lastRenderedPageBreak/>
        <w:pict w14:anchorId="214D7E8C">
          <v:rect id="_x0000_s1031" style="position:absolute;left:0;text-align:left;margin-left:464.5pt;margin-top:8.05pt;width:75.05pt;height:15.3pt;z-index:251656192" o:allowincell="f" filled="f" stroked="f" strokecolor="lime" strokeweight=".25pt">
            <v:textbox style="mso-next-textbox:#_x0000_s1031" inset="0,0,0,0">
              <w:txbxContent>
                <w:p w14:paraId="6314BFBD" w14:textId="77777777" w:rsidR="00715CC4" w:rsidRDefault="00715C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מסירת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מסירת הודעה לפי חוק עזר זה תהא כדין</w:t>
      </w:r>
      <w:r w:rsidR="0002312A">
        <w:rPr>
          <w:rFonts w:cs="FrankRuehl" w:hint="cs"/>
          <w:rtl/>
          <w:lang w:eastAsia="en-US"/>
        </w:rPr>
        <w:t>,</w:t>
      </w:r>
      <w:r>
        <w:rPr>
          <w:rFonts w:cs="FrankRuehl" w:hint="cs"/>
          <w:rtl/>
          <w:lang w:eastAsia="en-US"/>
        </w:rPr>
        <w:t xml:space="preserve"> אם נמסרה לידי האדם שאליו היא מכוונת או נמסרה במקום מגוריו או </w:t>
      </w:r>
      <w:r w:rsidR="0002312A">
        <w:rPr>
          <w:rFonts w:cs="FrankRuehl" w:hint="cs"/>
          <w:rtl/>
          <w:lang w:eastAsia="en-US"/>
        </w:rPr>
        <w:t xml:space="preserve">במקום </w:t>
      </w:r>
      <w:r>
        <w:rPr>
          <w:rFonts w:cs="FrankRuehl" w:hint="cs"/>
          <w:rtl/>
          <w:lang w:eastAsia="en-US"/>
        </w:rPr>
        <w:t>עסק</w:t>
      </w:r>
      <w:r w:rsidR="0002312A">
        <w:rPr>
          <w:rFonts w:cs="FrankRuehl" w:hint="cs"/>
          <w:rtl/>
          <w:lang w:eastAsia="en-US"/>
        </w:rPr>
        <w:t>י</w:t>
      </w:r>
      <w:r>
        <w:rPr>
          <w:rFonts w:cs="FrankRuehl" w:hint="cs"/>
          <w:rtl/>
          <w:lang w:eastAsia="en-US"/>
        </w:rPr>
        <w:t xml:space="preserve">ו הרגילים או הידועים לאחרונה לידי אחד מבני משפחתו הבוגרים או לידי כל אדם בוגר העובד או המועסק שם, או נשלחה בדואר במכתב רשום </w:t>
      </w:r>
      <w:r w:rsidR="0002312A">
        <w:rPr>
          <w:rFonts w:cs="FrankRuehl" w:hint="cs"/>
          <w:rtl/>
          <w:lang w:eastAsia="en-US"/>
        </w:rPr>
        <w:t xml:space="preserve">הערוך </w:t>
      </w:r>
      <w:r>
        <w:rPr>
          <w:rFonts w:cs="FrankRuehl" w:hint="cs"/>
          <w:rtl/>
          <w:lang w:eastAsia="en-US"/>
        </w:rPr>
        <w:t xml:space="preserve">אל אותו אדם לפי מען מקום מגוריו או </w:t>
      </w:r>
      <w:r w:rsidR="0002312A">
        <w:rPr>
          <w:rFonts w:cs="FrankRuehl" w:hint="cs"/>
          <w:rtl/>
          <w:lang w:eastAsia="en-US"/>
        </w:rPr>
        <w:t xml:space="preserve">במקום </w:t>
      </w:r>
      <w:r>
        <w:rPr>
          <w:rFonts w:cs="FrankRuehl" w:hint="cs"/>
          <w:rtl/>
          <w:lang w:eastAsia="en-US"/>
        </w:rPr>
        <w:t>עסקיו הרגילים או הידועים לאחרונה; אם אי</w:t>
      </w:r>
      <w:r w:rsidR="0002312A">
        <w:rPr>
          <w:rFonts w:cs="FrankRuehl" w:hint="cs"/>
          <w:rtl/>
          <w:lang w:eastAsia="en-US"/>
        </w:rPr>
        <w:t>-</w:t>
      </w:r>
      <w:r>
        <w:rPr>
          <w:rFonts w:cs="FrankRuehl" w:hint="cs"/>
          <w:rtl/>
          <w:lang w:eastAsia="en-US"/>
        </w:rPr>
        <w:t>אפשר לקיים את המסירה כאמור, תהא המסירה כדין אם הוצגה ההודעה במקום בולט באחד המקומות האמורים או פורסמה בשני עתונים יומיים הנפוצים בתחום העיריה, שאחד מהם לפחות הוא בשפה העברית.</w:t>
      </w:r>
    </w:p>
    <w:p w14:paraId="7809E83D" w14:textId="77777777" w:rsidR="00BB53B5" w:rsidRDefault="00BB53B5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6"/>
      <w:bookmarkEnd w:id="6"/>
      <w:r>
        <w:rPr>
          <w:lang w:val="he-IL"/>
        </w:rPr>
        <w:pict w14:anchorId="34FC8605">
          <v:rect id="_x0000_s1035" style="position:absolute;left:0;text-align:left;margin-left:464.5pt;margin-top:8.05pt;width:75.05pt;height:12.6pt;z-index:251657216" o:allowincell="f" filled="f" stroked="f" strokecolor="lime" strokeweight=".25pt">
            <v:textbox style="mso-next-textbox:#_x0000_s1035" inset="0,0,0,0">
              <w:txbxContent>
                <w:p w14:paraId="4C063CC2" w14:textId="77777777" w:rsidR="00715CC4" w:rsidRDefault="00715C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לחוק עזר זה ייקרא "חוק עזר ל</w:t>
      </w:r>
      <w:r w:rsidR="0002312A">
        <w:rPr>
          <w:rFonts w:cs="FrankRuehl" w:hint="cs"/>
          <w:rtl/>
          <w:lang w:eastAsia="en-US"/>
        </w:rPr>
        <w:t>נתניה</w:t>
      </w:r>
      <w:r>
        <w:rPr>
          <w:rFonts w:cs="FrankRuehl" w:hint="cs"/>
          <w:rtl/>
          <w:lang w:eastAsia="en-US"/>
        </w:rPr>
        <w:t xml:space="preserve"> (אגרת ביוב), תשל"</w:t>
      </w:r>
      <w:r w:rsidR="0002312A">
        <w:rPr>
          <w:rFonts w:cs="FrankRuehl" w:hint="cs"/>
          <w:rtl/>
          <w:lang w:eastAsia="en-US"/>
        </w:rPr>
        <w:t>ה</w:t>
      </w:r>
      <w:r>
        <w:rPr>
          <w:rFonts w:cs="FrankRuehl" w:hint="cs"/>
          <w:rtl/>
          <w:lang w:eastAsia="en-US"/>
        </w:rPr>
        <w:t>-</w:t>
      </w:r>
      <w:r w:rsidR="0002312A">
        <w:rPr>
          <w:rFonts w:cs="FrankRuehl" w:hint="cs"/>
          <w:rtl/>
          <w:lang w:eastAsia="en-US"/>
        </w:rPr>
        <w:t>1975</w:t>
      </w:r>
      <w:r>
        <w:rPr>
          <w:rFonts w:cs="FrankRuehl" w:hint="cs"/>
          <w:rtl/>
          <w:lang w:eastAsia="en-US"/>
        </w:rPr>
        <w:t>".</w:t>
      </w:r>
    </w:p>
    <w:p w14:paraId="2F1F518A" w14:textId="77777777" w:rsidR="00BB53B5" w:rsidRPr="002E08AC" w:rsidRDefault="00BB53B5" w:rsidP="002E08A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F87EBD4" w14:textId="77777777" w:rsidR="00BB53B5" w:rsidRPr="002E08AC" w:rsidRDefault="00740CDC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7" w:name="med0"/>
      <w:bookmarkEnd w:id="7"/>
      <w:r w:rsidRPr="002E08AC">
        <w:rPr>
          <w:rFonts w:cs="FrankRuehl" w:hint="cs"/>
          <w:noProof/>
          <w:sz w:val="26"/>
          <w:szCs w:val="26"/>
          <w:rtl/>
          <w:lang w:eastAsia="en-US"/>
        </w:rPr>
        <w:pict w14:anchorId="56AE3A64">
          <v:rect id="_x0000_s1063" style="position:absolute;left:0;text-align:left;margin-left:464.35pt;margin-top:7.1pt;width:75.05pt;height:16.8pt;z-index:251661312" filled="f" stroked="f" strokecolor="lime" strokeweight=".25pt">
            <v:textbox style="mso-next-textbox:#_x0000_s1063" inset="0,0,0,0">
              <w:txbxContent>
                <w:p w14:paraId="38BE54E9" w14:textId="77777777" w:rsidR="00715CC4" w:rsidRDefault="002E08AC" w:rsidP="002E08A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715C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תשנ"ה-1995</w:t>
                  </w:r>
                </w:p>
              </w:txbxContent>
            </v:textbox>
            <w10:anchorlock/>
          </v:rect>
        </w:pict>
      </w:r>
      <w:r w:rsidR="002E08AC">
        <w:rPr>
          <w:rFonts w:cs="FrankRuehl" w:hint="cs"/>
          <w:noProof/>
          <w:sz w:val="26"/>
          <w:szCs w:val="26"/>
          <w:rtl/>
        </w:rPr>
        <w:t>תוספת</w:t>
      </w:r>
    </w:p>
    <w:p w14:paraId="7C6F15E7" w14:textId="77777777" w:rsidR="00BB53B5" w:rsidRDefault="00BB53B5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>(סעיף 2)</w:t>
      </w:r>
    </w:p>
    <w:p w14:paraId="4CA842B7" w14:textId="77777777" w:rsidR="00BB53B5" w:rsidRPr="002E08AC" w:rsidRDefault="00BB53B5" w:rsidP="002E08A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tbl>
      <w:tblPr>
        <w:bidiVisual/>
        <w:tblW w:w="0" w:type="auto"/>
        <w:tblInd w:w="230" w:type="dxa"/>
        <w:tblLook w:val="0000" w:firstRow="0" w:lastRow="0" w:firstColumn="0" w:lastColumn="0" w:noHBand="0" w:noVBand="0"/>
      </w:tblPr>
      <w:tblGrid>
        <w:gridCol w:w="4165"/>
        <w:gridCol w:w="3135"/>
      </w:tblGrid>
      <w:tr w:rsidR="00E93F89" w14:paraId="4DE922FA" w14:textId="77777777">
        <w:tblPrEx>
          <w:tblCellMar>
            <w:top w:w="0" w:type="dxa"/>
            <w:bottom w:w="0" w:type="dxa"/>
          </w:tblCellMar>
        </w:tblPrEx>
        <w:tc>
          <w:tcPr>
            <w:tcW w:w="4165" w:type="dxa"/>
          </w:tcPr>
          <w:p w14:paraId="6E1453CC" w14:textId="77777777" w:rsidR="00E93F89" w:rsidRPr="002E08AC" w:rsidRDefault="00E93F89">
            <w:pPr>
              <w:pStyle w:val="P22"/>
              <w:spacing w:before="72"/>
              <w:ind w:left="0" w:right="1134"/>
              <w:jc w:val="center"/>
              <w:rPr>
                <w:rStyle w:val="default"/>
                <w:rFonts w:hint="cs"/>
                <w:sz w:val="22"/>
                <w:szCs w:val="22"/>
              </w:rPr>
            </w:pPr>
          </w:p>
        </w:tc>
        <w:tc>
          <w:tcPr>
            <w:tcW w:w="3135" w:type="dxa"/>
            <w:tcBorders>
              <w:bottom w:val="single" w:sz="4" w:space="0" w:color="auto"/>
            </w:tcBorders>
          </w:tcPr>
          <w:p w14:paraId="1CDFB9D7" w14:textId="77777777" w:rsidR="00E93F89" w:rsidRPr="002E08AC" w:rsidRDefault="00E93F89">
            <w:pPr>
              <w:pStyle w:val="P22"/>
              <w:spacing w:before="72"/>
              <w:ind w:left="0" w:right="222"/>
              <w:jc w:val="center"/>
              <w:rPr>
                <w:rStyle w:val="default"/>
                <w:rFonts w:hint="cs"/>
                <w:sz w:val="22"/>
                <w:szCs w:val="22"/>
              </w:rPr>
            </w:pPr>
            <w:r w:rsidRPr="002E08AC">
              <w:rPr>
                <w:rStyle w:val="default"/>
                <w:rFonts w:hint="cs"/>
                <w:sz w:val="22"/>
                <w:szCs w:val="22"/>
                <w:rtl/>
              </w:rPr>
              <w:t xml:space="preserve">האגרה בשקלים חדשים לכל </w:t>
            </w:r>
            <w:r w:rsidR="00740CDC" w:rsidRPr="002E08AC">
              <w:rPr>
                <w:rStyle w:val="default"/>
                <w:rFonts w:hint="cs"/>
                <w:sz w:val="22"/>
                <w:szCs w:val="22"/>
                <w:rtl/>
              </w:rPr>
              <w:t>מ</w:t>
            </w:r>
            <w:r w:rsidR="00DA40D3" w:rsidRPr="002E08AC">
              <w:rPr>
                <w:rStyle w:val="default"/>
                <w:rFonts w:hint="cs"/>
                <w:sz w:val="22"/>
                <w:szCs w:val="22"/>
                <w:rtl/>
              </w:rPr>
              <w:t>"</w:t>
            </w:r>
            <w:r w:rsidR="00740CDC" w:rsidRPr="002E08AC">
              <w:rPr>
                <w:rStyle w:val="default"/>
                <w:rFonts w:hint="cs"/>
                <w:sz w:val="22"/>
                <w:szCs w:val="22"/>
                <w:rtl/>
              </w:rPr>
              <w:t>ק של מים, למעט מי להשקיה</w:t>
            </w:r>
          </w:p>
        </w:tc>
      </w:tr>
      <w:tr w:rsidR="00E93F89" w14:paraId="3D884D00" w14:textId="77777777">
        <w:tblPrEx>
          <w:tblCellMar>
            <w:top w:w="0" w:type="dxa"/>
            <w:bottom w:w="0" w:type="dxa"/>
          </w:tblCellMar>
        </w:tblPrEx>
        <w:tc>
          <w:tcPr>
            <w:tcW w:w="4165" w:type="dxa"/>
          </w:tcPr>
          <w:p w14:paraId="03EFC1AB" w14:textId="77777777" w:rsidR="00E93F89" w:rsidRDefault="00740CDC">
            <w:pPr>
              <w:pStyle w:val="P22"/>
              <w:spacing w:before="72"/>
              <w:ind w:left="757" w:right="1134"/>
              <w:rPr>
                <w:rStyle w:val="default"/>
                <w:rFonts w:hint="cs"/>
                <w:sz w:val="22"/>
                <w:szCs w:val="24"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 xml:space="preserve">א. </w:t>
            </w:r>
            <w:r w:rsidR="00E93F89">
              <w:rPr>
                <w:rStyle w:val="default"/>
                <w:rFonts w:hint="cs"/>
                <w:sz w:val="22"/>
                <w:szCs w:val="24"/>
                <w:rtl/>
              </w:rPr>
              <w:t>למגורים</w:t>
            </w:r>
          </w:p>
        </w:tc>
        <w:tc>
          <w:tcPr>
            <w:tcW w:w="3135" w:type="dxa"/>
            <w:tcBorders>
              <w:top w:val="single" w:sz="4" w:space="0" w:color="auto"/>
            </w:tcBorders>
          </w:tcPr>
          <w:p w14:paraId="1FE55F5E" w14:textId="77777777" w:rsidR="00E93F89" w:rsidRDefault="00DA40D3">
            <w:pPr>
              <w:pStyle w:val="P22"/>
              <w:spacing w:before="72"/>
              <w:ind w:left="0" w:right="57"/>
              <w:jc w:val="center"/>
              <w:rPr>
                <w:rStyle w:val="default"/>
                <w:rFonts w:hint="cs"/>
                <w:sz w:val="22"/>
                <w:szCs w:val="24"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>2.22</w:t>
            </w:r>
          </w:p>
        </w:tc>
      </w:tr>
      <w:tr w:rsidR="00E93F89" w14:paraId="3E114BBD" w14:textId="77777777">
        <w:tblPrEx>
          <w:tblCellMar>
            <w:top w:w="0" w:type="dxa"/>
            <w:bottom w:w="0" w:type="dxa"/>
          </w:tblCellMar>
        </w:tblPrEx>
        <w:tc>
          <w:tcPr>
            <w:tcW w:w="4165" w:type="dxa"/>
          </w:tcPr>
          <w:p w14:paraId="30FEC727" w14:textId="77777777" w:rsidR="00E93F89" w:rsidRDefault="00740CDC">
            <w:pPr>
              <w:pStyle w:val="P22"/>
              <w:tabs>
                <w:tab w:val="clear" w:pos="2835"/>
              </w:tabs>
              <w:spacing w:before="72"/>
              <w:ind w:left="757" w:right="0"/>
              <w:rPr>
                <w:rStyle w:val="default"/>
                <w:rFonts w:hint="cs"/>
                <w:sz w:val="22"/>
                <w:szCs w:val="24"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 xml:space="preserve">ב. </w:t>
            </w:r>
            <w:r w:rsidR="00E93F89">
              <w:rPr>
                <w:rStyle w:val="default"/>
                <w:rFonts w:hint="cs"/>
                <w:sz w:val="22"/>
                <w:szCs w:val="24"/>
                <w:rtl/>
              </w:rPr>
              <w:t>ל</w:t>
            </w:r>
            <w:r>
              <w:rPr>
                <w:rStyle w:val="default"/>
                <w:rFonts w:hint="cs"/>
                <w:sz w:val="22"/>
                <w:szCs w:val="24"/>
                <w:rtl/>
              </w:rPr>
              <w:t>מוסדות, עסקים, ולכל שימוש אחר –</w:t>
            </w:r>
          </w:p>
        </w:tc>
        <w:tc>
          <w:tcPr>
            <w:tcW w:w="3135" w:type="dxa"/>
          </w:tcPr>
          <w:p w14:paraId="392AE7F4" w14:textId="77777777" w:rsidR="00E93F89" w:rsidRDefault="00DA40D3">
            <w:pPr>
              <w:pStyle w:val="P22"/>
              <w:spacing w:before="72"/>
              <w:ind w:left="0" w:right="57"/>
              <w:jc w:val="center"/>
              <w:rPr>
                <w:rStyle w:val="default"/>
                <w:rFonts w:hint="cs"/>
                <w:sz w:val="22"/>
                <w:szCs w:val="24"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>3.40</w:t>
            </w:r>
          </w:p>
        </w:tc>
      </w:tr>
      <w:tr w:rsidR="00740CDC" w14:paraId="22EC44A5" w14:textId="77777777">
        <w:tblPrEx>
          <w:tblCellMar>
            <w:top w:w="0" w:type="dxa"/>
            <w:bottom w:w="0" w:type="dxa"/>
          </w:tblCellMar>
        </w:tblPrEx>
        <w:tc>
          <w:tcPr>
            <w:tcW w:w="4165" w:type="dxa"/>
          </w:tcPr>
          <w:p w14:paraId="3893722B" w14:textId="77777777" w:rsidR="00740CDC" w:rsidRDefault="00740CDC">
            <w:pPr>
              <w:pStyle w:val="P22"/>
              <w:tabs>
                <w:tab w:val="clear" w:pos="2835"/>
              </w:tabs>
              <w:spacing w:before="72"/>
              <w:ind w:left="757" w:right="0"/>
              <w:rPr>
                <w:rStyle w:val="default"/>
                <w:rFonts w:hint="cs"/>
                <w:sz w:val="22"/>
                <w:szCs w:val="24"/>
                <w:rtl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>ג. לתעשיה ולמלאכה –</w:t>
            </w:r>
          </w:p>
        </w:tc>
        <w:tc>
          <w:tcPr>
            <w:tcW w:w="3135" w:type="dxa"/>
          </w:tcPr>
          <w:p w14:paraId="0B8FB3AA" w14:textId="77777777" w:rsidR="00740CDC" w:rsidRDefault="00740CDC">
            <w:pPr>
              <w:pStyle w:val="P22"/>
              <w:spacing w:before="72"/>
              <w:ind w:left="0" w:right="57"/>
              <w:jc w:val="center"/>
              <w:rPr>
                <w:rStyle w:val="default"/>
                <w:rFonts w:hint="cs"/>
                <w:sz w:val="22"/>
                <w:szCs w:val="24"/>
                <w:rtl/>
              </w:rPr>
            </w:pPr>
          </w:p>
        </w:tc>
      </w:tr>
      <w:tr w:rsidR="00740CDC" w14:paraId="1D47557F" w14:textId="77777777">
        <w:tblPrEx>
          <w:tblCellMar>
            <w:top w:w="0" w:type="dxa"/>
            <w:bottom w:w="0" w:type="dxa"/>
          </w:tblCellMar>
        </w:tblPrEx>
        <w:tc>
          <w:tcPr>
            <w:tcW w:w="4165" w:type="dxa"/>
          </w:tcPr>
          <w:p w14:paraId="5D123725" w14:textId="77777777" w:rsidR="00740CDC" w:rsidRDefault="00740CDC" w:rsidP="00740CDC">
            <w:pPr>
              <w:pStyle w:val="P22"/>
              <w:tabs>
                <w:tab w:val="clear" w:pos="2835"/>
              </w:tabs>
              <w:spacing w:before="72"/>
              <w:ind w:left="1252" w:right="0" w:hanging="495"/>
              <w:rPr>
                <w:rStyle w:val="default"/>
                <w:rFonts w:hint="cs"/>
                <w:sz w:val="22"/>
                <w:szCs w:val="24"/>
                <w:rtl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 xml:space="preserve">    (1) בעד הזרמת שפכים המכילים עד 250 צח"ב במג"ל</w:t>
            </w:r>
          </w:p>
        </w:tc>
        <w:tc>
          <w:tcPr>
            <w:tcW w:w="3135" w:type="dxa"/>
          </w:tcPr>
          <w:p w14:paraId="1EDA720A" w14:textId="77777777" w:rsidR="00740CDC" w:rsidRDefault="00740CDC">
            <w:pPr>
              <w:pStyle w:val="P22"/>
              <w:spacing w:before="72"/>
              <w:ind w:left="0" w:right="57"/>
              <w:jc w:val="center"/>
              <w:rPr>
                <w:rStyle w:val="default"/>
                <w:rFonts w:hint="cs"/>
                <w:sz w:val="22"/>
                <w:szCs w:val="24"/>
                <w:rtl/>
              </w:rPr>
            </w:pPr>
          </w:p>
          <w:p w14:paraId="3D55BD2E" w14:textId="77777777" w:rsidR="00740CDC" w:rsidRDefault="00DA40D3">
            <w:pPr>
              <w:pStyle w:val="P22"/>
              <w:spacing w:before="72"/>
              <w:ind w:left="0" w:right="57"/>
              <w:jc w:val="center"/>
              <w:rPr>
                <w:rStyle w:val="default"/>
                <w:rFonts w:hint="cs"/>
                <w:sz w:val="22"/>
                <w:szCs w:val="24"/>
                <w:rtl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>3.40</w:t>
            </w:r>
          </w:p>
        </w:tc>
      </w:tr>
      <w:tr w:rsidR="00740CDC" w14:paraId="0BD7E87E" w14:textId="77777777">
        <w:tblPrEx>
          <w:tblCellMar>
            <w:top w:w="0" w:type="dxa"/>
            <w:bottom w:w="0" w:type="dxa"/>
          </w:tblCellMar>
        </w:tblPrEx>
        <w:tc>
          <w:tcPr>
            <w:tcW w:w="4165" w:type="dxa"/>
          </w:tcPr>
          <w:p w14:paraId="54A79D10" w14:textId="77777777" w:rsidR="00740CDC" w:rsidRDefault="00740CDC" w:rsidP="00BB53B5">
            <w:pPr>
              <w:pStyle w:val="P22"/>
              <w:tabs>
                <w:tab w:val="clear" w:pos="2835"/>
              </w:tabs>
              <w:spacing w:before="72"/>
              <w:ind w:left="1252" w:right="0" w:hanging="495"/>
              <w:rPr>
                <w:rStyle w:val="default"/>
                <w:rFonts w:hint="cs"/>
                <w:sz w:val="22"/>
                <w:szCs w:val="24"/>
                <w:rtl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 xml:space="preserve">    (2) בעד הזרמת שפכים המכילים מעל 250 צח"ב במג"ל</w:t>
            </w:r>
          </w:p>
        </w:tc>
        <w:tc>
          <w:tcPr>
            <w:tcW w:w="3135" w:type="dxa"/>
          </w:tcPr>
          <w:p w14:paraId="3D4143EE" w14:textId="77777777" w:rsidR="00740CDC" w:rsidRDefault="00DA40D3">
            <w:pPr>
              <w:pStyle w:val="P22"/>
              <w:spacing w:before="72"/>
              <w:ind w:left="0" w:right="57"/>
              <w:jc w:val="center"/>
              <w:rPr>
                <w:rStyle w:val="default"/>
                <w:rFonts w:hint="cs"/>
                <w:sz w:val="22"/>
                <w:szCs w:val="24"/>
                <w:rtl/>
              </w:rPr>
            </w:pPr>
            <w:r>
              <w:rPr>
                <w:rStyle w:val="default"/>
                <w:rFonts w:hint="cs"/>
                <w:sz w:val="22"/>
                <w:szCs w:val="24"/>
                <w:rtl/>
              </w:rPr>
              <w:t xml:space="preserve">לפי השיעור שנקבע </w:t>
            </w:r>
            <w:r w:rsidR="00740CDC">
              <w:rPr>
                <w:rStyle w:val="default"/>
                <w:rFonts w:hint="cs"/>
                <w:sz w:val="22"/>
                <w:szCs w:val="24"/>
                <w:rtl/>
              </w:rPr>
              <w:t xml:space="preserve"> שפ</w:t>
            </w:r>
            <w:r>
              <w:rPr>
                <w:rStyle w:val="default"/>
                <w:rFonts w:hint="cs"/>
                <w:sz w:val="22"/>
                <w:szCs w:val="24"/>
                <w:rtl/>
              </w:rPr>
              <w:t>רט משנה</w:t>
            </w:r>
            <w:r w:rsidR="00740CDC">
              <w:rPr>
                <w:rStyle w:val="default"/>
                <w:rFonts w:hint="cs"/>
                <w:sz w:val="22"/>
                <w:szCs w:val="24"/>
                <w:rtl/>
              </w:rPr>
              <w:t xml:space="preserve"> (1)</w:t>
            </w:r>
            <w:r>
              <w:rPr>
                <w:rStyle w:val="default"/>
                <w:rFonts w:hint="cs"/>
                <w:sz w:val="22"/>
                <w:szCs w:val="24"/>
                <w:rtl/>
              </w:rPr>
              <w:t>,</w:t>
            </w:r>
            <w:r w:rsidR="00740CDC">
              <w:rPr>
                <w:rStyle w:val="default"/>
                <w:rFonts w:hint="cs"/>
                <w:sz w:val="22"/>
                <w:szCs w:val="24"/>
                <w:rtl/>
              </w:rPr>
              <w:t xml:space="preserve"> בתוספת מכפלת 0.</w:t>
            </w:r>
            <w:r>
              <w:rPr>
                <w:rStyle w:val="default"/>
                <w:rFonts w:hint="cs"/>
                <w:sz w:val="22"/>
                <w:szCs w:val="24"/>
                <w:rtl/>
              </w:rPr>
              <w:t>3</w:t>
            </w:r>
            <w:r w:rsidR="00740CDC">
              <w:rPr>
                <w:rStyle w:val="default"/>
                <w:rFonts w:hint="cs"/>
                <w:sz w:val="22"/>
                <w:szCs w:val="24"/>
                <w:rtl/>
              </w:rPr>
              <w:t xml:space="preserve"> </w:t>
            </w:r>
            <w:r>
              <w:rPr>
                <w:rStyle w:val="default"/>
                <w:rFonts w:hint="cs"/>
                <w:sz w:val="22"/>
                <w:szCs w:val="24"/>
                <w:rtl/>
              </w:rPr>
              <w:t>מהשיעור כאמור</w:t>
            </w:r>
            <w:r w:rsidR="00740CDC">
              <w:rPr>
                <w:rStyle w:val="default"/>
                <w:rFonts w:hint="cs"/>
                <w:sz w:val="22"/>
                <w:szCs w:val="24"/>
                <w:rtl/>
              </w:rPr>
              <w:t xml:space="preserve"> במקדם הצח"</w:t>
            </w:r>
            <w:r>
              <w:rPr>
                <w:rStyle w:val="default"/>
                <w:rFonts w:hint="cs"/>
                <w:sz w:val="22"/>
                <w:szCs w:val="24"/>
                <w:rtl/>
              </w:rPr>
              <w:t>ב</w:t>
            </w:r>
          </w:p>
        </w:tc>
      </w:tr>
    </w:tbl>
    <w:p w14:paraId="74FED3E1" w14:textId="77777777" w:rsidR="00BB53B5" w:rsidRDefault="00BB53B5" w:rsidP="002E08A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6F136216" w14:textId="77777777" w:rsidR="002E08AC" w:rsidRPr="002E08AC" w:rsidRDefault="002E08AC" w:rsidP="002E08A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55A6CFDD" w14:textId="77777777" w:rsidR="00BB53B5" w:rsidRDefault="002E08AC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</w:r>
      <w:r w:rsidR="00BB53B5">
        <w:rPr>
          <w:rStyle w:val="default"/>
          <w:rFonts w:hint="cs"/>
          <w:rtl/>
        </w:rPr>
        <w:t>נתאשר.</w:t>
      </w:r>
    </w:p>
    <w:p w14:paraId="7B814472" w14:textId="77777777" w:rsidR="00BB53B5" w:rsidRDefault="0002312A" w:rsidP="002E08A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>י"ג</w:t>
      </w:r>
      <w:r w:rsidR="00BB53B5">
        <w:rPr>
          <w:rFonts w:cs="FrankRuehl" w:hint="cs"/>
          <w:sz w:val="28"/>
          <w:szCs w:val="26"/>
          <w:rtl/>
        </w:rPr>
        <w:t xml:space="preserve"> </w:t>
      </w:r>
      <w:r>
        <w:rPr>
          <w:rFonts w:cs="FrankRuehl" w:hint="cs"/>
          <w:sz w:val="28"/>
          <w:szCs w:val="26"/>
          <w:rtl/>
        </w:rPr>
        <w:t>בכסלו</w:t>
      </w:r>
      <w:r w:rsidR="00BB53B5">
        <w:rPr>
          <w:rFonts w:cs="FrankRuehl" w:hint="cs"/>
          <w:sz w:val="28"/>
          <w:szCs w:val="26"/>
          <w:rtl/>
        </w:rPr>
        <w:t xml:space="preserve"> תשל"</w:t>
      </w:r>
      <w:r>
        <w:rPr>
          <w:rFonts w:cs="FrankRuehl" w:hint="cs"/>
          <w:sz w:val="28"/>
          <w:szCs w:val="26"/>
          <w:rtl/>
        </w:rPr>
        <w:t>ה</w:t>
      </w:r>
      <w:r w:rsidR="00BB53B5">
        <w:rPr>
          <w:rFonts w:cs="FrankRuehl" w:hint="cs"/>
          <w:sz w:val="28"/>
          <w:szCs w:val="26"/>
          <w:rtl/>
        </w:rPr>
        <w:t xml:space="preserve"> (</w:t>
      </w:r>
      <w:r>
        <w:rPr>
          <w:rFonts w:cs="FrankRuehl" w:hint="cs"/>
          <w:sz w:val="28"/>
          <w:szCs w:val="26"/>
          <w:rtl/>
        </w:rPr>
        <w:t>27 בנובמבר 1974</w:t>
      </w:r>
      <w:r w:rsidR="00BB53B5">
        <w:rPr>
          <w:rFonts w:cs="FrankRuehl" w:hint="cs"/>
          <w:sz w:val="28"/>
          <w:szCs w:val="26"/>
          <w:rtl/>
        </w:rPr>
        <w:t>)</w:t>
      </w:r>
      <w:r w:rsidR="00BB53B5">
        <w:rPr>
          <w:rFonts w:cs="FrankRuehl"/>
          <w:sz w:val="28"/>
          <w:szCs w:val="26"/>
          <w:rtl/>
        </w:rPr>
        <w:tab/>
      </w:r>
      <w:r>
        <w:rPr>
          <w:rFonts w:cs="FrankRuehl" w:hint="cs"/>
          <w:sz w:val="28"/>
          <w:szCs w:val="26"/>
          <w:rtl/>
        </w:rPr>
        <w:t>א' בר-מנחם</w:t>
      </w:r>
    </w:p>
    <w:p w14:paraId="292BD096" w14:textId="77777777" w:rsidR="00BB53B5" w:rsidRPr="002E08AC" w:rsidRDefault="00BB53B5" w:rsidP="002E08A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 w:rsidRPr="002E08AC">
        <w:rPr>
          <w:rFonts w:cs="FrankRuehl" w:hint="cs"/>
          <w:sz w:val="22"/>
          <w:rtl/>
        </w:rPr>
        <w:tab/>
        <w:t xml:space="preserve">ראש עיריית </w:t>
      </w:r>
      <w:r w:rsidR="0002312A" w:rsidRPr="002E08AC">
        <w:rPr>
          <w:rFonts w:cs="FrankRuehl" w:hint="cs"/>
          <w:sz w:val="22"/>
          <w:rtl/>
        </w:rPr>
        <w:t>נתניה</w:t>
      </w:r>
    </w:p>
    <w:p w14:paraId="10EDD80C" w14:textId="77777777" w:rsidR="00BB53B5" w:rsidRDefault="00BB53B5" w:rsidP="002E08AC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ab/>
        <w:t>יוסף בורג</w:t>
      </w:r>
    </w:p>
    <w:p w14:paraId="0F85F7C3" w14:textId="77777777" w:rsidR="00BB53B5" w:rsidRPr="002E08AC" w:rsidRDefault="00BB53B5" w:rsidP="002E08AC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 w:hint="cs"/>
          <w:sz w:val="22"/>
          <w:rtl/>
        </w:rPr>
      </w:pPr>
      <w:r w:rsidRPr="002E08AC">
        <w:rPr>
          <w:rFonts w:cs="FrankRuehl" w:hint="cs"/>
          <w:sz w:val="22"/>
          <w:rtl/>
        </w:rPr>
        <w:tab/>
        <w:t>שר הפנים</w:t>
      </w:r>
    </w:p>
    <w:p w14:paraId="217EBE8C" w14:textId="77777777" w:rsidR="00C15AED" w:rsidRPr="002E08AC" w:rsidRDefault="00C15AED" w:rsidP="002E08AC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14:paraId="1660B802" w14:textId="77777777" w:rsidR="00C15AED" w:rsidRPr="002E08AC" w:rsidRDefault="00C15AED" w:rsidP="002E08A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177FF294" w14:textId="77777777" w:rsidR="00C925CD" w:rsidRPr="00FC2D8F" w:rsidRDefault="00C925CD" w:rsidP="00C925CD">
      <w:pPr>
        <w:pStyle w:val="P00"/>
        <w:spacing w:before="72"/>
        <w:ind w:left="0" w:right="1134"/>
        <w:rPr>
          <w:rStyle w:val="default"/>
          <w:rFonts w:hint="cs"/>
          <w:sz w:val="16"/>
          <w:szCs w:val="16"/>
          <w:rtl/>
        </w:rPr>
      </w:pPr>
      <w:r w:rsidRPr="00FC2D8F">
        <w:rPr>
          <w:rStyle w:val="default"/>
          <w:rFonts w:hint="cs"/>
          <w:sz w:val="16"/>
          <w:szCs w:val="16"/>
          <w:rtl/>
        </w:rPr>
        <w:t>גפני</w:t>
      </w:r>
    </w:p>
    <w:p w14:paraId="2289E70B" w14:textId="77777777" w:rsidR="002E08AC" w:rsidRPr="002E08AC" w:rsidRDefault="002E08AC" w:rsidP="002E08AC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sectPr w:rsidR="002E08AC" w:rsidRPr="002E08A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6918" w14:textId="77777777" w:rsidR="00F4167B" w:rsidRDefault="00F4167B">
      <w:r>
        <w:separator/>
      </w:r>
    </w:p>
  </w:endnote>
  <w:endnote w:type="continuationSeparator" w:id="0">
    <w:p w14:paraId="148536AC" w14:textId="77777777" w:rsidR="00F4167B" w:rsidRDefault="00F4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CA27" w14:textId="77777777" w:rsidR="00715CC4" w:rsidRDefault="00715C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A12E87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482F4B2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3BB1">
      <w:rPr>
        <w:rFonts w:cs="TopType Jerushalmi"/>
        <w:noProof/>
        <w:color w:val="000000"/>
        <w:sz w:val="14"/>
        <w:szCs w:val="14"/>
      </w:rPr>
      <w:t>D:\Yael\hakika\mekomi\mek_009_007.doc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612F" w14:textId="77777777" w:rsidR="00715CC4" w:rsidRDefault="00715C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F4E2C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A1EFD0C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1DE9F4E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3BB1">
      <w:rPr>
        <w:rFonts w:cs="TopType Jerushalmi"/>
        <w:noProof/>
        <w:color w:val="000000"/>
        <w:sz w:val="14"/>
        <w:szCs w:val="14"/>
      </w:rPr>
      <w:t>D:\Yael\hakika\mekomi\mek_009_007.doc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30097" w14:textId="77777777" w:rsidR="00F4167B" w:rsidRDefault="00F4167B" w:rsidP="00A73BB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446DFE" w14:textId="77777777" w:rsidR="00F4167B" w:rsidRDefault="00F4167B">
      <w:r>
        <w:continuationSeparator/>
      </w:r>
    </w:p>
  </w:footnote>
  <w:footnote w:id="1">
    <w:p w14:paraId="1F891B10" w14:textId="77777777" w:rsidR="00715CC4" w:rsidRDefault="00715CC4" w:rsidP="00EA4AE2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t xml:space="preserve"> </w:t>
      </w:r>
      <w:r>
        <w:rPr>
          <w:rFonts w:cs="FrankRuehl"/>
          <w:sz w:val="22"/>
          <w:szCs w:val="22"/>
          <w:rtl/>
        </w:rPr>
        <w:t>פ</w:t>
      </w:r>
      <w:r w:rsidR="00A73BB1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ק"ת תשל"ה מס' 3278</w:t>
        </w:r>
      </w:hyperlink>
      <w:r>
        <w:rPr>
          <w:rFonts w:cs="FrankRuehl" w:hint="cs"/>
          <w:sz w:val="22"/>
          <w:szCs w:val="22"/>
          <w:rtl/>
        </w:rPr>
        <w:t xml:space="preserve">  מיום 9.1.1975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>מ' 631.</w:t>
      </w:r>
    </w:p>
    <w:p w14:paraId="69E0068F" w14:textId="77777777" w:rsidR="00715CC4" w:rsidRDefault="00715CC4" w:rsidP="00924D4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 w:rsidRPr="00EA4AE2">
          <w:rPr>
            <w:rStyle w:val="Hyperlink"/>
            <w:rFonts w:cs="FrankRuehl"/>
            <w:sz w:val="22"/>
            <w:szCs w:val="22"/>
            <w:rtl/>
          </w:rPr>
          <w:t>ק"ת תשל"ו מס' 3523</w:t>
        </w:r>
      </w:hyperlink>
      <w:r>
        <w:rPr>
          <w:rFonts w:cs="FrankRuehl" w:hint="cs"/>
          <w:sz w:val="22"/>
          <w:szCs w:val="22"/>
          <w:rtl/>
        </w:rPr>
        <w:t xml:space="preserve"> מיום 11.5.1976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1584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ל"ו-1976.</w:t>
      </w:r>
    </w:p>
    <w:p w14:paraId="526887CF" w14:textId="77777777" w:rsidR="00715CC4" w:rsidRDefault="00715CC4" w:rsidP="00924D4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116BC0">
          <w:rPr>
            <w:rStyle w:val="Hyperlink"/>
            <w:rFonts w:cs="FrankRuehl"/>
            <w:sz w:val="22"/>
            <w:szCs w:val="22"/>
            <w:rtl/>
          </w:rPr>
          <w:t>ק"ת תש"</w:t>
        </w:r>
        <w:r w:rsidRPr="00116BC0">
          <w:rPr>
            <w:rStyle w:val="Hyperlink"/>
            <w:rFonts w:cs="FrankRuehl" w:hint="cs"/>
            <w:sz w:val="22"/>
            <w:szCs w:val="22"/>
            <w:rtl/>
          </w:rPr>
          <w:t>ם</w:t>
        </w:r>
        <w:r w:rsidRPr="00116BC0">
          <w:rPr>
            <w:rStyle w:val="Hyperlink"/>
            <w:rFonts w:cs="FrankRuehl"/>
            <w:sz w:val="22"/>
            <w:szCs w:val="22"/>
            <w:rtl/>
          </w:rPr>
          <w:t xml:space="preserve"> מס</w:t>
        </w:r>
        <w:r w:rsidRPr="00116BC0">
          <w:rPr>
            <w:rStyle w:val="Hyperlink"/>
            <w:rFonts w:cs="FrankRuehl"/>
            <w:sz w:val="22"/>
            <w:szCs w:val="22"/>
            <w:rtl/>
          </w:rPr>
          <w:t>'</w:t>
        </w:r>
        <w:r w:rsidRPr="00116BC0">
          <w:rPr>
            <w:rStyle w:val="Hyperlink"/>
            <w:rFonts w:cs="FrankRuehl"/>
            <w:sz w:val="22"/>
            <w:szCs w:val="22"/>
            <w:rtl/>
          </w:rPr>
          <w:t xml:space="preserve"> </w:t>
        </w:r>
        <w:r w:rsidRPr="00116BC0">
          <w:rPr>
            <w:rStyle w:val="Hyperlink"/>
            <w:rFonts w:cs="FrankRuehl" w:hint="cs"/>
            <w:sz w:val="22"/>
            <w:szCs w:val="22"/>
            <w:rtl/>
          </w:rPr>
          <w:t>4142</w:t>
        </w:r>
      </w:hyperlink>
      <w:r>
        <w:rPr>
          <w:rFonts w:cs="FrankRuehl" w:hint="cs"/>
          <w:sz w:val="22"/>
          <w:szCs w:val="22"/>
          <w:rtl/>
        </w:rPr>
        <w:t xml:space="preserve"> מיום 4.7.1980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2005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"ם-1980.</w:t>
      </w:r>
    </w:p>
    <w:p w14:paraId="0F2EE8EB" w14:textId="77777777" w:rsidR="00715CC4" w:rsidRDefault="00715CC4" w:rsidP="008E506E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="00513690" w:rsidRPr="002E08AC">
          <w:rPr>
            <w:rStyle w:val="Hyperlink"/>
            <w:rFonts w:cs="FrankRuehl" w:hint="cs"/>
            <w:sz w:val="22"/>
            <w:szCs w:val="22"/>
            <w:rtl/>
          </w:rPr>
          <w:t>ק"ת ח</w:t>
        </w:r>
        <w:r w:rsidRPr="002E08AC">
          <w:rPr>
            <w:rStyle w:val="Hyperlink"/>
            <w:rFonts w:cs="FrankRuehl"/>
            <w:sz w:val="22"/>
            <w:szCs w:val="22"/>
            <w:rtl/>
          </w:rPr>
          <w:t>ש"ם תשמ"</w:t>
        </w:r>
        <w:r w:rsidRPr="002E08AC">
          <w:rPr>
            <w:rStyle w:val="Hyperlink"/>
            <w:rFonts w:cs="FrankRuehl" w:hint="cs"/>
            <w:sz w:val="22"/>
            <w:szCs w:val="22"/>
            <w:rtl/>
          </w:rPr>
          <w:t>ב</w:t>
        </w:r>
        <w:r w:rsidRPr="002E08AC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Pr="002E08AC">
          <w:rPr>
            <w:rStyle w:val="Hyperlink"/>
            <w:rFonts w:cs="FrankRuehl" w:hint="cs"/>
            <w:sz w:val="22"/>
            <w:szCs w:val="22"/>
            <w:rtl/>
          </w:rPr>
          <w:t>138</w:t>
        </w:r>
      </w:hyperlink>
      <w:r w:rsidRPr="002E08AC">
        <w:rPr>
          <w:rFonts w:cs="FrankRuehl" w:hint="cs"/>
          <w:sz w:val="22"/>
          <w:szCs w:val="22"/>
          <w:rtl/>
        </w:rPr>
        <w:t xml:space="preserve"> מיום 22.7.1982 </w:t>
      </w:r>
      <w:r w:rsidRPr="002E08AC">
        <w:rPr>
          <w:rFonts w:cs="FrankRuehl"/>
          <w:sz w:val="22"/>
          <w:szCs w:val="22"/>
          <w:rtl/>
        </w:rPr>
        <w:t xml:space="preserve"> ע</w:t>
      </w:r>
      <w:r w:rsidRPr="002E08AC">
        <w:rPr>
          <w:rFonts w:cs="FrankRuehl" w:hint="cs"/>
          <w:sz w:val="22"/>
          <w:szCs w:val="22"/>
          <w:rtl/>
        </w:rPr>
        <w:t xml:space="preserve">מ' 827 </w:t>
      </w:r>
      <w:r w:rsidRPr="002E08AC">
        <w:rPr>
          <w:rFonts w:cs="FrankRuehl" w:hint="eastAsia"/>
          <w:sz w:val="22"/>
          <w:szCs w:val="22"/>
          <w:rtl/>
        </w:rPr>
        <w:t>– תיקון תש</w:t>
      </w:r>
      <w:r w:rsidRPr="002E08AC">
        <w:rPr>
          <w:rFonts w:cs="FrankRuehl" w:hint="cs"/>
          <w:sz w:val="22"/>
          <w:szCs w:val="22"/>
          <w:rtl/>
        </w:rPr>
        <w:t>מ"ב-1982.</w:t>
      </w:r>
    </w:p>
    <w:p w14:paraId="15AA353F" w14:textId="77777777" w:rsidR="00715CC4" w:rsidRDefault="00715CC4" w:rsidP="009B69D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="00513690">
          <w:rPr>
            <w:rStyle w:val="Hyperlink"/>
            <w:rFonts w:cs="FrankRuehl" w:hint="cs"/>
            <w:sz w:val="22"/>
            <w:szCs w:val="22"/>
            <w:rtl/>
          </w:rPr>
          <w:t>ק"ת ח</w:t>
        </w:r>
        <w:r w:rsidRPr="009B69D0">
          <w:rPr>
            <w:rStyle w:val="Hyperlink"/>
            <w:rFonts w:cs="FrankRuehl"/>
            <w:sz w:val="22"/>
            <w:szCs w:val="22"/>
            <w:rtl/>
          </w:rPr>
          <w:t>ש"ם תשמ"</w:t>
        </w:r>
        <w:r w:rsidRPr="009B69D0">
          <w:rPr>
            <w:rStyle w:val="Hyperlink"/>
            <w:rFonts w:cs="FrankRuehl" w:hint="cs"/>
            <w:sz w:val="22"/>
            <w:szCs w:val="22"/>
            <w:rtl/>
          </w:rPr>
          <w:t>ג</w:t>
        </w:r>
        <w:r w:rsidRPr="009B69D0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Pr="009B69D0">
          <w:rPr>
            <w:rStyle w:val="Hyperlink"/>
            <w:rFonts w:cs="FrankRuehl" w:hint="cs"/>
            <w:sz w:val="22"/>
            <w:szCs w:val="22"/>
            <w:rtl/>
          </w:rPr>
          <w:t>165</w:t>
        </w:r>
      </w:hyperlink>
      <w:r>
        <w:rPr>
          <w:rFonts w:cs="FrankRuehl" w:hint="cs"/>
          <w:sz w:val="22"/>
          <w:szCs w:val="22"/>
          <w:rtl/>
        </w:rPr>
        <w:t xml:space="preserve"> מיום 6.3.1983 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295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מ"ג-1983.</w:t>
      </w:r>
    </w:p>
    <w:p w14:paraId="3DC97C5E" w14:textId="77777777" w:rsidR="00715CC4" w:rsidRDefault="00715CC4" w:rsidP="00BA6A95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6" w:history="1">
        <w:r w:rsidR="00513690">
          <w:rPr>
            <w:rStyle w:val="Hyperlink"/>
            <w:rFonts w:cs="FrankRuehl" w:hint="cs"/>
            <w:sz w:val="22"/>
            <w:szCs w:val="22"/>
            <w:rtl/>
          </w:rPr>
          <w:t>ק"ת ח</w:t>
        </w:r>
        <w:r w:rsidRPr="00BA6A95">
          <w:rPr>
            <w:rStyle w:val="Hyperlink"/>
            <w:rFonts w:cs="FrankRuehl"/>
            <w:sz w:val="22"/>
            <w:szCs w:val="22"/>
            <w:rtl/>
          </w:rPr>
          <w:t>ש"ם תשמ"</w:t>
        </w:r>
        <w:r w:rsidRPr="00BA6A95">
          <w:rPr>
            <w:rStyle w:val="Hyperlink"/>
            <w:rFonts w:cs="FrankRuehl" w:hint="cs"/>
            <w:sz w:val="22"/>
            <w:szCs w:val="22"/>
            <w:rtl/>
          </w:rPr>
          <w:t>ה</w:t>
        </w:r>
        <w:r w:rsidRPr="00BA6A95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Pr="00BA6A95">
          <w:rPr>
            <w:rStyle w:val="Hyperlink"/>
            <w:rFonts w:cs="FrankRuehl" w:hint="cs"/>
            <w:sz w:val="22"/>
            <w:szCs w:val="22"/>
            <w:rtl/>
          </w:rPr>
          <w:t>260</w:t>
        </w:r>
      </w:hyperlink>
      <w:r>
        <w:rPr>
          <w:rFonts w:cs="FrankRuehl" w:hint="cs"/>
          <w:sz w:val="22"/>
          <w:szCs w:val="22"/>
          <w:rtl/>
        </w:rPr>
        <w:t xml:space="preserve"> מיום 5.2.1985 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142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מ"ה-1985.</w:t>
      </w:r>
    </w:p>
    <w:p w14:paraId="75B4EAC0" w14:textId="77777777" w:rsidR="009818AF" w:rsidRDefault="00715CC4" w:rsidP="00544BC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7" w:history="1">
        <w:r w:rsidRPr="00EA4AE2">
          <w:rPr>
            <w:rStyle w:val="Hyperlink"/>
            <w:rFonts w:cs="FrankRuehl"/>
            <w:sz w:val="22"/>
            <w:szCs w:val="22"/>
            <w:rtl/>
          </w:rPr>
          <w:t xml:space="preserve">ק"ת חש"ם תשמ"ח </w:t>
        </w:r>
        <w:r w:rsidRPr="00EA4AE2">
          <w:rPr>
            <w:rStyle w:val="Hyperlink"/>
            <w:rFonts w:cs="FrankRuehl"/>
            <w:sz w:val="22"/>
            <w:szCs w:val="22"/>
            <w:rtl/>
          </w:rPr>
          <w:t>מ</w:t>
        </w:r>
        <w:r w:rsidRPr="00EA4AE2">
          <w:rPr>
            <w:rStyle w:val="Hyperlink"/>
            <w:rFonts w:cs="FrankRuehl"/>
            <w:sz w:val="22"/>
            <w:szCs w:val="22"/>
            <w:rtl/>
          </w:rPr>
          <w:t>ס' 344</w:t>
        </w:r>
      </w:hyperlink>
      <w:r>
        <w:rPr>
          <w:rFonts w:cs="FrankRuehl" w:hint="cs"/>
          <w:sz w:val="22"/>
          <w:szCs w:val="22"/>
          <w:rtl/>
        </w:rPr>
        <w:t xml:space="preserve"> מיום 1.11.1987 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9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 xml:space="preserve">מ"ח-1987; ר' סעיף </w:t>
      </w:r>
      <w:r w:rsidR="00BA5E66">
        <w:rPr>
          <w:rFonts w:cs="FrankRuehl" w:hint="cs"/>
          <w:sz w:val="22"/>
          <w:szCs w:val="22"/>
          <w:rtl/>
        </w:rPr>
        <w:t>3</w:t>
      </w:r>
      <w:r>
        <w:rPr>
          <w:rFonts w:cs="FrankRuehl" w:hint="cs"/>
          <w:sz w:val="22"/>
          <w:szCs w:val="22"/>
          <w:rtl/>
        </w:rPr>
        <w:t xml:space="preserve"> לענין הוראת שעה.</w:t>
      </w:r>
      <w:r w:rsidR="00544BC7">
        <w:rPr>
          <w:rFonts w:cs="FrankRuehl" w:hint="cs"/>
          <w:sz w:val="22"/>
          <w:szCs w:val="22"/>
          <w:rtl/>
        </w:rPr>
        <w:t xml:space="preserve"> </w:t>
      </w:r>
      <w:r w:rsidR="009818AF">
        <w:rPr>
          <w:rFonts w:cs="FrankRuehl" w:hint="cs"/>
          <w:sz w:val="22"/>
          <w:szCs w:val="22"/>
          <w:rtl/>
        </w:rPr>
        <w:t>$$$</w:t>
      </w:r>
      <w:r w:rsidR="00544BC7">
        <w:rPr>
          <w:rFonts w:cs="FrankRuehl" w:hint="cs"/>
          <w:sz w:val="22"/>
          <w:szCs w:val="22"/>
          <w:rtl/>
        </w:rPr>
        <w:t xml:space="preserve"> 3. </w:t>
      </w:r>
      <w:r w:rsidR="009818AF">
        <w:rPr>
          <w:rFonts w:cs="FrankRuehl" w:hint="cs"/>
          <w:sz w:val="22"/>
          <w:szCs w:val="22"/>
          <w:rtl/>
        </w:rPr>
        <w:t>על אף האמור בחוק עזר לנתניה (הצמדה למדד), התשמ"ד-1983, תהיה העלאת האגרות שבתוספת לחוק העזר העיקרי, ב-1 בחודש שלאחר פרסום חוק עזר זה בשיעור עליית המדד שפורסם לאחרונה לפני התאריך האמור לעומת המדד שפורסם בחודש ספטמבר 1986.</w:t>
      </w:r>
      <w:r w:rsidR="00544BC7">
        <w:rPr>
          <w:rFonts w:cs="FrankRuehl" w:hint="cs"/>
          <w:sz w:val="22"/>
          <w:szCs w:val="22"/>
          <w:rtl/>
        </w:rPr>
        <w:t xml:space="preserve"> </w:t>
      </w:r>
      <w:r w:rsidR="009818AF">
        <w:rPr>
          <w:rFonts w:cs="FrankRuehl" w:hint="cs"/>
          <w:sz w:val="22"/>
          <w:szCs w:val="22"/>
          <w:rtl/>
        </w:rPr>
        <w:t>###</w:t>
      </w:r>
    </w:p>
    <w:p w14:paraId="389EC854" w14:textId="77777777" w:rsidR="009818AF" w:rsidRDefault="00715CC4" w:rsidP="001F4E2C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8" w:history="1">
        <w:r w:rsidR="00513690">
          <w:rPr>
            <w:rStyle w:val="Hyperlink"/>
            <w:rFonts w:cs="FrankRuehl" w:hint="cs"/>
            <w:sz w:val="22"/>
            <w:szCs w:val="22"/>
            <w:rtl/>
          </w:rPr>
          <w:t>ק"ת ח</w:t>
        </w:r>
        <w:r w:rsidRPr="00740CDC">
          <w:rPr>
            <w:rStyle w:val="Hyperlink"/>
            <w:rFonts w:cs="FrankRuehl"/>
            <w:sz w:val="22"/>
            <w:szCs w:val="22"/>
            <w:rtl/>
          </w:rPr>
          <w:t>ש"ם ת</w:t>
        </w:r>
        <w:r w:rsidRPr="00740CDC">
          <w:rPr>
            <w:rStyle w:val="Hyperlink"/>
            <w:rFonts w:cs="FrankRuehl"/>
            <w:sz w:val="22"/>
            <w:szCs w:val="22"/>
            <w:rtl/>
          </w:rPr>
          <w:t>ש</w:t>
        </w:r>
        <w:r w:rsidRPr="00740CDC">
          <w:rPr>
            <w:rStyle w:val="Hyperlink"/>
            <w:rFonts w:cs="FrankRuehl" w:hint="cs"/>
            <w:sz w:val="22"/>
            <w:szCs w:val="22"/>
            <w:rtl/>
          </w:rPr>
          <w:t>נ</w:t>
        </w:r>
        <w:r w:rsidRPr="00740CDC">
          <w:rPr>
            <w:rStyle w:val="Hyperlink"/>
            <w:rFonts w:cs="FrankRuehl"/>
            <w:sz w:val="22"/>
            <w:szCs w:val="22"/>
            <w:rtl/>
          </w:rPr>
          <w:t>"</w:t>
        </w:r>
        <w:r w:rsidRPr="00740CDC">
          <w:rPr>
            <w:rStyle w:val="Hyperlink"/>
            <w:rFonts w:cs="FrankRuehl" w:hint="cs"/>
            <w:sz w:val="22"/>
            <w:szCs w:val="22"/>
            <w:rtl/>
          </w:rPr>
          <w:t xml:space="preserve">א  </w:t>
        </w:r>
        <w:r w:rsidRPr="00740CDC">
          <w:rPr>
            <w:rStyle w:val="Hyperlink"/>
            <w:rFonts w:cs="FrankRuehl"/>
            <w:sz w:val="22"/>
            <w:szCs w:val="22"/>
            <w:rtl/>
          </w:rPr>
          <w:t xml:space="preserve">מס' </w:t>
        </w:r>
        <w:r w:rsidRPr="00740CDC">
          <w:rPr>
            <w:rStyle w:val="Hyperlink"/>
            <w:rFonts w:cs="FrankRuehl" w:hint="cs"/>
            <w:sz w:val="22"/>
            <w:szCs w:val="22"/>
            <w:rtl/>
          </w:rPr>
          <w:t>446</w:t>
        </w:r>
      </w:hyperlink>
      <w:r>
        <w:rPr>
          <w:rFonts w:cs="FrankRuehl" w:hint="cs"/>
          <w:sz w:val="22"/>
          <w:szCs w:val="22"/>
          <w:rtl/>
        </w:rPr>
        <w:t xml:space="preserve"> מיום 1.2.1991 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149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נ"א-1991; ר' סעיף 3 לענין הוראת שעה.</w:t>
      </w:r>
      <w:r w:rsidR="001F4E2C">
        <w:rPr>
          <w:rFonts w:cs="FrankRuehl" w:hint="cs"/>
          <w:sz w:val="22"/>
          <w:szCs w:val="22"/>
          <w:rtl/>
        </w:rPr>
        <w:t xml:space="preserve"> </w:t>
      </w:r>
      <w:r w:rsidR="009818AF">
        <w:rPr>
          <w:rFonts w:cs="FrankRuehl" w:hint="cs"/>
          <w:sz w:val="22"/>
          <w:szCs w:val="22"/>
          <w:rtl/>
        </w:rPr>
        <w:t>$$$</w:t>
      </w:r>
      <w:r w:rsidR="001F4E2C">
        <w:rPr>
          <w:rFonts w:cs="FrankRuehl" w:hint="cs"/>
          <w:sz w:val="22"/>
          <w:szCs w:val="22"/>
          <w:rtl/>
        </w:rPr>
        <w:t xml:space="preserve"> 3. </w:t>
      </w:r>
      <w:r w:rsidR="009818AF">
        <w:rPr>
          <w:rFonts w:cs="FrankRuehl" w:hint="cs"/>
          <w:sz w:val="22"/>
          <w:szCs w:val="22"/>
          <w:rtl/>
        </w:rPr>
        <w:t>על אף האמור בחוק עזר לנתניה (הצמדה למדד), התשמ"ד-1984, יועלו האגרות המפורטות בתוספת לחוק העזר העיקרי ב-1 בחודש שלאחר פרסום חוק עזר זה בשיעור עליית המדד שפורסם לאחרונה לפני המועד האמור לעומת המדד שפורסם בחודש יולי 1990.</w:t>
      </w:r>
      <w:r w:rsidR="001F4E2C">
        <w:rPr>
          <w:rFonts w:cs="FrankRuehl" w:hint="cs"/>
          <w:sz w:val="22"/>
          <w:szCs w:val="22"/>
          <w:rtl/>
        </w:rPr>
        <w:t xml:space="preserve"> </w:t>
      </w:r>
      <w:r w:rsidR="009818AF">
        <w:rPr>
          <w:rFonts w:cs="FrankRuehl" w:hint="cs"/>
          <w:sz w:val="22"/>
          <w:szCs w:val="22"/>
          <w:rtl/>
        </w:rPr>
        <w:t>###</w:t>
      </w:r>
    </w:p>
    <w:p w14:paraId="3E780CAB" w14:textId="77777777" w:rsidR="009818AF" w:rsidRDefault="00715CC4" w:rsidP="001F4E2C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9" w:history="1">
        <w:r w:rsidR="00513690">
          <w:rPr>
            <w:rStyle w:val="Hyperlink"/>
            <w:rFonts w:cs="FrankRuehl" w:hint="cs"/>
            <w:sz w:val="22"/>
            <w:szCs w:val="22"/>
            <w:rtl/>
          </w:rPr>
          <w:t>ק"ת ח</w:t>
        </w:r>
        <w:r w:rsidRPr="00116BC0">
          <w:rPr>
            <w:rStyle w:val="Hyperlink"/>
            <w:rFonts w:cs="FrankRuehl"/>
            <w:sz w:val="22"/>
            <w:szCs w:val="22"/>
            <w:rtl/>
          </w:rPr>
          <w:t>ש"ם תש</w:t>
        </w:r>
        <w:r w:rsidRPr="00116BC0">
          <w:rPr>
            <w:rStyle w:val="Hyperlink"/>
            <w:rFonts w:cs="FrankRuehl" w:hint="cs"/>
            <w:sz w:val="22"/>
            <w:szCs w:val="22"/>
            <w:rtl/>
          </w:rPr>
          <w:t>נ</w:t>
        </w:r>
        <w:r w:rsidRPr="00116BC0">
          <w:rPr>
            <w:rStyle w:val="Hyperlink"/>
            <w:rFonts w:cs="FrankRuehl"/>
            <w:sz w:val="22"/>
            <w:szCs w:val="22"/>
            <w:rtl/>
          </w:rPr>
          <w:t>"</w:t>
        </w:r>
        <w:r w:rsidRPr="00116BC0">
          <w:rPr>
            <w:rStyle w:val="Hyperlink"/>
            <w:rFonts w:cs="FrankRuehl" w:hint="cs"/>
            <w:sz w:val="22"/>
            <w:szCs w:val="22"/>
            <w:rtl/>
          </w:rPr>
          <w:t xml:space="preserve">ה  </w:t>
        </w:r>
        <w:r w:rsidRPr="00116BC0">
          <w:rPr>
            <w:rStyle w:val="Hyperlink"/>
            <w:rFonts w:cs="FrankRuehl"/>
            <w:sz w:val="22"/>
            <w:szCs w:val="22"/>
            <w:rtl/>
          </w:rPr>
          <w:t xml:space="preserve">מס' </w:t>
        </w:r>
        <w:r w:rsidRPr="00116BC0">
          <w:rPr>
            <w:rStyle w:val="Hyperlink"/>
            <w:rFonts w:cs="FrankRuehl" w:hint="cs"/>
            <w:sz w:val="22"/>
            <w:szCs w:val="22"/>
            <w:rtl/>
          </w:rPr>
          <w:t>537</w:t>
        </w:r>
      </w:hyperlink>
      <w:r>
        <w:rPr>
          <w:rFonts w:cs="FrankRuehl" w:hint="cs"/>
          <w:sz w:val="22"/>
          <w:szCs w:val="22"/>
          <w:rtl/>
        </w:rPr>
        <w:t xml:space="preserve"> מיום 25.5.1995 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323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נ"ה-1995; ר' סעיף 3 לענין הוראת שעה.</w:t>
      </w:r>
      <w:r w:rsidR="001F4E2C">
        <w:rPr>
          <w:rFonts w:cs="FrankRuehl" w:hint="cs"/>
          <w:sz w:val="22"/>
          <w:szCs w:val="22"/>
          <w:rtl/>
        </w:rPr>
        <w:t xml:space="preserve"> </w:t>
      </w:r>
      <w:r w:rsidR="009818AF">
        <w:rPr>
          <w:rFonts w:cs="FrankRuehl" w:hint="cs"/>
          <w:sz w:val="22"/>
          <w:szCs w:val="22"/>
          <w:rtl/>
        </w:rPr>
        <w:t>$$$</w:t>
      </w:r>
      <w:r w:rsidR="001F4E2C">
        <w:rPr>
          <w:rFonts w:cs="FrankRuehl" w:hint="cs"/>
          <w:sz w:val="22"/>
          <w:szCs w:val="22"/>
          <w:rtl/>
        </w:rPr>
        <w:t xml:space="preserve"> 3. </w:t>
      </w:r>
      <w:r w:rsidR="009818AF">
        <w:rPr>
          <w:rFonts w:cs="FrankRuehl" w:hint="cs"/>
          <w:sz w:val="22"/>
          <w:szCs w:val="22"/>
          <w:rtl/>
        </w:rPr>
        <w:t xml:space="preserve">על אף האמור בחוק עזר לנתניה (הצמדה למדד), התשמ"ד-1984, יעלו שיעורי האגרה שנקבעו בתוספת ב-1 בחודש שלאחר פרסומו של חוק עזר זה ברשומות (להלן </w:t>
      </w:r>
      <w:r w:rsidR="009818AF">
        <w:rPr>
          <w:rFonts w:cs="FrankRuehl"/>
          <w:sz w:val="22"/>
          <w:szCs w:val="22"/>
          <w:rtl/>
        </w:rPr>
        <w:t>–</w:t>
      </w:r>
      <w:r w:rsidR="009818AF">
        <w:rPr>
          <w:rFonts w:cs="FrankRuehl" w:hint="cs"/>
          <w:sz w:val="22"/>
          <w:szCs w:val="22"/>
          <w:rtl/>
        </w:rPr>
        <w:t xml:space="preserve"> יום ההעלאה), בשיעור עליית מדד המחירים לצרכן שמפרסמת הלשכה המרכזית לסטטיסטיקה (להלן </w:t>
      </w:r>
      <w:r w:rsidR="009818AF">
        <w:rPr>
          <w:rFonts w:cs="FrankRuehl"/>
          <w:sz w:val="22"/>
          <w:szCs w:val="22"/>
          <w:rtl/>
        </w:rPr>
        <w:t>–</w:t>
      </w:r>
      <w:r w:rsidR="009818AF">
        <w:rPr>
          <w:rFonts w:cs="FrankRuehl" w:hint="cs"/>
          <w:sz w:val="22"/>
          <w:szCs w:val="22"/>
          <w:rtl/>
        </w:rPr>
        <w:t xml:space="preserve"> המדד) שפורסם לאחרונה לפני יום ההעלאה לעומת המדד שפורסם בחודש מרס 1995.</w:t>
      </w:r>
      <w:r w:rsidR="001F4E2C">
        <w:rPr>
          <w:rFonts w:cs="FrankRuehl" w:hint="cs"/>
          <w:sz w:val="22"/>
          <w:szCs w:val="22"/>
          <w:rtl/>
        </w:rPr>
        <w:t xml:space="preserve"> </w:t>
      </w:r>
      <w:r w:rsidR="009818AF">
        <w:rPr>
          <w:rFonts w:cs="FrankRuehl" w:hint="cs"/>
          <w:sz w:val="22"/>
          <w:szCs w:val="22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01C2" w14:textId="77777777" w:rsidR="00715CC4" w:rsidRDefault="00715CC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68037406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86F074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EFA6" w14:textId="77777777" w:rsidR="00715CC4" w:rsidRDefault="00715CC4" w:rsidP="0021080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עזר לנתניה (אגרת ביוב), תשל"ה-1975</w:t>
    </w:r>
  </w:p>
  <w:p w14:paraId="0D8E995C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9E212F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F89"/>
    <w:rsid w:val="0002312A"/>
    <w:rsid w:val="00027859"/>
    <w:rsid w:val="001018A0"/>
    <w:rsid w:val="00116BC0"/>
    <w:rsid w:val="001F4E2C"/>
    <w:rsid w:val="002035EB"/>
    <w:rsid w:val="00210809"/>
    <w:rsid w:val="00214EED"/>
    <w:rsid w:val="00246199"/>
    <w:rsid w:val="002903C3"/>
    <w:rsid w:val="002E08AC"/>
    <w:rsid w:val="003757CD"/>
    <w:rsid w:val="00426EC7"/>
    <w:rsid w:val="00513690"/>
    <w:rsid w:val="00544BC7"/>
    <w:rsid w:val="006034F7"/>
    <w:rsid w:val="006F76B6"/>
    <w:rsid w:val="00715CC4"/>
    <w:rsid w:val="00740CDC"/>
    <w:rsid w:val="0079341A"/>
    <w:rsid w:val="008A26A7"/>
    <w:rsid w:val="008D4AF0"/>
    <w:rsid w:val="008E506E"/>
    <w:rsid w:val="00924D45"/>
    <w:rsid w:val="00925D99"/>
    <w:rsid w:val="009618B2"/>
    <w:rsid w:val="009818AF"/>
    <w:rsid w:val="009B69D0"/>
    <w:rsid w:val="00A73BB1"/>
    <w:rsid w:val="00B11F7C"/>
    <w:rsid w:val="00B163E4"/>
    <w:rsid w:val="00BA5E66"/>
    <w:rsid w:val="00BA6A95"/>
    <w:rsid w:val="00BB53B5"/>
    <w:rsid w:val="00C15AED"/>
    <w:rsid w:val="00C925CD"/>
    <w:rsid w:val="00CC2E27"/>
    <w:rsid w:val="00DA40D3"/>
    <w:rsid w:val="00DD5748"/>
    <w:rsid w:val="00DE5B8D"/>
    <w:rsid w:val="00E43CED"/>
    <w:rsid w:val="00E81AC3"/>
    <w:rsid w:val="00E93F89"/>
    <w:rsid w:val="00EA4AE2"/>
    <w:rsid w:val="00F4167B"/>
    <w:rsid w:val="00FC4173"/>
    <w:rsid w:val="00FD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DA1425A"/>
  <w15:chartTrackingRefBased/>
  <w15:docId w15:val="{08F8A59C-83FA-4232-8060-D0CAC7F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446.pdf" TargetMode="External"/><Relationship Id="rId3" Type="http://schemas.openxmlformats.org/officeDocument/2006/relationships/hyperlink" Target="http://www.nevo.co.il/Law_word/law06/tak-4142.pdf" TargetMode="External"/><Relationship Id="rId7" Type="http://schemas.openxmlformats.org/officeDocument/2006/relationships/hyperlink" Target="http://www.nevo.co.il/Law_word/law07/mekomi-0344.pdf" TargetMode="External"/><Relationship Id="rId2" Type="http://schemas.openxmlformats.org/officeDocument/2006/relationships/hyperlink" Target="http://www.nevo.co.il/Law_word/law06/tak-3523.pdf" TargetMode="External"/><Relationship Id="rId1" Type="http://schemas.openxmlformats.org/officeDocument/2006/relationships/hyperlink" Target="http://www.nevo.co.il/Law_word/law06/tak-3278.pdf" TargetMode="External"/><Relationship Id="rId6" Type="http://schemas.openxmlformats.org/officeDocument/2006/relationships/hyperlink" Target="http://www.nevo.co.il/Law_word/law07/mekomi-0260.pdf" TargetMode="External"/><Relationship Id="rId5" Type="http://schemas.openxmlformats.org/officeDocument/2006/relationships/hyperlink" Target="http://www.nevo.co.il/Law_word/law07/mekomi-0165.pdf" TargetMode="External"/><Relationship Id="rId4" Type="http://schemas.openxmlformats.org/officeDocument/2006/relationships/hyperlink" Target="http://www.nevo.co.il/Law_word/law07/mekomi-0138.pdf" TargetMode="External"/><Relationship Id="rId9" Type="http://schemas.openxmlformats.org/officeDocument/2006/relationships/hyperlink" Target="http://www.nevo.co.il/Law_word/law07/mekomi-05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2/178</vt:lpstr>
    </vt:vector>
  </TitlesOfParts>
  <Company/>
  <LinksUpToDate>false</LinksUpToDate>
  <CharactersWithSpaces>3115</CharactersWithSpaces>
  <SharedDoc>false</SharedDoc>
  <HLinks>
    <vt:vector size="96" baseType="variant">
      <vt:variant>
        <vt:i4>5570569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8323102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http://www.nevo.co.il/Law_word/law07/mekomi-0537.pdf</vt:lpwstr>
      </vt:variant>
      <vt:variant>
        <vt:lpwstr/>
      </vt:variant>
      <vt:variant>
        <vt:i4>8323097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http://www.nevo.co.il/Law_word/law07/mekomi-0446.pdf</vt:lpwstr>
      </vt:variant>
      <vt:variant>
        <vt:lpwstr/>
      </vt:variant>
      <vt:variant>
        <vt:i4>7995417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http://www.nevo.co.il/Law_word/law07/mekomi-0344.pdf</vt:lpwstr>
      </vt:variant>
      <vt:variant>
        <vt:lpwstr/>
      </vt:variant>
      <vt:variant>
        <vt:i4>8323099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http://www.nevo.co.il/Law_word/law07/mekomi-0260.pdf</vt:lpwstr>
      </vt:variant>
      <vt:variant>
        <vt:lpwstr/>
      </vt:variant>
      <vt:variant>
        <vt:i4>7929883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http://www.nevo.co.il/Law_word/law07/mekomi-0165.pdf</vt:lpwstr>
      </vt:variant>
      <vt:variant>
        <vt:lpwstr/>
      </vt:variant>
      <vt:variant>
        <vt:i4>7602206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http://www.nevo.co.il/Law_word/law07/mekomi-0138.pdf</vt:lpwstr>
      </vt:variant>
      <vt:variant>
        <vt:lpwstr/>
      </vt:variant>
      <vt:variant>
        <vt:i4>7929867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http://www.nevo.co.il/Law_word/law06/tak-4142.pdf</vt:lpwstr>
      </vt:variant>
      <vt:variant>
        <vt:lpwstr/>
      </vt:variant>
      <vt:variant>
        <vt:i4>7864334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http://www.nevo.co.il/Law_word/law06/tak-3523.pdf</vt:lpwstr>
      </vt:variant>
      <vt:variant>
        <vt:lpwstr/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2/178</dc:title>
  <dc:subject/>
  <dc:creator>eli</dc:creator>
  <cp:keywords/>
  <cp:lastModifiedBy>Shimon Doodkin</cp:lastModifiedBy>
  <cp:revision>2</cp:revision>
  <dcterms:created xsi:type="dcterms:W3CDTF">2023-06-05T19:07:00Z</dcterms:created>
  <dcterms:modified xsi:type="dcterms:W3CDTF">2023-06-05T19:07:00Z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לנתניה (אגרת ביוב), תשל"ה-1975</vt:lpwstr>
  </property>
  <property fmtid="{D5CDD505-2E9C-101B-9397-08002B2CF9AE}" pid="5" name="LAWNUMBER">
    <vt:lpwstr>009_007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פקודת העיריות</vt:lpwstr>
  </property>
  <property fmtid="{D5CDD505-2E9C-101B-9397-08002B2CF9AE}" pid="24" name="MEKOR_SAIF1">
    <vt:lpwstr>250X;251X</vt:lpwstr>
  </property>
  <property fmtid="{D5CDD505-2E9C-101B-9397-08002B2CF9AE}" pid="25" name="MEKOR_NAME2">
    <vt:lpwstr>חוק הרשויות המקומיות (ביוב)</vt:lpwstr>
  </property>
  <property fmtid="{D5CDD505-2E9C-101B-9397-08002B2CF9AE}" pid="26" name="MEKOR_SAIF2">
    <vt:lpwstr>37X;38X</vt:lpwstr>
  </property>
  <property fmtid="{D5CDD505-2E9C-101B-9397-08002B2CF9AE}" pid="27" name="NOSE11">
    <vt:lpwstr>רשויות ומשפט מנהלי</vt:lpwstr>
  </property>
  <property fmtid="{D5CDD505-2E9C-101B-9397-08002B2CF9AE}" pid="28" name="NOSE21">
    <vt:lpwstr>רשויות מקומיות</vt:lpwstr>
  </property>
  <property fmtid="{D5CDD505-2E9C-101B-9397-08002B2CF9AE}" pid="29" name="NOSE31">
    <vt:lpwstr>מסי שלטון מקומי</vt:lpwstr>
  </property>
  <property fmtid="{D5CDD505-2E9C-101B-9397-08002B2CF9AE}" pid="30" name="NOSE41">
    <vt:lpwstr>אגרות והיטלים</vt:lpwstr>
  </property>
  <property fmtid="{D5CDD505-2E9C-101B-9397-08002B2CF9AE}" pid="31" name="NOSE12">
    <vt:lpwstr>רשויות ומשפט מנהלי</vt:lpwstr>
  </property>
  <property fmtid="{D5CDD505-2E9C-101B-9397-08002B2CF9AE}" pid="32" name="NOSE22">
    <vt:lpwstr>רשויות מקומיות</vt:lpwstr>
  </property>
  <property fmtid="{D5CDD505-2E9C-101B-9397-08002B2CF9AE}" pid="33" name="NOSE32">
    <vt:lpwstr>ביוב</vt:lpwstr>
  </property>
  <property fmtid="{D5CDD505-2E9C-101B-9397-08002B2CF9AE}" pid="34" name="NOSE42">
    <vt:lpwstr/>
  </property>
  <property fmtid="{D5CDD505-2E9C-101B-9397-08002B2CF9AE}" pid="35" name="NOSE13">
    <vt:lpwstr>רשויות ומשפט מנהלי</vt:lpwstr>
  </property>
  <property fmtid="{D5CDD505-2E9C-101B-9397-08002B2CF9AE}" pid="36" name="NOSE23">
    <vt:lpwstr>רשויות מקומיות</vt:lpwstr>
  </property>
  <property fmtid="{D5CDD505-2E9C-101B-9397-08002B2CF9AE}" pid="37" name="NOSE33">
    <vt:lpwstr>חוקי עזר</vt:lpwstr>
  </property>
  <property fmtid="{D5CDD505-2E9C-101B-9397-08002B2CF9AE}" pid="38" name="NOSE43">
    <vt:lpwstr/>
  </property>
  <property fmtid="{D5CDD505-2E9C-101B-9397-08002B2CF9AE}" pid="39" name="NOSE14">
    <vt:lpwstr/>
  </property>
  <property fmtid="{D5CDD505-2E9C-101B-9397-08002B2CF9AE}" pid="40" name="NOSE24">
    <vt:lpwstr/>
  </property>
  <property fmtid="{D5CDD505-2E9C-101B-9397-08002B2CF9AE}" pid="41" name="NOSE34">
    <vt:lpwstr/>
  </property>
  <property fmtid="{D5CDD505-2E9C-101B-9397-08002B2CF9AE}" pid="42" name="NOSE44">
    <vt:lpwstr/>
  </property>
  <property fmtid="{D5CDD505-2E9C-101B-9397-08002B2CF9AE}" pid="43" name="NOSE15">
    <vt:lpwstr/>
  </property>
  <property fmtid="{D5CDD505-2E9C-101B-9397-08002B2CF9AE}" pid="44" name="NOSE25">
    <vt:lpwstr/>
  </property>
  <property fmtid="{D5CDD505-2E9C-101B-9397-08002B2CF9AE}" pid="45" name="NOSE35">
    <vt:lpwstr/>
  </property>
  <property fmtid="{D5CDD505-2E9C-101B-9397-08002B2CF9AE}" pid="46" name="NOSE45">
    <vt:lpwstr/>
  </property>
  <property fmtid="{D5CDD505-2E9C-101B-9397-08002B2CF9AE}" pid="47" name="NOSE16">
    <vt:lpwstr/>
  </property>
  <property fmtid="{D5CDD505-2E9C-101B-9397-08002B2CF9AE}" pid="48" name="NOSE26">
    <vt:lpwstr/>
  </property>
  <property fmtid="{D5CDD505-2E9C-101B-9397-08002B2CF9AE}" pid="49" name="NOSE36">
    <vt:lpwstr/>
  </property>
  <property fmtid="{D5CDD505-2E9C-101B-9397-08002B2CF9AE}" pid="50" name="NOSE46">
    <vt:lpwstr/>
  </property>
  <property fmtid="{D5CDD505-2E9C-101B-9397-08002B2CF9AE}" pid="51" name="NOSE17">
    <vt:lpwstr/>
  </property>
  <property fmtid="{D5CDD505-2E9C-101B-9397-08002B2CF9AE}" pid="52" name="NOSE27">
    <vt:lpwstr/>
  </property>
  <property fmtid="{D5CDD505-2E9C-101B-9397-08002B2CF9AE}" pid="53" name="NOSE37">
    <vt:lpwstr/>
  </property>
  <property fmtid="{D5CDD505-2E9C-101B-9397-08002B2CF9AE}" pid="54" name="NOSE47">
    <vt:lpwstr/>
  </property>
  <property fmtid="{D5CDD505-2E9C-101B-9397-08002B2CF9AE}" pid="55" name="NOSE18">
    <vt:lpwstr/>
  </property>
  <property fmtid="{D5CDD505-2E9C-101B-9397-08002B2CF9AE}" pid="56" name="NOSE28">
    <vt:lpwstr/>
  </property>
  <property fmtid="{D5CDD505-2E9C-101B-9397-08002B2CF9AE}" pid="57" name="NOSE38">
    <vt:lpwstr/>
  </property>
  <property fmtid="{D5CDD505-2E9C-101B-9397-08002B2CF9AE}" pid="58" name="NOSE48">
    <vt:lpwstr/>
  </property>
  <property fmtid="{D5CDD505-2E9C-101B-9397-08002B2CF9AE}" pid="59" name="NOSE19">
    <vt:lpwstr/>
  </property>
  <property fmtid="{D5CDD505-2E9C-101B-9397-08002B2CF9AE}" pid="60" name="NOSE29">
    <vt:lpwstr/>
  </property>
  <property fmtid="{D5CDD505-2E9C-101B-9397-08002B2CF9AE}" pid="61" name="NOSE39">
    <vt:lpwstr/>
  </property>
  <property fmtid="{D5CDD505-2E9C-101B-9397-08002B2CF9AE}" pid="62" name="NOSE49">
    <vt:lpwstr/>
  </property>
  <property fmtid="{D5CDD505-2E9C-101B-9397-08002B2CF9AE}" pid="63" name="NOSE110">
    <vt:lpwstr/>
  </property>
  <property fmtid="{D5CDD505-2E9C-101B-9397-08002B2CF9AE}" pid="64" name="NOSE210">
    <vt:lpwstr/>
  </property>
  <property fmtid="{D5CDD505-2E9C-101B-9397-08002B2CF9AE}" pid="65" name="NOSE310">
    <vt:lpwstr/>
  </property>
  <property fmtid="{D5CDD505-2E9C-101B-9397-08002B2CF9AE}" pid="66" name="NOSE410">
    <vt:lpwstr/>
  </property>
</Properties>
</file>