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165B" w14:textId="77777777" w:rsidR="00621BD7" w:rsidRDefault="00621BD7" w:rsidP="0071219F">
      <w:pPr>
        <w:pStyle w:val="big-header"/>
        <w:ind w:left="0" w:right="1134"/>
        <w:outlineLvl w:val="0"/>
        <w:rPr>
          <w:rFonts w:cs="FrankRuehl"/>
          <w:sz w:val="32"/>
        </w:rPr>
      </w:pPr>
      <w:r>
        <w:rPr>
          <w:rFonts w:cs="FrankRuehl" w:hint="cs"/>
          <w:sz w:val="32"/>
          <w:rtl/>
        </w:rPr>
        <w:t xml:space="preserve">חוק עזר </w:t>
      </w:r>
      <w:r w:rsidR="0071219F">
        <w:rPr>
          <w:rFonts w:cs="FrankRuehl" w:hint="cs"/>
          <w:sz w:val="32"/>
          <w:rtl/>
        </w:rPr>
        <w:t>לנתניה</w:t>
      </w:r>
      <w:r>
        <w:rPr>
          <w:rFonts w:cs="FrankRuehl" w:hint="cs"/>
          <w:sz w:val="32"/>
          <w:rtl/>
        </w:rPr>
        <w:t xml:space="preserve"> (היטל ביוב), תשכ"</w:t>
      </w:r>
      <w:r w:rsidR="0071219F">
        <w:rPr>
          <w:rFonts w:cs="FrankRuehl" w:hint="cs"/>
          <w:sz w:val="32"/>
          <w:rtl/>
        </w:rPr>
        <w:t>ה</w:t>
      </w:r>
      <w:r>
        <w:rPr>
          <w:rFonts w:cs="FrankRuehl" w:hint="cs"/>
          <w:sz w:val="32"/>
          <w:rtl/>
        </w:rPr>
        <w:t>-</w:t>
      </w:r>
      <w:r w:rsidR="0071219F">
        <w:rPr>
          <w:rFonts w:cs="FrankRuehl" w:hint="cs"/>
          <w:sz w:val="32"/>
          <w:rtl/>
        </w:rPr>
        <w:t>1965</w:t>
      </w:r>
    </w:p>
    <w:p w14:paraId="4CEB91FA" w14:textId="77777777" w:rsidR="00A34153" w:rsidRPr="00A34153" w:rsidRDefault="00A34153" w:rsidP="00A34153">
      <w:pPr>
        <w:spacing w:line="320" w:lineRule="auto"/>
        <w:jc w:val="left"/>
        <w:rPr>
          <w:rFonts w:cs="FrankRuehl"/>
          <w:szCs w:val="26"/>
          <w:rtl/>
        </w:rPr>
      </w:pPr>
    </w:p>
    <w:p w14:paraId="044BF366" w14:textId="77777777" w:rsidR="00A34153" w:rsidRDefault="00A34153" w:rsidP="00A34153">
      <w:pPr>
        <w:spacing w:line="320" w:lineRule="auto"/>
        <w:jc w:val="left"/>
        <w:rPr>
          <w:rtl/>
        </w:rPr>
      </w:pPr>
    </w:p>
    <w:p w14:paraId="70C53FC8" w14:textId="77777777" w:rsidR="00A34153" w:rsidRDefault="00A34153" w:rsidP="00A34153">
      <w:pPr>
        <w:spacing w:line="320" w:lineRule="auto"/>
        <w:jc w:val="left"/>
        <w:rPr>
          <w:rFonts w:cs="FrankRuehl"/>
          <w:szCs w:val="26"/>
          <w:rtl/>
        </w:rPr>
      </w:pPr>
      <w:r w:rsidRPr="00A34153">
        <w:rPr>
          <w:rFonts w:cs="Miriam"/>
          <w:szCs w:val="22"/>
          <w:rtl/>
        </w:rPr>
        <w:t>רשויות ומשפט מנהלי</w:t>
      </w:r>
      <w:r w:rsidRPr="00A34153">
        <w:rPr>
          <w:rFonts w:cs="FrankRuehl"/>
          <w:szCs w:val="26"/>
          <w:rtl/>
        </w:rPr>
        <w:t xml:space="preserve"> – רשויות מקומיות – מסי שלטון מקומי – אגרות והיטלים</w:t>
      </w:r>
    </w:p>
    <w:p w14:paraId="5A2CD08B" w14:textId="77777777" w:rsidR="00A34153" w:rsidRDefault="00A34153" w:rsidP="00A34153">
      <w:pPr>
        <w:spacing w:line="320" w:lineRule="auto"/>
        <w:jc w:val="left"/>
        <w:rPr>
          <w:rFonts w:cs="FrankRuehl"/>
          <w:szCs w:val="26"/>
          <w:rtl/>
        </w:rPr>
      </w:pPr>
      <w:r w:rsidRPr="00A34153">
        <w:rPr>
          <w:rFonts w:cs="Miriam"/>
          <w:szCs w:val="22"/>
          <w:rtl/>
        </w:rPr>
        <w:t>רשויות ומשפט מנהלי</w:t>
      </w:r>
      <w:r w:rsidRPr="00A34153">
        <w:rPr>
          <w:rFonts w:cs="FrankRuehl"/>
          <w:szCs w:val="26"/>
          <w:rtl/>
        </w:rPr>
        <w:t xml:space="preserve"> – רשויות מקומיות – ביוב</w:t>
      </w:r>
    </w:p>
    <w:p w14:paraId="04494C20" w14:textId="77777777" w:rsidR="00A34153" w:rsidRPr="00A34153" w:rsidRDefault="00A34153" w:rsidP="00A34153">
      <w:pPr>
        <w:spacing w:line="320" w:lineRule="auto"/>
        <w:jc w:val="left"/>
        <w:rPr>
          <w:rFonts w:cs="Miriam"/>
          <w:szCs w:val="22"/>
          <w:rtl/>
        </w:rPr>
      </w:pPr>
      <w:r w:rsidRPr="00A34153">
        <w:rPr>
          <w:rFonts w:cs="Miriam"/>
          <w:szCs w:val="22"/>
          <w:rtl/>
        </w:rPr>
        <w:t>רשויות ומשפט מנהלי</w:t>
      </w:r>
      <w:r w:rsidRPr="00A34153">
        <w:rPr>
          <w:rFonts w:cs="FrankRuehl"/>
          <w:szCs w:val="26"/>
          <w:rtl/>
        </w:rPr>
        <w:t xml:space="preserve"> – רשויות מקומיות – חוקי עזר</w:t>
      </w:r>
    </w:p>
    <w:p w14:paraId="0AFA231F" w14:textId="77777777" w:rsidR="00621BD7" w:rsidRDefault="00621BD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7604" w:rsidRPr="00B17604" w14:paraId="7B3AFAEE" w14:textId="77777777">
        <w:tblPrEx>
          <w:tblCellMar>
            <w:top w:w="0" w:type="dxa"/>
            <w:bottom w:w="0" w:type="dxa"/>
          </w:tblCellMar>
        </w:tblPrEx>
        <w:tc>
          <w:tcPr>
            <w:tcW w:w="1247" w:type="dxa"/>
          </w:tcPr>
          <w:p w14:paraId="39221848" w14:textId="77777777" w:rsidR="00B17604" w:rsidRPr="00B17604" w:rsidRDefault="00B17604" w:rsidP="00B17604">
            <w:pPr>
              <w:spacing w:line="240" w:lineRule="auto"/>
              <w:jc w:val="left"/>
              <w:rPr>
                <w:rFonts w:cs="Frankruhel"/>
                <w:sz w:val="24"/>
                <w:rtl/>
              </w:rPr>
            </w:pPr>
            <w:r>
              <w:rPr>
                <w:sz w:val="24"/>
                <w:rtl/>
              </w:rPr>
              <w:t xml:space="preserve">סעיף 1 </w:t>
            </w:r>
          </w:p>
        </w:tc>
        <w:tc>
          <w:tcPr>
            <w:tcW w:w="5669" w:type="dxa"/>
          </w:tcPr>
          <w:p w14:paraId="6C0A4896" w14:textId="77777777" w:rsidR="00B17604" w:rsidRPr="00B17604" w:rsidRDefault="00B17604" w:rsidP="00B17604">
            <w:pPr>
              <w:spacing w:line="240" w:lineRule="auto"/>
              <w:jc w:val="left"/>
              <w:rPr>
                <w:rFonts w:cs="Frankruhel"/>
                <w:sz w:val="24"/>
                <w:rtl/>
              </w:rPr>
            </w:pPr>
            <w:r>
              <w:rPr>
                <w:sz w:val="24"/>
                <w:rtl/>
              </w:rPr>
              <w:t>הגדרות</w:t>
            </w:r>
          </w:p>
        </w:tc>
        <w:tc>
          <w:tcPr>
            <w:tcW w:w="567" w:type="dxa"/>
          </w:tcPr>
          <w:p w14:paraId="618F98CD" w14:textId="77777777" w:rsidR="00B17604" w:rsidRPr="00B17604" w:rsidRDefault="00B17604" w:rsidP="00B17604">
            <w:pPr>
              <w:spacing w:line="240" w:lineRule="auto"/>
              <w:jc w:val="left"/>
              <w:rPr>
                <w:rStyle w:val="Hyperlink"/>
                <w:rtl/>
              </w:rPr>
            </w:pPr>
            <w:hyperlink w:anchor="Seif1" w:tooltip="הגדרות" w:history="1">
              <w:r w:rsidRPr="00B17604">
                <w:rPr>
                  <w:rStyle w:val="Hyperlink"/>
                </w:rPr>
                <w:t>Go</w:t>
              </w:r>
            </w:hyperlink>
          </w:p>
        </w:tc>
        <w:tc>
          <w:tcPr>
            <w:tcW w:w="850" w:type="dxa"/>
          </w:tcPr>
          <w:p w14:paraId="5CE5E97B"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4127B6">
              <w:rPr>
                <w:noProof/>
                <w:sz w:val="24"/>
                <w:rtl/>
              </w:rPr>
              <w:t>2</w:t>
            </w:r>
            <w:r>
              <w:rPr>
                <w:rFonts w:cs="Frankruhel"/>
                <w:sz w:val="24"/>
                <w:rtl/>
              </w:rPr>
              <w:fldChar w:fldCharType="end"/>
            </w:r>
          </w:p>
        </w:tc>
      </w:tr>
      <w:tr w:rsidR="00B17604" w:rsidRPr="00B17604" w14:paraId="53395A84" w14:textId="77777777">
        <w:tblPrEx>
          <w:tblCellMar>
            <w:top w:w="0" w:type="dxa"/>
            <w:bottom w:w="0" w:type="dxa"/>
          </w:tblCellMar>
        </w:tblPrEx>
        <w:tc>
          <w:tcPr>
            <w:tcW w:w="1247" w:type="dxa"/>
          </w:tcPr>
          <w:p w14:paraId="20B98834" w14:textId="77777777" w:rsidR="00B17604" w:rsidRPr="00B17604" w:rsidRDefault="00B17604" w:rsidP="00B17604">
            <w:pPr>
              <w:spacing w:line="240" w:lineRule="auto"/>
              <w:jc w:val="left"/>
              <w:rPr>
                <w:rFonts w:cs="Frankruhel"/>
                <w:sz w:val="24"/>
                <w:rtl/>
              </w:rPr>
            </w:pPr>
            <w:r>
              <w:rPr>
                <w:sz w:val="24"/>
                <w:rtl/>
              </w:rPr>
              <w:t xml:space="preserve">סעיף 2 </w:t>
            </w:r>
          </w:p>
        </w:tc>
        <w:tc>
          <w:tcPr>
            <w:tcW w:w="5669" w:type="dxa"/>
          </w:tcPr>
          <w:p w14:paraId="08AB0398" w14:textId="77777777" w:rsidR="00B17604" w:rsidRPr="00B17604" w:rsidRDefault="00B17604" w:rsidP="00B17604">
            <w:pPr>
              <w:spacing w:line="240" w:lineRule="auto"/>
              <w:jc w:val="left"/>
              <w:rPr>
                <w:rFonts w:cs="Frankruhel"/>
                <w:sz w:val="24"/>
                <w:rtl/>
              </w:rPr>
            </w:pPr>
            <w:r>
              <w:rPr>
                <w:sz w:val="24"/>
                <w:rtl/>
              </w:rPr>
              <w:t>היטל ביוב</w:t>
            </w:r>
          </w:p>
        </w:tc>
        <w:tc>
          <w:tcPr>
            <w:tcW w:w="567" w:type="dxa"/>
          </w:tcPr>
          <w:p w14:paraId="23B58363" w14:textId="77777777" w:rsidR="00B17604" w:rsidRPr="00B17604" w:rsidRDefault="00B17604" w:rsidP="00B17604">
            <w:pPr>
              <w:spacing w:line="240" w:lineRule="auto"/>
              <w:jc w:val="left"/>
              <w:rPr>
                <w:rStyle w:val="Hyperlink"/>
                <w:rtl/>
              </w:rPr>
            </w:pPr>
            <w:hyperlink w:anchor="Seif2" w:tooltip="היטל ביוב" w:history="1">
              <w:r w:rsidRPr="00B17604">
                <w:rPr>
                  <w:rStyle w:val="Hyperlink"/>
                </w:rPr>
                <w:t>Go</w:t>
              </w:r>
            </w:hyperlink>
          </w:p>
        </w:tc>
        <w:tc>
          <w:tcPr>
            <w:tcW w:w="850" w:type="dxa"/>
          </w:tcPr>
          <w:p w14:paraId="057E240B"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4127B6">
              <w:rPr>
                <w:noProof/>
                <w:sz w:val="24"/>
                <w:rtl/>
              </w:rPr>
              <w:t>2</w:t>
            </w:r>
            <w:r>
              <w:rPr>
                <w:rFonts w:cs="Frankruhel"/>
                <w:sz w:val="24"/>
                <w:rtl/>
              </w:rPr>
              <w:fldChar w:fldCharType="end"/>
            </w:r>
          </w:p>
        </w:tc>
      </w:tr>
      <w:tr w:rsidR="00B17604" w:rsidRPr="00B17604" w14:paraId="2A190AD9" w14:textId="77777777">
        <w:tblPrEx>
          <w:tblCellMar>
            <w:top w:w="0" w:type="dxa"/>
            <w:bottom w:w="0" w:type="dxa"/>
          </w:tblCellMar>
        </w:tblPrEx>
        <w:tc>
          <w:tcPr>
            <w:tcW w:w="1247" w:type="dxa"/>
          </w:tcPr>
          <w:p w14:paraId="5A524D59" w14:textId="77777777" w:rsidR="00B17604" w:rsidRPr="00B17604" w:rsidRDefault="00B17604" w:rsidP="00B17604">
            <w:pPr>
              <w:spacing w:line="240" w:lineRule="auto"/>
              <w:jc w:val="left"/>
              <w:rPr>
                <w:rFonts w:cs="Frankruhel"/>
                <w:sz w:val="24"/>
                <w:rtl/>
              </w:rPr>
            </w:pPr>
            <w:r>
              <w:rPr>
                <w:sz w:val="24"/>
                <w:rtl/>
              </w:rPr>
              <w:t xml:space="preserve">סעיף 2א </w:t>
            </w:r>
          </w:p>
        </w:tc>
        <w:tc>
          <w:tcPr>
            <w:tcW w:w="5669" w:type="dxa"/>
          </w:tcPr>
          <w:p w14:paraId="226E2F8B" w14:textId="77777777" w:rsidR="00B17604" w:rsidRPr="00B17604" w:rsidRDefault="00B17604" w:rsidP="00B17604">
            <w:pPr>
              <w:spacing w:line="240" w:lineRule="auto"/>
              <w:jc w:val="left"/>
              <w:rPr>
                <w:rFonts w:cs="Frankruhel"/>
                <w:sz w:val="24"/>
                <w:rtl/>
              </w:rPr>
            </w:pPr>
            <w:r>
              <w:rPr>
                <w:sz w:val="24"/>
                <w:rtl/>
              </w:rPr>
              <w:t>תוספת מפעל</w:t>
            </w:r>
          </w:p>
        </w:tc>
        <w:tc>
          <w:tcPr>
            <w:tcW w:w="567" w:type="dxa"/>
          </w:tcPr>
          <w:p w14:paraId="7822A3A9" w14:textId="77777777" w:rsidR="00B17604" w:rsidRPr="00B17604" w:rsidRDefault="00B17604" w:rsidP="00B17604">
            <w:pPr>
              <w:spacing w:line="240" w:lineRule="auto"/>
              <w:jc w:val="left"/>
              <w:rPr>
                <w:rStyle w:val="Hyperlink"/>
                <w:rtl/>
              </w:rPr>
            </w:pPr>
            <w:hyperlink w:anchor="Seif11" w:tooltip="תוספת מפעל" w:history="1">
              <w:r w:rsidRPr="00B17604">
                <w:rPr>
                  <w:rStyle w:val="Hyperlink"/>
                </w:rPr>
                <w:t>Go</w:t>
              </w:r>
            </w:hyperlink>
          </w:p>
        </w:tc>
        <w:tc>
          <w:tcPr>
            <w:tcW w:w="850" w:type="dxa"/>
          </w:tcPr>
          <w:p w14:paraId="63ED8520"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54009BB9" w14:textId="77777777">
        <w:tblPrEx>
          <w:tblCellMar>
            <w:top w:w="0" w:type="dxa"/>
            <w:bottom w:w="0" w:type="dxa"/>
          </w:tblCellMar>
        </w:tblPrEx>
        <w:tc>
          <w:tcPr>
            <w:tcW w:w="1247" w:type="dxa"/>
          </w:tcPr>
          <w:p w14:paraId="1DC1E1BA" w14:textId="77777777" w:rsidR="00B17604" w:rsidRPr="00B17604" w:rsidRDefault="00B17604" w:rsidP="00B17604">
            <w:pPr>
              <w:spacing w:line="240" w:lineRule="auto"/>
              <w:jc w:val="left"/>
              <w:rPr>
                <w:rFonts w:cs="Frankruhel"/>
                <w:sz w:val="24"/>
                <w:rtl/>
              </w:rPr>
            </w:pPr>
            <w:r>
              <w:rPr>
                <w:sz w:val="24"/>
                <w:rtl/>
              </w:rPr>
              <w:t xml:space="preserve">סעיף 3 </w:t>
            </w:r>
          </w:p>
        </w:tc>
        <w:tc>
          <w:tcPr>
            <w:tcW w:w="5669" w:type="dxa"/>
          </w:tcPr>
          <w:p w14:paraId="31FD6D92" w14:textId="77777777" w:rsidR="00B17604" w:rsidRPr="00B17604" w:rsidRDefault="00B17604" w:rsidP="00B17604">
            <w:pPr>
              <w:spacing w:line="240" w:lineRule="auto"/>
              <w:jc w:val="left"/>
              <w:rPr>
                <w:rFonts w:cs="Frankruhel"/>
                <w:sz w:val="24"/>
                <w:rtl/>
              </w:rPr>
            </w:pPr>
            <w:r>
              <w:rPr>
                <w:sz w:val="24"/>
                <w:rtl/>
              </w:rPr>
              <w:t>בניה נוספת</w:t>
            </w:r>
          </w:p>
        </w:tc>
        <w:tc>
          <w:tcPr>
            <w:tcW w:w="567" w:type="dxa"/>
          </w:tcPr>
          <w:p w14:paraId="62613B13" w14:textId="77777777" w:rsidR="00B17604" w:rsidRPr="00B17604" w:rsidRDefault="00B17604" w:rsidP="00B17604">
            <w:pPr>
              <w:spacing w:line="240" w:lineRule="auto"/>
              <w:jc w:val="left"/>
              <w:rPr>
                <w:rStyle w:val="Hyperlink"/>
                <w:rtl/>
              </w:rPr>
            </w:pPr>
            <w:hyperlink w:anchor="Seif3" w:tooltip="בניה נוספת" w:history="1">
              <w:r w:rsidRPr="00B17604">
                <w:rPr>
                  <w:rStyle w:val="Hyperlink"/>
                </w:rPr>
                <w:t>Go</w:t>
              </w:r>
            </w:hyperlink>
          </w:p>
        </w:tc>
        <w:tc>
          <w:tcPr>
            <w:tcW w:w="850" w:type="dxa"/>
          </w:tcPr>
          <w:p w14:paraId="47243B38"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6109E877" w14:textId="77777777">
        <w:tblPrEx>
          <w:tblCellMar>
            <w:top w:w="0" w:type="dxa"/>
            <w:bottom w:w="0" w:type="dxa"/>
          </w:tblCellMar>
        </w:tblPrEx>
        <w:tc>
          <w:tcPr>
            <w:tcW w:w="1247" w:type="dxa"/>
          </w:tcPr>
          <w:p w14:paraId="3662F3E1" w14:textId="77777777" w:rsidR="00B17604" w:rsidRPr="00B17604" w:rsidRDefault="00B17604" w:rsidP="00B17604">
            <w:pPr>
              <w:spacing w:line="240" w:lineRule="auto"/>
              <w:jc w:val="left"/>
              <w:rPr>
                <w:rFonts w:cs="Frankruhel"/>
                <w:sz w:val="24"/>
                <w:rtl/>
              </w:rPr>
            </w:pPr>
            <w:r>
              <w:rPr>
                <w:sz w:val="24"/>
                <w:rtl/>
              </w:rPr>
              <w:t xml:space="preserve">סעיף 4 </w:t>
            </w:r>
          </w:p>
        </w:tc>
        <w:tc>
          <w:tcPr>
            <w:tcW w:w="5669" w:type="dxa"/>
          </w:tcPr>
          <w:p w14:paraId="0D32D941" w14:textId="77777777" w:rsidR="00B17604" w:rsidRPr="00B17604" w:rsidRDefault="00B17604" w:rsidP="00B17604">
            <w:pPr>
              <w:spacing w:line="240" w:lineRule="auto"/>
              <w:jc w:val="left"/>
              <w:rPr>
                <w:rFonts w:cs="Frankruhel"/>
                <w:sz w:val="24"/>
                <w:rtl/>
              </w:rPr>
            </w:pPr>
            <w:r>
              <w:rPr>
                <w:sz w:val="24"/>
                <w:rtl/>
              </w:rPr>
              <w:t>חיבור ביב פרטי לביוב</w:t>
            </w:r>
          </w:p>
        </w:tc>
        <w:tc>
          <w:tcPr>
            <w:tcW w:w="567" w:type="dxa"/>
          </w:tcPr>
          <w:p w14:paraId="72C55645" w14:textId="77777777" w:rsidR="00B17604" w:rsidRPr="00B17604" w:rsidRDefault="00B17604" w:rsidP="00B17604">
            <w:pPr>
              <w:spacing w:line="240" w:lineRule="auto"/>
              <w:jc w:val="left"/>
              <w:rPr>
                <w:rStyle w:val="Hyperlink"/>
                <w:rtl/>
              </w:rPr>
            </w:pPr>
            <w:hyperlink w:anchor="Seif5" w:tooltip="חיבור ביב פרטי לביוב" w:history="1">
              <w:r w:rsidRPr="00B17604">
                <w:rPr>
                  <w:rStyle w:val="Hyperlink"/>
                </w:rPr>
                <w:t>Go</w:t>
              </w:r>
            </w:hyperlink>
          </w:p>
        </w:tc>
        <w:tc>
          <w:tcPr>
            <w:tcW w:w="850" w:type="dxa"/>
          </w:tcPr>
          <w:p w14:paraId="178B9619"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4546737F" w14:textId="77777777">
        <w:tblPrEx>
          <w:tblCellMar>
            <w:top w:w="0" w:type="dxa"/>
            <w:bottom w:w="0" w:type="dxa"/>
          </w:tblCellMar>
        </w:tblPrEx>
        <w:tc>
          <w:tcPr>
            <w:tcW w:w="1247" w:type="dxa"/>
          </w:tcPr>
          <w:p w14:paraId="5427FD96" w14:textId="77777777" w:rsidR="00B17604" w:rsidRPr="00B17604" w:rsidRDefault="00B17604" w:rsidP="00B17604">
            <w:pPr>
              <w:spacing w:line="240" w:lineRule="auto"/>
              <w:jc w:val="left"/>
              <w:rPr>
                <w:rFonts w:cs="Frankruhel"/>
                <w:sz w:val="24"/>
                <w:rtl/>
              </w:rPr>
            </w:pPr>
            <w:r>
              <w:rPr>
                <w:sz w:val="24"/>
                <w:rtl/>
              </w:rPr>
              <w:t xml:space="preserve">סעיף 5 </w:t>
            </w:r>
          </w:p>
        </w:tc>
        <w:tc>
          <w:tcPr>
            <w:tcW w:w="5669" w:type="dxa"/>
          </w:tcPr>
          <w:p w14:paraId="1D3853F6" w14:textId="77777777" w:rsidR="00B17604" w:rsidRPr="00B17604" w:rsidRDefault="00B17604" w:rsidP="00B17604">
            <w:pPr>
              <w:spacing w:line="240" w:lineRule="auto"/>
              <w:jc w:val="left"/>
              <w:rPr>
                <w:rFonts w:cs="Frankruhel"/>
                <w:sz w:val="24"/>
                <w:rtl/>
              </w:rPr>
            </w:pPr>
            <w:r>
              <w:rPr>
                <w:sz w:val="24"/>
                <w:rtl/>
              </w:rPr>
              <w:t>איסור פגיעה בביוב</w:t>
            </w:r>
          </w:p>
        </w:tc>
        <w:tc>
          <w:tcPr>
            <w:tcW w:w="567" w:type="dxa"/>
          </w:tcPr>
          <w:p w14:paraId="14F9D07F" w14:textId="77777777" w:rsidR="00B17604" w:rsidRPr="00B17604" w:rsidRDefault="00B17604" w:rsidP="00B17604">
            <w:pPr>
              <w:spacing w:line="240" w:lineRule="auto"/>
              <w:jc w:val="left"/>
              <w:rPr>
                <w:rStyle w:val="Hyperlink"/>
                <w:rtl/>
              </w:rPr>
            </w:pPr>
            <w:hyperlink w:anchor="Seif6" w:tooltip="איסור פגיעה בביוב" w:history="1">
              <w:r w:rsidRPr="00B17604">
                <w:rPr>
                  <w:rStyle w:val="Hyperlink"/>
                </w:rPr>
                <w:t>Go</w:t>
              </w:r>
            </w:hyperlink>
          </w:p>
        </w:tc>
        <w:tc>
          <w:tcPr>
            <w:tcW w:w="850" w:type="dxa"/>
          </w:tcPr>
          <w:p w14:paraId="4EC06098"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1D4D25D4" w14:textId="77777777">
        <w:tblPrEx>
          <w:tblCellMar>
            <w:top w:w="0" w:type="dxa"/>
            <w:bottom w:w="0" w:type="dxa"/>
          </w:tblCellMar>
        </w:tblPrEx>
        <w:tc>
          <w:tcPr>
            <w:tcW w:w="1247" w:type="dxa"/>
          </w:tcPr>
          <w:p w14:paraId="3AC9A588" w14:textId="77777777" w:rsidR="00B17604" w:rsidRPr="00B17604" w:rsidRDefault="00B17604" w:rsidP="00B17604">
            <w:pPr>
              <w:spacing w:line="240" w:lineRule="auto"/>
              <w:jc w:val="left"/>
              <w:rPr>
                <w:rFonts w:cs="Frankruhel"/>
                <w:sz w:val="24"/>
                <w:rtl/>
              </w:rPr>
            </w:pPr>
            <w:r>
              <w:rPr>
                <w:sz w:val="24"/>
                <w:rtl/>
              </w:rPr>
              <w:t xml:space="preserve">סעיף 6 </w:t>
            </w:r>
          </w:p>
        </w:tc>
        <w:tc>
          <w:tcPr>
            <w:tcW w:w="5669" w:type="dxa"/>
          </w:tcPr>
          <w:p w14:paraId="64E01670" w14:textId="77777777" w:rsidR="00B17604" w:rsidRPr="00B17604" w:rsidRDefault="00B17604" w:rsidP="00B17604">
            <w:pPr>
              <w:spacing w:line="240" w:lineRule="auto"/>
              <w:jc w:val="left"/>
              <w:rPr>
                <w:rFonts w:cs="Frankruhel"/>
                <w:sz w:val="24"/>
                <w:rtl/>
              </w:rPr>
            </w:pPr>
            <w:r>
              <w:rPr>
                <w:sz w:val="24"/>
                <w:rtl/>
              </w:rPr>
              <w:t>מסירת הודעה</w:t>
            </w:r>
          </w:p>
        </w:tc>
        <w:tc>
          <w:tcPr>
            <w:tcW w:w="567" w:type="dxa"/>
          </w:tcPr>
          <w:p w14:paraId="03C9C432" w14:textId="77777777" w:rsidR="00B17604" w:rsidRPr="00B17604" w:rsidRDefault="00B17604" w:rsidP="00B17604">
            <w:pPr>
              <w:spacing w:line="240" w:lineRule="auto"/>
              <w:jc w:val="left"/>
              <w:rPr>
                <w:rStyle w:val="Hyperlink"/>
                <w:rtl/>
              </w:rPr>
            </w:pPr>
            <w:hyperlink w:anchor="Seif7" w:tooltip="מסירת הודעה" w:history="1">
              <w:r w:rsidRPr="00B17604">
                <w:rPr>
                  <w:rStyle w:val="Hyperlink"/>
                </w:rPr>
                <w:t>Go</w:t>
              </w:r>
            </w:hyperlink>
          </w:p>
        </w:tc>
        <w:tc>
          <w:tcPr>
            <w:tcW w:w="850" w:type="dxa"/>
          </w:tcPr>
          <w:p w14:paraId="6E786F27"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5C4A603F" w14:textId="77777777">
        <w:tblPrEx>
          <w:tblCellMar>
            <w:top w:w="0" w:type="dxa"/>
            <w:bottom w:w="0" w:type="dxa"/>
          </w:tblCellMar>
        </w:tblPrEx>
        <w:tc>
          <w:tcPr>
            <w:tcW w:w="1247" w:type="dxa"/>
          </w:tcPr>
          <w:p w14:paraId="33B0F6D4" w14:textId="77777777" w:rsidR="00B17604" w:rsidRPr="00B17604" w:rsidRDefault="00B17604" w:rsidP="00B17604">
            <w:pPr>
              <w:spacing w:line="240" w:lineRule="auto"/>
              <w:jc w:val="left"/>
              <w:rPr>
                <w:rFonts w:cs="Frankruhel"/>
                <w:sz w:val="24"/>
                <w:rtl/>
              </w:rPr>
            </w:pPr>
            <w:r>
              <w:rPr>
                <w:sz w:val="24"/>
                <w:rtl/>
              </w:rPr>
              <w:t xml:space="preserve">סעיף 7 </w:t>
            </w:r>
          </w:p>
        </w:tc>
        <w:tc>
          <w:tcPr>
            <w:tcW w:w="5669" w:type="dxa"/>
          </w:tcPr>
          <w:p w14:paraId="26FA016D" w14:textId="77777777" w:rsidR="00B17604" w:rsidRPr="00B17604" w:rsidRDefault="00B17604" w:rsidP="00B17604">
            <w:pPr>
              <w:spacing w:line="240" w:lineRule="auto"/>
              <w:jc w:val="left"/>
              <w:rPr>
                <w:rFonts w:cs="Frankruhel"/>
                <w:sz w:val="24"/>
                <w:rtl/>
              </w:rPr>
            </w:pPr>
            <w:r>
              <w:rPr>
                <w:sz w:val="24"/>
                <w:rtl/>
              </w:rPr>
              <w:t>ענשים</w:t>
            </w:r>
          </w:p>
        </w:tc>
        <w:tc>
          <w:tcPr>
            <w:tcW w:w="567" w:type="dxa"/>
          </w:tcPr>
          <w:p w14:paraId="60158757" w14:textId="77777777" w:rsidR="00B17604" w:rsidRPr="00B17604" w:rsidRDefault="00B17604" w:rsidP="00B17604">
            <w:pPr>
              <w:spacing w:line="240" w:lineRule="auto"/>
              <w:jc w:val="left"/>
              <w:rPr>
                <w:rStyle w:val="Hyperlink"/>
                <w:rtl/>
              </w:rPr>
            </w:pPr>
            <w:hyperlink w:anchor="Seif8" w:tooltip="ענשים" w:history="1">
              <w:r w:rsidRPr="00B17604">
                <w:rPr>
                  <w:rStyle w:val="Hyperlink"/>
                </w:rPr>
                <w:t>Go</w:t>
              </w:r>
            </w:hyperlink>
          </w:p>
        </w:tc>
        <w:tc>
          <w:tcPr>
            <w:tcW w:w="850" w:type="dxa"/>
          </w:tcPr>
          <w:p w14:paraId="34F5FF28"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19E153D3" w14:textId="77777777">
        <w:tblPrEx>
          <w:tblCellMar>
            <w:top w:w="0" w:type="dxa"/>
            <w:bottom w:w="0" w:type="dxa"/>
          </w:tblCellMar>
        </w:tblPrEx>
        <w:tc>
          <w:tcPr>
            <w:tcW w:w="1247" w:type="dxa"/>
          </w:tcPr>
          <w:p w14:paraId="2C5B2C00" w14:textId="77777777" w:rsidR="00B17604" w:rsidRPr="00B17604" w:rsidRDefault="00B17604" w:rsidP="00B17604">
            <w:pPr>
              <w:spacing w:line="240" w:lineRule="auto"/>
              <w:jc w:val="left"/>
              <w:rPr>
                <w:rFonts w:cs="Frankruhel"/>
                <w:sz w:val="24"/>
                <w:rtl/>
              </w:rPr>
            </w:pPr>
            <w:r>
              <w:rPr>
                <w:sz w:val="24"/>
                <w:rtl/>
              </w:rPr>
              <w:t xml:space="preserve">סעיף 8 </w:t>
            </w:r>
          </w:p>
        </w:tc>
        <w:tc>
          <w:tcPr>
            <w:tcW w:w="5669" w:type="dxa"/>
          </w:tcPr>
          <w:p w14:paraId="40B3D10B" w14:textId="77777777" w:rsidR="00B17604" w:rsidRPr="00B17604" w:rsidRDefault="00B17604" w:rsidP="00B17604">
            <w:pPr>
              <w:spacing w:line="240" w:lineRule="auto"/>
              <w:jc w:val="left"/>
              <w:rPr>
                <w:rFonts w:cs="Frankruhel"/>
                <w:sz w:val="24"/>
                <w:rtl/>
              </w:rPr>
            </w:pPr>
            <w:r>
              <w:rPr>
                <w:sz w:val="24"/>
                <w:rtl/>
              </w:rPr>
              <w:t>ביטול</w:t>
            </w:r>
          </w:p>
        </w:tc>
        <w:tc>
          <w:tcPr>
            <w:tcW w:w="567" w:type="dxa"/>
          </w:tcPr>
          <w:p w14:paraId="4D67730E" w14:textId="77777777" w:rsidR="00B17604" w:rsidRPr="00B17604" w:rsidRDefault="00B17604" w:rsidP="00B17604">
            <w:pPr>
              <w:spacing w:line="240" w:lineRule="auto"/>
              <w:jc w:val="left"/>
              <w:rPr>
                <w:rStyle w:val="Hyperlink"/>
                <w:rtl/>
              </w:rPr>
            </w:pPr>
            <w:hyperlink w:anchor="Seif9" w:tooltip="ביטול" w:history="1">
              <w:r w:rsidRPr="00B17604">
                <w:rPr>
                  <w:rStyle w:val="Hyperlink"/>
                </w:rPr>
                <w:t>Go</w:t>
              </w:r>
            </w:hyperlink>
          </w:p>
        </w:tc>
        <w:tc>
          <w:tcPr>
            <w:tcW w:w="850" w:type="dxa"/>
          </w:tcPr>
          <w:p w14:paraId="14B5B4AF"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01A4095D" w14:textId="77777777">
        <w:tblPrEx>
          <w:tblCellMar>
            <w:top w:w="0" w:type="dxa"/>
            <w:bottom w:w="0" w:type="dxa"/>
          </w:tblCellMar>
        </w:tblPrEx>
        <w:tc>
          <w:tcPr>
            <w:tcW w:w="1247" w:type="dxa"/>
          </w:tcPr>
          <w:p w14:paraId="74598C9B" w14:textId="77777777" w:rsidR="00B17604" w:rsidRPr="00B17604" w:rsidRDefault="00B17604" w:rsidP="00B17604">
            <w:pPr>
              <w:spacing w:line="240" w:lineRule="auto"/>
              <w:jc w:val="left"/>
              <w:rPr>
                <w:rFonts w:cs="Frankruhel"/>
                <w:sz w:val="24"/>
                <w:rtl/>
              </w:rPr>
            </w:pPr>
            <w:r>
              <w:rPr>
                <w:sz w:val="24"/>
                <w:rtl/>
              </w:rPr>
              <w:t xml:space="preserve">סעיף 9 </w:t>
            </w:r>
          </w:p>
        </w:tc>
        <w:tc>
          <w:tcPr>
            <w:tcW w:w="5669" w:type="dxa"/>
          </w:tcPr>
          <w:p w14:paraId="2A741709" w14:textId="77777777" w:rsidR="00B17604" w:rsidRPr="00B17604" w:rsidRDefault="00B17604" w:rsidP="00B17604">
            <w:pPr>
              <w:spacing w:line="240" w:lineRule="auto"/>
              <w:jc w:val="left"/>
              <w:rPr>
                <w:rFonts w:cs="Frankruhel"/>
                <w:sz w:val="24"/>
                <w:rtl/>
              </w:rPr>
            </w:pPr>
            <w:r>
              <w:rPr>
                <w:sz w:val="24"/>
                <w:rtl/>
              </w:rPr>
              <w:t>השם</w:t>
            </w:r>
          </w:p>
        </w:tc>
        <w:tc>
          <w:tcPr>
            <w:tcW w:w="567" w:type="dxa"/>
          </w:tcPr>
          <w:p w14:paraId="42A49082" w14:textId="77777777" w:rsidR="00B17604" w:rsidRPr="00B17604" w:rsidRDefault="00B17604" w:rsidP="00B17604">
            <w:pPr>
              <w:spacing w:line="240" w:lineRule="auto"/>
              <w:jc w:val="left"/>
              <w:rPr>
                <w:rStyle w:val="Hyperlink"/>
                <w:rtl/>
              </w:rPr>
            </w:pPr>
            <w:hyperlink w:anchor="Seif4" w:tooltip="השם" w:history="1">
              <w:r w:rsidRPr="00B17604">
                <w:rPr>
                  <w:rStyle w:val="Hyperlink"/>
                </w:rPr>
                <w:t>Go</w:t>
              </w:r>
            </w:hyperlink>
          </w:p>
        </w:tc>
        <w:tc>
          <w:tcPr>
            <w:tcW w:w="850" w:type="dxa"/>
          </w:tcPr>
          <w:p w14:paraId="3E4895B5"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24789576" w14:textId="77777777">
        <w:tblPrEx>
          <w:tblCellMar>
            <w:top w:w="0" w:type="dxa"/>
            <w:bottom w:w="0" w:type="dxa"/>
          </w:tblCellMar>
        </w:tblPrEx>
        <w:tc>
          <w:tcPr>
            <w:tcW w:w="1247" w:type="dxa"/>
          </w:tcPr>
          <w:p w14:paraId="0D07E8A4" w14:textId="77777777" w:rsidR="00B17604" w:rsidRPr="00B17604" w:rsidRDefault="00B17604" w:rsidP="00B17604">
            <w:pPr>
              <w:spacing w:line="240" w:lineRule="auto"/>
              <w:jc w:val="left"/>
              <w:rPr>
                <w:rFonts w:cs="Frankruhel"/>
                <w:sz w:val="24"/>
                <w:rtl/>
              </w:rPr>
            </w:pPr>
          </w:p>
        </w:tc>
        <w:tc>
          <w:tcPr>
            <w:tcW w:w="5669" w:type="dxa"/>
          </w:tcPr>
          <w:p w14:paraId="0374835F" w14:textId="77777777" w:rsidR="00B17604" w:rsidRPr="00B17604" w:rsidRDefault="00B17604" w:rsidP="00B17604">
            <w:pPr>
              <w:spacing w:line="240" w:lineRule="auto"/>
              <w:jc w:val="left"/>
              <w:rPr>
                <w:rFonts w:cs="Frankruhel"/>
                <w:sz w:val="24"/>
                <w:rtl/>
              </w:rPr>
            </w:pPr>
            <w:r>
              <w:rPr>
                <w:sz w:val="24"/>
                <w:rtl/>
              </w:rPr>
              <w:t>תוספת ראשונה</w:t>
            </w:r>
          </w:p>
        </w:tc>
        <w:tc>
          <w:tcPr>
            <w:tcW w:w="567" w:type="dxa"/>
          </w:tcPr>
          <w:p w14:paraId="27E07D70" w14:textId="77777777" w:rsidR="00B17604" w:rsidRPr="00B17604" w:rsidRDefault="00B17604" w:rsidP="00B17604">
            <w:pPr>
              <w:spacing w:line="240" w:lineRule="auto"/>
              <w:jc w:val="left"/>
              <w:rPr>
                <w:rStyle w:val="Hyperlink"/>
                <w:rtl/>
              </w:rPr>
            </w:pPr>
            <w:hyperlink w:anchor="med0" w:tooltip="תוספת ראשונה" w:history="1">
              <w:r w:rsidRPr="00B17604">
                <w:rPr>
                  <w:rStyle w:val="Hyperlink"/>
                </w:rPr>
                <w:t>Go</w:t>
              </w:r>
            </w:hyperlink>
          </w:p>
        </w:tc>
        <w:tc>
          <w:tcPr>
            <w:tcW w:w="850" w:type="dxa"/>
          </w:tcPr>
          <w:p w14:paraId="6A38EA12"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4127B6">
              <w:rPr>
                <w:noProof/>
                <w:sz w:val="24"/>
                <w:rtl/>
              </w:rPr>
              <w:t>3</w:t>
            </w:r>
            <w:r>
              <w:rPr>
                <w:rFonts w:cs="Frankruhel"/>
                <w:sz w:val="24"/>
                <w:rtl/>
              </w:rPr>
              <w:fldChar w:fldCharType="end"/>
            </w:r>
          </w:p>
        </w:tc>
      </w:tr>
      <w:tr w:rsidR="00B17604" w:rsidRPr="00B17604" w14:paraId="46E447C8" w14:textId="77777777">
        <w:tblPrEx>
          <w:tblCellMar>
            <w:top w:w="0" w:type="dxa"/>
            <w:bottom w:w="0" w:type="dxa"/>
          </w:tblCellMar>
        </w:tblPrEx>
        <w:tc>
          <w:tcPr>
            <w:tcW w:w="1247" w:type="dxa"/>
          </w:tcPr>
          <w:p w14:paraId="410A94A7" w14:textId="77777777" w:rsidR="00B17604" w:rsidRPr="00B17604" w:rsidRDefault="00B17604" w:rsidP="00B17604">
            <w:pPr>
              <w:spacing w:line="240" w:lineRule="auto"/>
              <w:jc w:val="left"/>
              <w:rPr>
                <w:rFonts w:cs="Frankruhel"/>
                <w:sz w:val="24"/>
                <w:rtl/>
              </w:rPr>
            </w:pPr>
          </w:p>
        </w:tc>
        <w:tc>
          <w:tcPr>
            <w:tcW w:w="5669" w:type="dxa"/>
          </w:tcPr>
          <w:p w14:paraId="4DF59AC4" w14:textId="77777777" w:rsidR="00B17604" w:rsidRPr="00B17604" w:rsidRDefault="00B17604" w:rsidP="00B17604">
            <w:pPr>
              <w:spacing w:line="240" w:lineRule="auto"/>
              <w:jc w:val="left"/>
              <w:rPr>
                <w:rFonts w:cs="Frankruhel"/>
                <w:sz w:val="24"/>
                <w:rtl/>
              </w:rPr>
            </w:pPr>
            <w:r>
              <w:rPr>
                <w:sz w:val="24"/>
                <w:rtl/>
              </w:rPr>
              <w:t>תוספת שניה</w:t>
            </w:r>
          </w:p>
        </w:tc>
        <w:tc>
          <w:tcPr>
            <w:tcW w:w="567" w:type="dxa"/>
          </w:tcPr>
          <w:p w14:paraId="623F31B6" w14:textId="77777777" w:rsidR="00B17604" w:rsidRPr="00B17604" w:rsidRDefault="00B17604" w:rsidP="00B17604">
            <w:pPr>
              <w:spacing w:line="240" w:lineRule="auto"/>
              <w:jc w:val="left"/>
              <w:rPr>
                <w:rStyle w:val="Hyperlink"/>
                <w:rtl/>
              </w:rPr>
            </w:pPr>
            <w:hyperlink w:anchor="med2" w:tooltip="תוספת שניה" w:history="1">
              <w:r w:rsidRPr="00B17604">
                <w:rPr>
                  <w:rStyle w:val="Hyperlink"/>
                </w:rPr>
                <w:t>Go</w:t>
              </w:r>
            </w:hyperlink>
          </w:p>
        </w:tc>
        <w:tc>
          <w:tcPr>
            <w:tcW w:w="850" w:type="dxa"/>
          </w:tcPr>
          <w:p w14:paraId="2D62EB29" w14:textId="77777777" w:rsidR="00B17604" w:rsidRPr="00B17604" w:rsidRDefault="00B17604" w:rsidP="00B176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sidR="004127B6">
              <w:rPr>
                <w:noProof/>
                <w:sz w:val="24"/>
                <w:rtl/>
              </w:rPr>
              <w:t>4</w:t>
            </w:r>
            <w:r>
              <w:rPr>
                <w:rFonts w:cs="Frankruhel"/>
                <w:sz w:val="24"/>
                <w:rtl/>
              </w:rPr>
              <w:fldChar w:fldCharType="end"/>
            </w:r>
          </w:p>
        </w:tc>
      </w:tr>
    </w:tbl>
    <w:p w14:paraId="3EA28CDD" w14:textId="77777777" w:rsidR="00621BD7" w:rsidRDefault="00621BD7">
      <w:pPr>
        <w:pStyle w:val="big-header"/>
        <w:ind w:left="0" w:right="1134"/>
        <w:rPr>
          <w:rFonts w:cs="FrankRuehl"/>
          <w:sz w:val="32"/>
          <w:rtl/>
        </w:rPr>
      </w:pPr>
    </w:p>
    <w:p w14:paraId="7D02BF84" w14:textId="77777777" w:rsidR="00621BD7" w:rsidRDefault="00621BD7" w:rsidP="0071219F">
      <w:pPr>
        <w:pStyle w:val="big-header"/>
        <w:ind w:left="0" w:right="1134"/>
        <w:outlineLvl w:val="0"/>
        <w:rPr>
          <w:rFonts w:cs="FrankRuehl"/>
          <w:sz w:val="32"/>
        </w:rPr>
      </w:pPr>
      <w:r>
        <w:rPr>
          <w:rtl/>
        </w:rPr>
        <w:br w:type="page"/>
      </w:r>
      <w:r>
        <w:rPr>
          <w:rFonts w:cs="FrankRuehl" w:hint="cs"/>
          <w:sz w:val="32"/>
          <w:rtl/>
        </w:rPr>
        <w:lastRenderedPageBreak/>
        <w:t xml:space="preserve">חוק עזר </w:t>
      </w:r>
      <w:r w:rsidR="0071219F">
        <w:rPr>
          <w:rFonts w:cs="FrankRuehl" w:hint="cs"/>
          <w:sz w:val="32"/>
          <w:rtl/>
        </w:rPr>
        <w:t>לנתניה</w:t>
      </w:r>
      <w:r>
        <w:rPr>
          <w:rFonts w:cs="FrankRuehl" w:hint="cs"/>
          <w:sz w:val="32"/>
          <w:rtl/>
        </w:rPr>
        <w:t xml:space="preserve"> (היטל ביוב), תשכ"</w:t>
      </w:r>
      <w:r w:rsidR="0071219F">
        <w:rPr>
          <w:rFonts w:cs="FrankRuehl" w:hint="cs"/>
          <w:sz w:val="32"/>
          <w:rtl/>
        </w:rPr>
        <w:t>ה-1965</w:t>
      </w:r>
      <w:r>
        <w:rPr>
          <w:rStyle w:val="a6"/>
          <w:rFonts w:cs="FrankRuehl"/>
          <w:sz w:val="32"/>
          <w:rtl/>
        </w:rPr>
        <w:footnoteReference w:customMarkFollows="1" w:id="1"/>
        <w:t>*</w:t>
      </w:r>
    </w:p>
    <w:p w14:paraId="6D7A24DC" w14:textId="77777777" w:rsidR="00621BD7" w:rsidRDefault="00D63694" w:rsidP="0071219F">
      <w:pPr>
        <w:pStyle w:val="P00"/>
        <w:spacing w:before="72"/>
        <w:ind w:left="0" w:right="1134"/>
        <w:rPr>
          <w:rFonts w:cs="FrankRuehl" w:hint="cs"/>
          <w:rtl/>
          <w:lang w:val="he-IL"/>
        </w:rPr>
      </w:pPr>
      <w:r>
        <w:rPr>
          <w:rFonts w:cs="FrankRuehl" w:hint="cs"/>
          <w:rtl/>
          <w:lang w:val="he-IL"/>
        </w:rPr>
        <w:tab/>
      </w:r>
      <w:r w:rsidR="00621BD7">
        <w:rPr>
          <w:rFonts w:cs="FrankRuehl"/>
          <w:rtl/>
          <w:lang w:val="he-IL"/>
        </w:rPr>
        <w:t>בתוקף סמכותה לפי סעי</w:t>
      </w:r>
      <w:r w:rsidR="00621BD7">
        <w:rPr>
          <w:rFonts w:cs="FrankRuehl" w:hint="cs"/>
          <w:rtl/>
          <w:lang w:val="he-IL"/>
        </w:rPr>
        <w:t>ף</w:t>
      </w:r>
      <w:r w:rsidR="00621BD7">
        <w:rPr>
          <w:rFonts w:cs="FrankRuehl"/>
          <w:rtl/>
          <w:lang w:val="he-IL"/>
        </w:rPr>
        <w:t xml:space="preserve"> 250</w:t>
      </w:r>
      <w:r w:rsidR="0071219F">
        <w:rPr>
          <w:rFonts w:cs="FrankRuehl" w:hint="cs"/>
          <w:rtl/>
          <w:lang w:val="he-IL"/>
        </w:rPr>
        <w:t>, 251 ו-254</w:t>
      </w:r>
      <w:r w:rsidR="00621BD7">
        <w:rPr>
          <w:rFonts w:cs="FrankRuehl" w:hint="cs"/>
          <w:rtl/>
          <w:lang w:val="he-IL"/>
        </w:rPr>
        <w:t xml:space="preserve"> </w:t>
      </w:r>
      <w:r w:rsidR="00621BD7">
        <w:rPr>
          <w:rFonts w:cs="FrankRuehl"/>
          <w:rtl/>
          <w:lang w:val="he-IL"/>
        </w:rPr>
        <w:t>לפקודת העיר</w:t>
      </w:r>
      <w:r w:rsidR="00621BD7">
        <w:rPr>
          <w:rFonts w:cs="FrankRuehl" w:hint="cs"/>
          <w:rtl/>
          <w:lang w:val="he-IL"/>
        </w:rPr>
        <w:t>י</w:t>
      </w:r>
      <w:r w:rsidR="00621BD7">
        <w:rPr>
          <w:rFonts w:cs="FrankRuehl"/>
          <w:rtl/>
          <w:lang w:val="he-IL"/>
        </w:rPr>
        <w:t>ות</w:t>
      </w:r>
      <w:r w:rsidR="00621BD7">
        <w:rPr>
          <w:rFonts w:cs="FrankRuehl" w:hint="cs"/>
          <w:rtl/>
          <w:lang w:val="he-IL"/>
        </w:rPr>
        <w:t xml:space="preserve">, </w:t>
      </w:r>
      <w:r w:rsidR="0071219F">
        <w:rPr>
          <w:rFonts w:cs="FrankRuehl" w:hint="cs"/>
          <w:rtl/>
          <w:lang w:val="he-IL"/>
        </w:rPr>
        <w:t>ו</w:t>
      </w:r>
      <w:r w:rsidR="00621BD7">
        <w:rPr>
          <w:rFonts w:cs="FrankRuehl" w:hint="cs"/>
          <w:rtl/>
          <w:lang w:val="he-IL"/>
        </w:rPr>
        <w:t xml:space="preserve">חוק הרשויות המקומיות (ביוב), תשכ"ב-1962 (להלן </w:t>
      </w:r>
      <w:r w:rsidR="00621BD7">
        <w:rPr>
          <w:rFonts w:cs="FrankRuehl" w:hint="eastAsia"/>
          <w:rtl/>
          <w:lang w:val="he-IL"/>
        </w:rPr>
        <w:t>– החוק</w:t>
      </w:r>
      <w:r w:rsidR="00621BD7">
        <w:rPr>
          <w:rFonts w:cs="FrankRuehl" w:hint="cs"/>
          <w:rtl/>
          <w:lang w:val="he-IL"/>
        </w:rPr>
        <w:t xml:space="preserve">), </w:t>
      </w:r>
      <w:r w:rsidR="00621BD7">
        <w:rPr>
          <w:rFonts w:cs="FrankRuehl"/>
          <w:rtl/>
          <w:lang w:val="he-IL"/>
        </w:rPr>
        <w:t>מתקינה מועצת עי</w:t>
      </w:r>
      <w:r w:rsidR="00621BD7">
        <w:rPr>
          <w:rFonts w:cs="FrankRuehl" w:hint="cs"/>
          <w:rtl/>
          <w:lang w:val="he-IL"/>
        </w:rPr>
        <w:t>רי</w:t>
      </w:r>
      <w:r w:rsidR="00621BD7">
        <w:rPr>
          <w:rFonts w:cs="FrankRuehl"/>
          <w:rtl/>
          <w:lang w:val="he-IL"/>
        </w:rPr>
        <w:t xml:space="preserve">ית </w:t>
      </w:r>
      <w:r w:rsidR="0071219F">
        <w:rPr>
          <w:rFonts w:cs="FrankRuehl" w:hint="cs"/>
          <w:rtl/>
          <w:lang w:val="he-IL"/>
        </w:rPr>
        <w:t>נתניה</w:t>
      </w:r>
      <w:r w:rsidR="00621BD7">
        <w:rPr>
          <w:rFonts w:cs="FrankRuehl" w:hint="cs"/>
          <w:rtl/>
          <w:lang w:val="he-IL"/>
        </w:rPr>
        <w:t xml:space="preserve"> </w:t>
      </w:r>
      <w:r w:rsidR="00621BD7">
        <w:rPr>
          <w:rFonts w:cs="FrankRuehl"/>
          <w:rtl/>
          <w:lang w:val="he-IL"/>
        </w:rPr>
        <w:t>חוק עזר</w:t>
      </w:r>
      <w:r w:rsidR="00621BD7">
        <w:rPr>
          <w:rFonts w:cs="FrankRuehl" w:hint="cs"/>
          <w:rtl/>
          <w:lang w:val="he-IL"/>
        </w:rPr>
        <w:t xml:space="preserve"> זה:</w:t>
      </w:r>
    </w:p>
    <w:p w14:paraId="01E4FA25" w14:textId="77777777" w:rsidR="00621BD7" w:rsidRDefault="00621BD7">
      <w:pPr>
        <w:pStyle w:val="P00"/>
        <w:spacing w:before="72"/>
        <w:ind w:left="0" w:right="1134"/>
        <w:rPr>
          <w:rStyle w:val="default"/>
          <w:rFonts w:hint="cs"/>
          <w:rtl/>
        </w:rPr>
      </w:pPr>
      <w:bookmarkStart w:id="0" w:name="Seif1"/>
      <w:bookmarkEnd w:id="0"/>
      <w:r>
        <w:rPr>
          <w:lang w:val="he-IL"/>
        </w:rPr>
        <w:pict w14:anchorId="42CA5489">
          <v:rect id="_x0000_s1026" style="position:absolute;left:0;text-align:left;margin-left:464.5pt;margin-top:8.05pt;width:75.05pt;height:12.4pt;z-index:251646464" o:allowincell="f" filled="f" stroked="f" strokecolor="lime" strokeweight=".25pt">
            <v:textbox style="mso-next-textbox:#_x0000_s1026" inset="0,0,0,0">
              <w:txbxContent>
                <w:p w14:paraId="35D48E18" w14:textId="77777777" w:rsidR="00621BD7" w:rsidRDefault="00621BD7">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485D1869" w14:textId="77777777" w:rsidR="00621BD7" w:rsidRDefault="005E6016" w:rsidP="005E6016">
      <w:pPr>
        <w:pStyle w:val="P00"/>
        <w:spacing w:before="72"/>
        <w:ind w:left="0" w:right="1134"/>
        <w:rPr>
          <w:rFonts w:cs="FrankRuehl" w:hint="cs"/>
          <w:rtl/>
          <w:lang w:eastAsia="en-US"/>
        </w:rPr>
      </w:pPr>
      <w:r>
        <w:rPr>
          <w:rFonts w:cs="FrankRuehl" w:hint="cs"/>
          <w:rtl/>
          <w:lang w:eastAsia="en-US"/>
        </w:rPr>
        <w:pict w14:anchorId="6719EAC7">
          <v:rect id="_x0000_s1063" style="position:absolute;left:0;text-align:left;margin-left:464.35pt;margin-top:7.1pt;width:75.15pt;height:11.2pt;z-index:251655680" filled="f" stroked="f" strokecolor="lime" strokeweight=".25pt">
            <v:textbox style="mso-next-textbox:#_x0000_s1063" inset="0,0,0,0">
              <w:txbxContent>
                <w:p w14:paraId="67879B81" w14:textId="77777777" w:rsidR="00621BD7" w:rsidRDefault="00D63694" w:rsidP="00D63694">
                  <w:pPr>
                    <w:spacing w:line="160" w:lineRule="exact"/>
                    <w:jc w:val="left"/>
                    <w:rPr>
                      <w:rFonts w:cs="Miriam" w:hint="cs"/>
                      <w:sz w:val="18"/>
                      <w:szCs w:val="18"/>
                      <w:rtl/>
                    </w:rPr>
                  </w:pPr>
                  <w:r>
                    <w:rPr>
                      <w:rFonts w:cs="Miriam" w:hint="cs"/>
                      <w:sz w:val="18"/>
                      <w:szCs w:val="18"/>
                      <w:rtl/>
                    </w:rPr>
                    <w:t xml:space="preserve">תיקון </w:t>
                  </w:r>
                  <w:r w:rsidR="00621BD7">
                    <w:rPr>
                      <w:rFonts w:cs="Miriam" w:hint="cs"/>
                      <w:sz w:val="18"/>
                      <w:szCs w:val="18"/>
                      <w:rtl/>
                    </w:rPr>
                    <w:t>תשל"ה-1974</w:t>
                  </w:r>
                </w:p>
              </w:txbxContent>
            </v:textbox>
            <w10:anchorlock/>
          </v:rect>
        </w:pict>
      </w:r>
      <w:r w:rsidR="00621BD7">
        <w:rPr>
          <w:rFonts w:cs="FrankRuehl" w:hint="cs"/>
          <w:rtl/>
          <w:lang w:eastAsia="en-US"/>
        </w:rPr>
        <w:tab/>
        <w:t>"ביוב</w:t>
      </w:r>
      <w:r w:rsidR="00621BD7">
        <w:rPr>
          <w:rFonts w:cs="FrankRuehl"/>
          <w:rtl/>
          <w:lang w:eastAsia="en-US"/>
        </w:rPr>
        <w:t xml:space="preserve">" </w:t>
      </w:r>
      <w:r w:rsidR="00621BD7">
        <w:rPr>
          <w:rFonts w:cs="FrankRuehl" w:hint="cs"/>
          <w:rtl/>
          <w:lang w:eastAsia="en-US"/>
        </w:rPr>
        <w:t>–</w:t>
      </w:r>
      <w:r w:rsidR="00621BD7">
        <w:rPr>
          <w:rFonts w:cs="FrankRuehl"/>
          <w:rtl/>
          <w:lang w:eastAsia="en-US"/>
        </w:rPr>
        <w:t xml:space="preserve"> </w:t>
      </w:r>
      <w:r w:rsidR="00621BD7">
        <w:rPr>
          <w:rFonts w:cs="FrankRuehl" w:hint="cs"/>
          <w:rtl/>
          <w:lang w:eastAsia="en-US"/>
        </w:rPr>
        <w:t>ביב ציבורי או ביב מאסף</w:t>
      </w:r>
      <w:r>
        <w:rPr>
          <w:rFonts w:cs="FrankRuehl" w:hint="cs"/>
          <w:rtl/>
          <w:lang w:eastAsia="en-US"/>
        </w:rPr>
        <w:t>, ומכון טיהור שאינו מיועד לייצור מי שתיה ומתקנים אחרים;</w:t>
      </w:r>
    </w:p>
    <w:p w14:paraId="367E4C1D" w14:textId="77777777" w:rsidR="0055372A" w:rsidRDefault="00717799" w:rsidP="005E6016">
      <w:pPr>
        <w:pStyle w:val="P00"/>
        <w:spacing w:before="72"/>
        <w:ind w:left="0" w:right="1134"/>
        <w:rPr>
          <w:rFonts w:cs="FrankRuehl" w:hint="cs"/>
          <w:rtl/>
          <w:lang w:eastAsia="en-US"/>
        </w:rPr>
      </w:pPr>
      <w:r>
        <w:rPr>
          <w:rFonts w:cs="FrankRuehl" w:hint="cs"/>
          <w:rtl/>
          <w:lang w:eastAsia="en-US"/>
        </w:rPr>
        <w:pict w14:anchorId="6850BA6B">
          <v:shapetype id="_x0000_t202" coordsize="21600,21600" o:spt="202" path="m,l,21600r21600,l21600,xe">
            <v:stroke joinstyle="miter"/>
            <v:path gradientshapeok="t" o:connecttype="rect"/>
          </v:shapetype>
          <v:shape id="_x0000_s1099" type="#_x0000_t202" style="position:absolute;left:0;text-align:left;margin-left:470.25pt;margin-top:7.1pt;width:1in;height:16.8pt;z-index:251663872" filled="f" stroked="f">
            <v:textbox inset="1mm,0,1mm,0">
              <w:txbxContent>
                <w:p w14:paraId="45B1AAB9" w14:textId="77777777" w:rsidR="00717799" w:rsidRDefault="00717799" w:rsidP="00717799">
                  <w:pPr>
                    <w:spacing w:line="160" w:lineRule="exact"/>
                    <w:jc w:val="left"/>
                    <w:rPr>
                      <w:rFonts w:cs="Miriam" w:hint="cs"/>
                      <w:sz w:val="18"/>
                      <w:szCs w:val="18"/>
                      <w:rtl/>
                    </w:rPr>
                  </w:pPr>
                  <w:r>
                    <w:rPr>
                      <w:rFonts w:cs="Miriam" w:hint="cs"/>
                      <w:sz w:val="18"/>
                      <w:szCs w:val="18"/>
                      <w:rtl/>
                    </w:rPr>
                    <w:t>תיקון (מס' 2) תשמ"ח-1988</w:t>
                  </w:r>
                </w:p>
              </w:txbxContent>
            </v:textbox>
            <w10:anchorlock/>
          </v:shape>
        </w:pict>
      </w:r>
      <w:r w:rsidR="0055372A">
        <w:rPr>
          <w:rFonts w:cs="FrankRuehl" w:hint="cs"/>
          <w:rtl/>
          <w:lang w:eastAsia="en-US"/>
        </w:rPr>
        <w:tab/>
        <w:t>"שטח בנין" – הסכום במ"ר של שטחי כל הקומות שבו, לרבות קומת מרתף, קומת מסד, השטח הבנוי בקומת עמודים פולשת, קומה טכנית, מבני עזר, חניונים, עליות גג ומרפסות גג – למעט מדרגות חוץ, מדרגות גן, מקמרות, סטיוים, גשרים, עמודים ומעברים המהווים, בהתאם להיתר הבניה, את הכניסה הקובעת לבנין;</w:t>
      </w:r>
    </w:p>
    <w:p w14:paraId="263AC875" w14:textId="77777777" w:rsidR="0055372A" w:rsidRDefault="00717799" w:rsidP="005E6016">
      <w:pPr>
        <w:pStyle w:val="P00"/>
        <w:spacing w:before="72"/>
        <w:ind w:left="0" w:right="1134"/>
        <w:rPr>
          <w:rFonts w:cs="FrankRuehl" w:hint="cs"/>
          <w:rtl/>
          <w:lang w:eastAsia="en-US"/>
        </w:rPr>
      </w:pPr>
      <w:r>
        <w:rPr>
          <w:rFonts w:cs="FrankRuehl" w:hint="cs"/>
          <w:rtl/>
          <w:lang w:eastAsia="en-US"/>
        </w:rPr>
        <w:pict w14:anchorId="7C0C8AD0">
          <v:shape id="_x0000_s1100" type="#_x0000_t202" style="position:absolute;left:0;text-align:left;margin-left:470.25pt;margin-top:7.1pt;width:1in;height:16.8pt;z-index:251664896" filled="f" stroked="f">
            <v:textbox inset="1mm,0,1mm,0">
              <w:txbxContent>
                <w:p w14:paraId="0A0DDCE3" w14:textId="77777777" w:rsidR="00717799" w:rsidRDefault="00717799" w:rsidP="00717799">
                  <w:pPr>
                    <w:spacing w:line="160" w:lineRule="exact"/>
                    <w:jc w:val="left"/>
                    <w:rPr>
                      <w:rFonts w:cs="Miriam" w:hint="cs"/>
                      <w:sz w:val="18"/>
                      <w:szCs w:val="18"/>
                      <w:rtl/>
                    </w:rPr>
                  </w:pPr>
                  <w:r>
                    <w:rPr>
                      <w:rFonts w:cs="Miriam" w:hint="cs"/>
                      <w:sz w:val="18"/>
                      <w:szCs w:val="18"/>
                      <w:rtl/>
                    </w:rPr>
                    <w:t>תיקון (מס' 2) תשמ"ח-1988</w:t>
                  </w:r>
                </w:p>
              </w:txbxContent>
            </v:textbox>
            <w10:anchorlock/>
          </v:shape>
        </w:pict>
      </w:r>
      <w:r w:rsidR="0055372A">
        <w:rPr>
          <w:rFonts w:cs="FrankRuehl" w:hint="cs"/>
          <w:rtl/>
          <w:lang w:eastAsia="en-US"/>
        </w:rPr>
        <w:tab/>
        <w:t>"מרתף", "קומת מסד", "קומת עמודים מפולשת", "עלית גג", "מדרגות חוץ", "מדרגות גן", "מקמרות", "סטיוים", "גשרים", "עמודים" – כמשמעותם בתוספת השלישית לתקנות התכנון והבניה (בקשה להיתר, תנאיו ואגרות), התש"ל-1970;</w:t>
      </w:r>
    </w:p>
    <w:p w14:paraId="3828F4C4" w14:textId="77777777" w:rsidR="0055372A" w:rsidRDefault="00717799" w:rsidP="005E6016">
      <w:pPr>
        <w:pStyle w:val="P00"/>
        <w:spacing w:before="72"/>
        <w:ind w:left="0" w:right="1134"/>
        <w:rPr>
          <w:rFonts w:cs="FrankRuehl" w:hint="cs"/>
          <w:rtl/>
          <w:lang w:eastAsia="en-US"/>
        </w:rPr>
      </w:pPr>
      <w:r>
        <w:rPr>
          <w:rFonts w:cs="FrankRuehl" w:hint="cs"/>
          <w:rtl/>
          <w:lang w:eastAsia="en-US"/>
        </w:rPr>
        <w:pict w14:anchorId="083635A4">
          <v:shape id="_x0000_s1101" type="#_x0000_t202" style="position:absolute;left:0;text-align:left;margin-left:470.25pt;margin-top:7.15pt;width:1in;height:16.8pt;z-index:251665920" filled="f" stroked="f">
            <v:textbox inset="1mm,0,1mm,0">
              <w:txbxContent>
                <w:p w14:paraId="7647ECF0" w14:textId="77777777" w:rsidR="00717799" w:rsidRDefault="00717799" w:rsidP="00717799">
                  <w:pPr>
                    <w:spacing w:line="160" w:lineRule="exact"/>
                    <w:jc w:val="left"/>
                    <w:rPr>
                      <w:rFonts w:cs="Miriam" w:hint="cs"/>
                      <w:sz w:val="18"/>
                      <w:szCs w:val="18"/>
                      <w:rtl/>
                    </w:rPr>
                  </w:pPr>
                  <w:r>
                    <w:rPr>
                      <w:rFonts w:cs="Miriam" w:hint="cs"/>
                      <w:sz w:val="18"/>
                      <w:szCs w:val="18"/>
                      <w:rtl/>
                    </w:rPr>
                    <w:t>תיקון (מס' 2) תשמ"ח-1988</w:t>
                  </w:r>
                </w:p>
              </w:txbxContent>
            </v:textbox>
            <w10:anchorlock/>
          </v:shape>
        </w:pict>
      </w:r>
      <w:r w:rsidR="0055372A">
        <w:rPr>
          <w:rFonts w:cs="FrankRuehl" w:hint="cs"/>
          <w:rtl/>
          <w:lang w:eastAsia="en-US"/>
        </w:rPr>
        <w:tab/>
        <w:t>"קומה" – חלל המשתרע בין שתי רצפות סמוכות הנמצאות זו מעל זו;</w:t>
      </w:r>
    </w:p>
    <w:p w14:paraId="1642C8E4" w14:textId="77777777" w:rsidR="0055372A" w:rsidRDefault="00717799" w:rsidP="005E6016">
      <w:pPr>
        <w:pStyle w:val="P00"/>
        <w:spacing w:before="72"/>
        <w:ind w:left="0" w:right="1134"/>
        <w:rPr>
          <w:rFonts w:cs="FrankRuehl" w:hint="cs"/>
          <w:rtl/>
          <w:lang w:eastAsia="en-US"/>
        </w:rPr>
      </w:pPr>
      <w:r>
        <w:rPr>
          <w:rFonts w:cs="FrankRuehl" w:hint="cs"/>
          <w:rtl/>
          <w:lang w:eastAsia="en-US"/>
        </w:rPr>
        <w:pict w14:anchorId="22B49398">
          <v:shape id="_x0000_s1102" type="#_x0000_t202" style="position:absolute;left:0;text-align:left;margin-left:470.25pt;margin-top:7.1pt;width:1in;height:16.8pt;z-index:251666944" filled="f" stroked="f">
            <v:textbox inset="1mm,0,1mm,0">
              <w:txbxContent>
                <w:p w14:paraId="7FEEFAE7" w14:textId="77777777" w:rsidR="00717799" w:rsidRDefault="00717799" w:rsidP="00717799">
                  <w:pPr>
                    <w:spacing w:line="160" w:lineRule="exact"/>
                    <w:jc w:val="left"/>
                    <w:rPr>
                      <w:rFonts w:cs="Miriam" w:hint="cs"/>
                      <w:sz w:val="18"/>
                      <w:szCs w:val="18"/>
                      <w:rtl/>
                    </w:rPr>
                  </w:pPr>
                  <w:r>
                    <w:rPr>
                      <w:rFonts w:cs="Miriam" w:hint="cs"/>
                      <w:sz w:val="18"/>
                      <w:szCs w:val="18"/>
                      <w:rtl/>
                    </w:rPr>
                    <w:t>תיקון (מס' 2) תשמ"ח-1988</w:t>
                  </w:r>
                </w:p>
              </w:txbxContent>
            </v:textbox>
            <w10:anchorlock/>
          </v:shape>
        </w:pict>
      </w:r>
      <w:r w:rsidR="0055372A">
        <w:rPr>
          <w:rFonts w:cs="FrankRuehl" w:hint="cs"/>
          <w:rtl/>
          <w:lang w:eastAsia="en-US"/>
        </w:rPr>
        <w:tab/>
        <w:t>"מבנה עזר" – בנין שנבנה ליד הבנין העיקרי או בחלק ממנו או במרתפו או בקומת העמודים המפולשת שלו או באחת מקומותיו או על גגו.</w:t>
      </w:r>
    </w:p>
    <w:p w14:paraId="1B218376" w14:textId="77777777" w:rsidR="0055372A" w:rsidRDefault="00717799" w:rsidP="005E6016">
      <w:pPr>
        <w:pStyle w:val="P00"/>
        <w:spacing w:before="72"/>
        <w:ind w:left="0" w:right="1134"/>
        <w:rPr>
          <w:rFonts w:cs="FrankRuehl" w:hint="cs"/>
          <w:rtl/>
          <w:lang w:eastAsia="en-US"/>
        </w:rPr>
      </w:pPr>
      <w:r>
        <w:rPr>
          <w:rFonts w:cs="FrankRuehl" w:hint="cs"/>
          <w:rtl/>
          <w:lang w:eastAsia="en-US"/>
        </w:rPr>
        <w:pict w14:anchorId="048EFED8">
          <v:shape id="_x0000_s1103" type="#_x0000_t202" style="position:absolute;left:0;text-align:left;margin-left:470.25pt;margin-top:7.1pt;width:1in;height:16.8pt;z-index:251667968" filled="f" stroked="f">
            <v:textbox inset="1mm,0,1mm,0">
              <w:txbxContent>
                <w:p w14:paraId="132E1A35" w14:textId="77777777" w:rsidR="00717799" w:rsidRDefault="00717799" w:rsidP="00717799">
                  <w:pPr>
                    <w:spacing w:line="160" w:lineRule="exact"/>
                    <w:jc w:val="left"/>
                    <w:rPr>
                      <w:rFonts w:cs="Miriam" w:hint="cs"/>
                      <w:sz w:val="18"/>
                      <w:szCs w:val="18"/>
                      <w:rtl/>
                    </w:rPr>
                  </w:pPr>
                  <w:r>
                    <w:rPr>
                      <w:rFonts w:cs="Miriam" w:hint="cs"/>
                      <w:sz w:val="18"/>
                      <w:szCs w:val="18"/>
                      <w:rtl/>
                    </w:rPr>
                    <w:t>תיקון (מס' 2) תשמ"ח-1988</w:t>
                  </w:r>
                </w:p>
              </w:txbxContent>
            </v:textbox>
            <w10:anchorlock/>
          </v:shape>
        </w:pict>
      </w:r>
      <w:r w:rsidR="0055372A">
        <w:rPr>
          <w:rFonts w:cs="FrankRuehl" w:hint="cs"/>
          <w:rtl/>
          <w:lang w:eastAsia="en-US"/>
        </w:rPr>
        <w:tab/>
        <w:t>"חניון" – בנין או חלק מבנין המיועד כולו לניית כלי רכב;</w:t>
      </w:r>
    </w:p>
    <w:p w14:paraId="6FBCF4EB" w14:textId="77777777" w:rsidR="0071219F" w:rsidRDefault="00717799" w:rsidP="0055372A">
      <w:pPr>
        <w:pStyle w:val="P00"/>
        <w:spacing w:before="72"/>
        <w:ind w:left="0" w:right="1134"/>
        <w:rPr>
          <w:rFonts w:cs="FrankRuehl" w:hint="cs"/>
          <w:rtl/>
          <w:lang w:eastAsia="en-US"/>
        </w:rPr>
      </w:pPr>
      <w:r>
        <w:rPr>
          <w:rFonts w:cs="FrankRuehl" w:hint="cs"/>
          <w:rtl/>
          <w:lang w:eastAsia="en-US"/>
        </w:rPr>
        <w:pict w14:anchorId="7CD36906">
          <v:shape id="_x0000_s1098" type="#_x0000_t202" style="position:absolute;left:0;text-align:left;margin-left:470.25pt;margin-top:7.1pt;width:1in;height:15.65pt;z-index:251662848" filled="f" stroked="f">
            <v:textbox inset="1mm,0,1mm,0">
              <w:txbxContent>
                <w:p w14:paraId="48CB9D1C" w14:textId="77777777" w:rsidR="00717799" w:rsidRDefault="00717799" w:rsidP="00717799">
                  <w:pPr>
                    <w:spacing w:line="160" w:lineRule="exact"/>
                    <w:jc w:val="left"/>
                    <w:rPr>
                      <w:rFonts w:cs="Miriam" w:hint="cs"/>
                      <w:sz w:val="18"/>
                      <w:szCs w:val="18"/>
                      <w:rtl/>
                    </w:rPr>
                  </w:pPr>
                  <w:r>
                    <w:rPr>
                      <w:rFonts w:cs="Miriam" w:hint="cs"/>
                      <w:sz w:val="18"/>
                      <w:szCs w:val="18"/>
                      <w:rtl/>
                    </w:rPr>
                    <w:t>תיקון (מס' 2) תשמ"ח-1988</w:t>
                  </w:r>
                </w:p>
              </w:txbxContent>
            </v:textbox>
            <w10:anchorlock/>
          </v:shape>
        </w:pict>
      </w:r>
      <w:r w:rsidR="00621BD7">
        <w:rPr>
          <w:rFonts w:cs="FrankRuehl" w:hint="cs"/>
          <w:rtl/>
          <w:lang w:eastAsia="en-US"/>
        </w:rPr>
        <w:tab/>
      </w:r>
      <w:r w:rsidR="0071219F">
        <w:rPr>
          <w:rFonts w:cs="FrankRuehl" w:hint="cs"/>
          <w:rtl/>
          <w:lang w:eastAsia="en-US"/>
        </w:rPr>
        <w:t xml:space="preserve">"מ"ר של בניה" – </w:t>
      </w:r>
      <w:r w:rsidR="0055372A">
        <w:rPr>
          <w:rFonts w:cs="FrankRuehl" w:hint="cs"/>
          <w:rtl/>
          <w:lang w:eastAsia="en-US"/>
        </w:rPr>
        <w:t>(נמחקה)</w:t>
      </w:r>
      <w:r w:rsidR="0071219F">
        <w:rPr>
          <w:rFonts w:cs="FrankRuehl" w:hint="cs"/>
          <w:rtl/>
          <w:lang w:eastAsia="en-US"/>
        </w:rPr>
        <w:t>;</w:t>
      </w:r>
    </w:p>
    <w:p w14:paraId="3F0CDE45" w14:textId="77777777" w:rsidR="00621BD7" w:rsidRDefault="00621BD7" w:rsidP="007121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w:t>
      </w:r>
      <w:r>
        <w:rPr>
          <w:rFonts w:cs="FrankRuehl" w:hint="cs"/>
          <w:rtl/>
          <w:lang w:eastAsia="en-US"/>
        </w:rPr>
        <w:t xml:space="preserve">עירית </w:t>
      </w:r>
      <w:r w:rsidR="0071219F">
        <w:rPr>
          <w:rFonts w:cs="FrankRuehl" w:hint="cs"/>
          <w:rtl/>
          <w:lang w:eastAsia="en-US"/>
        </w:rPr>
        <w:t>נתניה</w:t>
      </w:r>
      <w:r>
        <w:rPr>
          <w:rFonts w:cs="FrankRuehl"/>
          <w:rtl/>
          <w:lang w:eastAsia="en-US"/>
        </w:rPr>
        <w:t>;</w:t>
      </w:r>
    </w:p>
    <w:p w14:paraId="6BB7E37E" w14:textId="77777777" w:rsidR="0071219F" w:rsidRDefault="0071219F" w:rsidP="0071219F">
      <w:pPr>
        <w:pStyle w:val="P00"/>
        <w:spacing w:before="72"/>
        <w:ind w:left="0" w:right="1134"/>
        <w:rPr>
          <w:rFonts w:cs="FrankRuehl" w:hint="cs"/>
          <w:rtl/>
          <w:lang w:eastAsia="en-US"/>
        </w:rPr>
      </w:pPr>
      <w:r>
        <w:rPr>
          <w:rFonts w:cs="FrankRuehl" w:hint="cs"/>
          <w:rtl/>
          <w:lang w:eastAsia="en-US"/>
        </w:rPr>
        <w:lastRenderedPageBreak/>
        <w:tab/>
        <w:t>"ראש העיריה" – לרבות מי שהוסמך על ידיו לענין חוק עזר זה;</w:t>
      </w:r>
    </w:p>
    <w:p w14:paraId="089F3E3B" w14:textId="77777777" w:rsidR="0071219F" w:rsidRDefault="0071219F" w:rsidP="0071219F">
      <w:pPr>
        <w:pStyle w:val="P00"/>
        <w:spacing w:before="72"/>
        <w:ind w:left="0" w:right="1134"/>
        <w:rPr>
          <w:rFonts w:cs="FrankRuehl" w:hint="cs"/>
          <w:rtl/>
          <w:lang w:eastAsia="en-US"/>
        </w:rPr>
      </w:pPr>
      <w:r>
        <w:rPr>
          <w:rFonts w:cs="FrankRuehl" w:hint="cs"/>
          <w:rtl/>
          <w:lang w:eastAsia="en-US"/>
        </w:rPr>
        <w:tab/>
        <w:t>"היטל ביוב" – היטל המוטל לשם כיסוי הוצאות של התקנת ביוב או קנייתו כאמור בסעיף 17 לחוק;</w:t>
      </w:r>
    </w:p>
    <w:p w14:paraId="60230ECF" w14:textId="77777777" w:rsidR="00210CFD" w:rsidRDefault="00210CFD" w:rsidP="0071219F">
      <w:pPr>
        <w:pStyle w:val="P00"/>
        <w:spacing w:before="72"/>
        <w:ind w:left="0" w:right="1134"/>
        <w:rPr>
          <w:rFonts w:cs="FrankRuehl" w:hint="cs"/>
          <w:rtl/>
          <w:lang w:eastAsia="en-US"/>
        </w:rPr>
      </w:pPr>
      <w:r>
        <w:rPr>
          <w:rFonts w:cs="FrankRuehl" w:hint="cs"/>
          <w:rtl/>
          <w:lang w:eastAsia="en-US"/>
        </w:rPr>
        <w:pict w14:anchorId="55711319">
          <v:rect id="_x0000_s1065" style="position:absolute;left:0;text-align:left;margin-left:464.35pt;margin-top:7.1pt;width:75.05pt;height:16.8pt;z-index:251656704" filled="f" stroked="f" strokecolor="lime" strokeweight=".25pt">
            <v:textbox style="mso-next-textbox:#_x0000_s1065" inset="0,0,0,0">
              <w:txbxContent>
                <w:p w14:paraId="3CB23F64" w14:textId="77777777" w:rsidR="00621BD7" w:rsidRDefault="00717799" w:rsidP="00717799">
                  <w:pPr>
                    <w:spacing w:line="160" w:lineRule="exact"/>
                    <w:jc w:val="left"/>
                    <w:rPr>
                      <w:rFonts w:cs="Miriam" w:hint="cs"/>
                      <w:sz w:val="18"/>
                      <w:szCs w:val="18"/>
                      <w:rtl/>
                    </w:rPr>
                  </w:pPr>
                  <w:r>
                    <w:rPr>
                      <w:rFonts w:cs="Miriam" w:hint="cs"/>
                      <w:sz w:val="18"/>
                      <w:szCs w:val="18"/>
                      <w:rtl/>
                    </w:rPr>
                    <w:t>תיקון ת</w:t>
                  </w:r>
                  <w:r w:rsidR="00621BD7">
                    <w:rPr>
                      <w:rFonts w:cs="Miriam" w:hint="cs"/>
                      <w:sz w:val="18"/>
                      <w:szCs w:val="18"/>
                      <w:rtl/>
                    </w:rPr>
                    <w:t>שמ"ח-1987</w:t>
                  </w:r>
                </w:p>
              </w:txbxContent>
            </v:textbox>
            <w10:anchorlock/>
          </v:rect>
        </w:pict>
      </w:r>
      <w:r>
        <w:rPr>
          <w:rFonts w:cs="FrankRuehl" w:hint="cs"/>
          <w:rtl/>
          <w:lang w:eastAsia="en-US"/>
        </w:rPr>
        <w:tab/>
        <w:t>"תוספת מפעל" – תוספת להיטל הביוב המוטלת לשם כיסוי הוצאות היתר הנגרמות בהתקנת הביוב כאמור בסעיף 19 לחוק;</w:t>
      </w:r>
    </w:p>
    <w:p w14:paraId="3BFC0FF0" w14:textId="77777777" w:rsidR="0071219F" w:rsidRDefault="0071219F" w:rsidP="0071219F">
      <w:pPr>
        <w:pStyle w:val="P00"/>
        <w:spacing w:before="72"/>
        <w:ind w:left="0" w:right="1134"/>
        <w:rPr>
          <w:rFonts w:cs="FrankRuehl" w:hint="cs"/>
          <w:rtl/>
          <w:lang w:eastAsia="en-US"/>
        </w:rPr>
      </w:pPr>
      <w:r>
        <w:rPr>
          <w:rFonts w:cs="FrankRuehl" w:hint="cs"/>
          <w:rtl/>
          <w:lang w:eastAsia="en-US"/>
        </w:rPr>
        <w:tab/>
        <w:t>"נכס" – בנין או קרקע בתחום העיריה, למעט רחוב.</w:t>
      </w:r>
    </w:p>
    <w:p w14:paraId="4FFC43E0" w14:textId="77777777" w:rsidR="00621BD7" w:rsidRDefault="00621BD7" w:rsidP="0071219F">
      <w:pPr>
        <w:pStyle w:val="P00"/>
        <w:spacing w:before="72"/>
        <w:ind w:left="0" w:right="1134"/>
        <w:rPr>
          <w:rFonts w:cs="FrankRuehl" w:hint="cs"/>
          <w:rtl/>
          <w:lang w:val="he-IL"/>
        </w:rPr>
      </w:pPr>
      <w:bookmarkStart w:id="1" w:name="Seif2"/>
      <w:bookmarkStart w:id="2" w:name="Seif10"/>
      <w:bookmarkEnd w:id="1"/>
      <w:bookmarkEnd w:id="2"/>
      <w:r>
        <w:rPr>
          <w:lang w:val="he-IL"/>
        </w:rPr>
        <w:pict w14:anchorId="6DF6931A">
          <v:rect id="_x0000_s1027" style="position:absolute;left:0;text-align:left;margin-left:464.5pt;margin-top:8.05pt;width:75.05pt;height:17.9pt;z-index:251647488" o:allowincell="f" filled="f" stroked="f" strokecolor="lime" strokeweight=".25pt">
            <v:textbox style="mso-next-textbox:#_x0000_s1027" inset="0,0,0,0">
              <w:txbxContent>
                <w:p w14:paraId="0370AB3F" w14:textId="77777777" w:rsidR="00621BD7" w:rsidRDefault="00621BD7">
                  <w:pPr>
                    <w:spacing w:line="160" w:lineRule="exact"/>
                    <w:jc w:val="left"/>
                    <w:rPr>
                      <w:rFonts w:cs="Miriam" w:hint="cs"/>
                      <w:sz w:val="18"/>
                      <w:szCs w:val="18"/>
                      <w:rtl/>
                    </w:rPr>
                  </w:pPr>
                  <w:r>
                    <w:rPr>
                      <w:rFonts w:cs="Miriam" w:hint="cs"/>
                      <w:sz w:val="18"/>
                      <w:szCs w:val="18"/>
                      <w:rtl/>
                    </w:rPr>
                    <w:t>היטל ביוב</w:t>
                  </w:r>
                </w:p>
                <w:p w14:paraId="14664337" w14:textId="77777777" w:rsidR="00717799" w:rsidRDefault="00717799">
                  <w:pPr>
                    <w:spacing w:line="160" w:lineRule="exact"/>
                    <w:jc w:val="left"/>
                    <w:rPr>
                      <w:rFonts w:cs="Miriam" w:hint="cs"/>
                      <w:sz w:val="18"/>
                      <w:szCs w:val="18"/>
                      <w:rtl/>
                    </w:rPr>
                  </w:pPr>
                  <w:r>
                    <w:rPr>
                      <w:rFonts w:cs="Miriam" w:hint="cs"/>
                      <w:sz w:val="18"/>
                      <w:szCs w:val="18"/>
                      <w:rtl/>
                    </w:rPr>
                    <w:t>תיקון תשל"ה-1974</w:t>
                  </w:r>
                </w:p>
              </w:txbxContent>
            </v:textbox>
            <w10:anchorlock/>
          </v:rect>
        </w:pict>
      </w:r>
      <w:r>
        <w:rPr>
          <w:rStyle w:val="big-number"/>
          <w:rFonts w:cs="Miriam"/>
          <w:rtl/>
        </w:rPr>
        <w:t>2.</w:t>
      </w:r>
      <w:r>
        <w:rPr>
          <w:rStyle w:val="big-number"/>
          <w:rFonts w:cs="Miriam"/>
          <w:rtl/>
        </w:rPr>
        <w:tab/>
      </w:r>
      <w:r w:rsidR="0071219F">
        <w:rPr>
          <w:rFonts w:cs="FrankRuehl" w:hint="cs"/>
          <w:rtl/>
          <w:lang w:eastAsia="en-US"/>
        </w:rPr>
        <w:t>בעלי כל נכס שנמסרה להם הודעה כדין על התקנתו או קנייתו של ביוב שישמש אותו נכס, חייבים בהיטל ביוב בשיעורים שנקבעו בתוספת לכל שלב כאמור בסעיף 16 לחוק</w:t>
      </w:r>
      <w:r>
        <w:rPr>
          <w:rFonts w:cs="FrankRuehl"/>
          <w:rtl/>
          <w:lang w:val="he-IL"/>
        </w:rPr>
        <w:t xml:space="preserve">. </w:t>
      </w:r>
      <w:r w:rsidR="005E6016">
        <w:rPr>
          <w:rFonts w:cs="FrankRuehl" w:hint="cs"/>
          <w:rtl/>
          <w:lang w:val="he-IL"/>
        </w:rPr>
        <w:t>ואולם אם הותקן או נקנה הביוב שלבים שלבים, רשאית העיריה לגבות מכל אחד מבעלי כל נכס, מיד עם השלמת כל שלב, את ההיטל בעד אותו שלב או השלבים שהושלמו לפניו בשיעור שנקבע בתוספת לכל שלב כאמור בסעיף 16 לחוק.</w:t>
      </w:r>
    </w:p>
    <w:p w14:paraId="1BC4D27A" w14:textId="77777777" w:rsidR="00210CFD" w:rsidRDefault="00210CFD" w:rsidP="00210CFD">
      <w:pPr>
        <w:pStyle w:val="P00"/>
        <w:spacing w:before="72"/>
        <w:ind w:left="0" w:right="1134"/>
        <w:rPr>
          <w:rStyle w:val="default"/>
          <w:rFonts w:hint="cs"/>
          <w:rtl/>
        </w:rPr>
      </w:pPr>
      <w:bookmarkStart w:id="3" w:name="Seif11"/>
      <w:bookmarkStart w:id="4" w:name="Seif12"/>
      <w:bookmarkEnd w:id="3"/>
      <w:bookmarkEnd w:id="4"/>
      <w:r>
        <w:rPr>
          <w:lang w:val="he-IL"/>
        </w:rPr>
        <w:pict w14:anchorId="2776314D">
          <v:rect id="_x0000_s1066" style="position:absolute;left:0;text-align:left;margin-left:464.5pt;margin-top:8.05pt;width:75.05pt;height:20.8pt;z-index:251657728" o:allowincell="f" filled="f" stroked="f" strokecolor="lime" strokeweight=".25pt">
            <v:textbox style="mso-next-textbox:#_x0000_s1066" inset="0,0,0,0">
              <w:txbxContent>
                <w:p w14:paraId="4CC9806C" w14:textId="77777777" w:rsidR="00621BD7" w:rsidRDefault="00621BD7" w:rsidP="00210CFD">
                  <w:pPr>
                    <w:spacing w:line="160" w:lineRule="exact"/>
                    <w:jc w:val="left"/>
                    <w:rPr>
                      <w:rFonts w:cs="Miriam" w:hint="cs"/>
                      <w:sz w:val="18"/>
                      <w:szCs w:val="18"/>
                      <w:rtl/>
                    </w:rPr>
                  </w:pPr>
                  <w:r>
                    <w:rPr>
                      <w:rFonts w:cs="Miriam" w:hint="cs"/>
                      <w:sz w:val="18"/>
                      <w:szCs w:val="18"/>
                      <w:rtl/>
                    </w:rPr>
                    <w:t>תוספת מפעל</w:t>
                  </w:r>
                </w:p>
                <w:p w14:paraId="6950944F" w14:textId="77777777" w:rsidR="000C7AA8" w:rsidRDefault="000C7AA8" w:rsidP="00210CFD">
                  <w:pPr>
                    <w:spacing w:line="160" w:lineRule="exact"/>
                    <w:jc w:val="left"/>
                    <w:rPr>
                      <w:rFonts w:cs="Miriam" w:hint="cs"/>
                      <w:noProof/>
                      <w:sz w:val="18"/>
                      <w:szCs w:val="18"/>
                      <w:rtl/>
                    </w:rPr>
                  </w:pPr>
                  <w:r>
                    <w:rPr>
                      <w:rFonts w:cs="Miriam" w:hint="cs"/>
                      <w:sz w:val="18"/>
                      <w:szCs w:val="18"/>
                      <w:rtl/>
                    </w:rPr>
                    <w:t>תיקון תשמ"ח-1987</w:t>
                  </w:r>
                </w:p>
              </w:txbxContent>
            </v:textbox>
            <w10:anchorlock/>
          </v:rect>
        </w:pict>
      </w:r>
      <w:r>
        <w:rPr>
          <w:rStyle w:val="big-number"/>
          <w:rFonts w:cs="Miriam" w:hint="cs"/>
          <w:rtl/>
        </w:rPr>
        <w:t>2</w:t>
      </w:r>
      <w:r w:rsidRPr="00210CFD">
        <w:rPr>
          <w:rStyle w:val="big-number"/>
          <w:rFonts w:ascii="Times New Roman" w:hAnsi="Times New Roman" w:hint="cs"/>
          <w:sz w:val="20"/>
          <w:szCs w:val="24"/>
          <w:rtl/>
        </w:rPr>
        <w:t>א</w:t>
      </w:r>
      <w:r>
        <w:rPr>
          <w:rStyle w:val="big-number"/>
          <w:rFonts w:cs="Miriam"/>
          <w:rtl/>
        </w:rPr>
        <w:t>.</w:t>
      </w:r>
      <w:r>
        <w:rPr>
          <w:rStyle w:val="big-number"/>
          <w:rFonts w:cs="Miriam"/>
          <w:rtl/>
        </w:rPr>
        <w:tab/>
      </w:r>
      <w:r>
        <w:rPr>
          <w:rStyle w:val="default"/>
          <w:rFonts w:hint="cs"/>
          <w:rtl/>
        </w:rPr>
        <w:t>בקרקע שנשפכים ממנה וממבניה לפחות 4 מטרים עוקבים של שפכים ליממה לדונם לפחות או ריכוז צריכת חמצן ביולוגית (להלן – צח"ב) בשפכים הוא לפחות 250 למיליגרם אחד לליטר מים (להלן – מג"ל), ישלם בעל הנכס, בנוסף להיטל הביוב, תוספת מפעל כפי שתטיל הועדה שתמנה העיריה בהתאם לסעיף 19 לחוק וכמפורט בתוספת השניה, ובלבד שלא תוטל תוספת מפעל על נכס או חלק ממנו המשמש למגורים או למשרד.</w:t>
      </w:r>
    </w:p>
    <w:p w14:paraId="68CB4D96" w14:textId="77777777" w:rsidR="0071219F" w:rsidRDefault="00621BD7" w:rsidP="0055372A">
      <w:pPr>
        <w:pStyle w:val="P00"/>
        <w:spacing w:before="72"/>
        <w:ind w:left="0" w:right="1134"/>
        <w:rPr>
          <w:rStyle w:val="default"/>
          <w:rFonts w:hint="cs"/>
          <w:rtl/>
        </w:rPr>
      </w:pPr>
      <w:bookmarkStart w:id="5" w:name="Seif3"/>
      <w:bookmarkStart w:id="6" w:name="Seif14"/>
      <w:bookmarkEnd w:id="5"/>
      <w:bookmarkEnd w:id="6"/>
      <w:r>
        <w:rPr>
          <w:lang w:val="he-IL"/>
        </w:rPr>
        <w:pict w14:anchorId="7C4E1D54">
          <v:rect id="_x0000_s1030" style="position:absolute;left:0;text-align:left;margin-left:464.5pt;margin-top:8.05pt;width:75.05pt;height:27.3pt;z-index:251648512" o:allowincell="f" filled="f" stroked="f" strokecolor="lime" strokeweight=".25pt">
            <v:textbox style="mso-next-textbox:#_x0000_s1030" inset="0,0,0,0">
              <w:txbxContent>
                <w:p w14:paraId="65B58BE3" w14:textId="77777777" w:rsidR="00621BD7" w:rsidRDefault="00621BD7">
                  <w:pPr>
                    <w:spacing w:line="160" w:lineRule="exact"/>
                    <w:jc w:val="left"/>
                    <w:rPr>
                      <w:rFonts w:cs="Miriam" w:hint="cs"/>
                      <w:sz w:val="18"/>
                      <w:szCs w:val="18"/>
                      <w:rtl/>
                    </w:rPr>
                  </w:pPr>
                  <w:r>
                    <w:rPr>
                      <w:rFonts w:cs="Miriam" w:hint="cs"/>
                      <w:sz w:val="18"/>
                      <w:szCs w:val="18"/>
                      <w:rtl/>
                    </w:rPr>
                    <w:t>בניה נוספת</w:t>
                  </w:r>
                </w:p>
                <w:p w14:paraId="00C47715" w14:textId="77777777" w:rsidR="000C7AA8" w:rsidRDefault="000C7AA8">
                  <w:pPr>
                    <w:spacing w:line="160" w:lineRule="exact"/>
                    <w:jc w:val="left"/>
                    <w:rPr>
                      <w:rFonts w:cs="Miriam" w:hint="cs"/>
                      <w:noProof/>
                      <w:sz w:val="18"/>
                      <w:szCs w:val="18"/>
                      <w:rtl/>
                    </w:rPr>
                  </w:pPr>
                  <w:r>
                    <w:rPr>
                      <w:rFonts w:cs="Miriam" w:hint="cs"/>
                      <w:sz w:val="18"/>
                      <w:szCs w:val="18"/>
                      <w:rtl/>
                    </w:rPr>
                    <w:t>תיקון (מס' 2) תשמ"ח-1988</w:t>
                  </w:r>
                </w:p>
              </w:txbxContent>
            </v:textbox>
            <w10:anchorlock/>
          </v:rect>
        </w:pict>
      </w:r>
      <w:r>
        <w:rPr>
          <w:rStyle w:val="big-number"/>
          <w:rFonts w:cs="Miriam" w:hint="cs"/>
          <w:rtl/>
        </w:rPr>
        <w:t>3</w:t>
      </w:r>
      <w:r>
        <w:rPr>
          <w:rStyle w:val="big-number"/>
          <w:rFonts w:cs="Miriam"/>
          <w:rtl/>
        </w:rPr>
        <w:t>.</w:t>
      </w:r>
      <w:r>
        <w:rPr>
          <w:rStyle w:val="big-number"/>
          <w:rFonts w:cs="Miriam"/>
          <w:rtl/>
        </w:rPr>
        <w:tab/>
      </w:r>
      <w:r w:rsidR="0071219F">
        <w:rPr>
          <w:rStyle w:val="default"/>
          <w:rFonts w:hint="cs"/>
          <w:rtl/>
        </w:rPr>
        <w:t xml:space="preserve">נוספה בניה לנכס אחרי מסירת הודעה כאמור בסעיף 2 חייב בעליו בהיטל ביוב לכל </w:t>
      </w:r>
      <w:r w:rsidR="0055372A">
        <w:rPr>
          <w:rStyle w:val="default"/>
          <w:rFonts w:hint="cs"/>
          <w:rtl/>
        </w:rPr>
        <w:t>שטח בנין שהתווסף</w:t>
      </w:r>
      <w:r w:rsidR="0071219F">
        <w:rPr>
          <w:rStyle w:val="default"/>
          <w:rFonts w:hint="cs"/>
          <w:rtl/>
        </w:rPr>
        <w:t xml:space="preserve"> בשיעורים שנקבעו בתוספת.</w:t>
      </w:r>
    </w:p>
    <w:p w14:paraId="5A6C6754" w14:textId="77777777" w:rsidR="007A61D6" w:rsidRDefault="0071219F" w:rsidP="0071219F">
      <w:pPr>
        <w:pStyle w:val="P00"/>
        <w:spacing w:before="72"/>
        <w:ind w:left="0" w:right="1134"/>
        <w:rPr>
          <w:rStyle w:val="default"/>
          <w:rFonts w:hint="cs"/>
          <w:rtl/>
        </w:rPr>
      </w:pPr>
      <w:bookmarkStart w:id="7" w:name="Seif5"/>
      <w:bookmarkEnd w:id="7"/>
      <w:r>
        <w:rPr>
          <w:lang w:val="he-IL"/>
        </w:rPr>
        <w:pict w14:anchorId="5BC80EDC">
          <v:rect id="_x0000_s1057" style="position:absolute;left:0;text-align:left;margin-left:464.5pt;margin-top:8.05pt;width:75.05pt;height:22.35pt;z-index:251650560" o:allowincell="f" filled="f" stroked="f" strokecolor="lime" strokeweight=".25pt">
            <v:textbox style="mso-next-textbox:#_x0000_s1057" inset="0,0,0,0">
              <w:txbxContent>
                <w:p w14:paraId="3AB4AF82" w14:textId="77777777" w:rsidR="00621BD7" w:rsidRDefault="00621BD7" w:rsidP="000C7AA8">
                  <w:pPr>
                    <w:spacing w:line="160" w:lineRule="exact"/>
                    <w:jc w:val="left"/>
                    <w:rPr>
                      <w:rFonts w:cs="Miriam" w:hint="cs"/>
                      <w:noProof/>
                      <w:sz w:val="18"/>
                      <w:szCs w:val="18"/>
                      <w:rtl/>
                    </w:rPr>
                  </w:pPr>
                  <w:r>
                    <w:rPr>
                      <w:rFonts w:cs="Miriam" w:hint="cs"/>
                      <w:sz w:val="18"/>
                      <w:szCs w:val="18"/>
                      <w:rtl/>
                    </w:rPr>
                    <w:t>חיבור ביב</w:t>
                  </w:r>
                  <w:r w:rsidR="000C7AA8">
                    <w:rPr>
                      <w:rFonts w:cs="Miriam" w:hint="cs"/>
                      <w:sz w:val="18"/>
                      <w:szCs w:val="18"/>
                      <w:rtl/>
                    </w:rPr>
                    <w:t xml:space="preserve"> </w:t>
                  </w:r>
                  <w:r>
                    <w:rPr>
                      <w:rFonts w:cs="Miriam" w:hint="cs"/>
                      <w:sz w:val="18"/>
                      <w:szCs w:val="18"/>
                      <w:rtl/>
                    </w:rPr>
                    <w:t>פרטי לביוב</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t>חיבור ביב פרטי</w:t>
      </w:r>
      <w:r w:rsidR="007A61D6">
        <w:rPr>
          <w:rStyle w:val="default"/>
          <w:rFonts w:hint="cs"/>
          <w:rtl/>
        </w:rPr>
        <w:t xml:space="preserve"> לביוב לא ייעשה אלא על ידי ראש העיריה.</w:t>
      </w:r>
    </w:p>
    <w:p w14:paraId="0BC4FAAE" w14:textId="77777777" w:rsidR="0071219F" w:rsidRDefault="007A61D6" w:rsidP="007A61D6">
      <w:pPr>
        <w:pStyle w:val="P00"/>
        <w:spacing w:before="72"/>
        <w:ind w:left="0" w:right="1134"/>
        <w:rPr>
          <w:rStyle w:val="default"/>
          <w:rFonts w:hint="cs"/>
          <w:rtl/>
        </w:rPr>
      </w:pPr>
      <w:r>
        <w:rPr>
          <w:rStyle w:val="default"/>
          <w:rFonts w:hint="cs"/>
          <w:rtl/>
        </w:rPr>
        <w:tab/>
        <w:t>(ב)</w:t>
      </w:r>
      <w:r>
        <w:rPr>
          <w:rStyle w:val="default"/>
          <w:rFonts w:hint="cs"/>
          <w:rtl/>
        </w:rPr>
        <w:tab/>
        <w:t>בעל נכס או מחזיקו הרוצה בחיבור ביב פרטי שבנכסו לביוב, יגיש למהנדס העיריה בקשה בכתב ותכנית החיבור ואם היה הביב בתחומה של רשות מקומית אחרת, יצרף את הסכמת אותה הרשות המקומית לכך</w:t>
      </w:r>
      <w:r w:rsidR="0071219F">
        <w:rPr>
          <w:rStyle w:val="default"/>
          <w:rFonts w:hint="cs"/>
          <w:rtl/>
        </w:rPr>
        <w:t>.</w:t>
      </w:r>
    </w:p>
    <w:p w14:paraId="1ED18DAD" w14:textId="77777777" w:rsidR="007A61D6" w:rsidRDefault="007A61D6" w:rsidP="007A61D6">
      <w:pPr>
        <w:pStyle w:val="P00"/>
        <w:spacing w:before="72"/>
        <w:ind w:left="0" w:right="1134"/>
        <w:rPr>
          <w:rStyle w:val="default"/>
          <w:rFonts w:hint="cs"/>
          <w:rtl/>
        </w:rPr>
      </w:pPr>
      <w:bookmarkStart w:id="8" w:name="Seif6"/>
      <w:bookmarkEnd w:id="8"/>
      <w:r>
        <w:rPr>
          <w:lang w:val="he-IL"/>
        </w:rPr>
        <w:pict w14:anchorId="24EEE4C4">
          <v:rect id="_x0000_s1058" style="position:absolute;left:0;text-align:left;margin-left:464.5pt;margin-top:8.05pt;width:75.05pt;height:15.2pt;z-index:251651584" o:allowincell="f" filled="f" stroked="f" strokecolor="lime" strokeweight=".25pt">
            <v:textbox style="mso-next-textbox:#_x0000_s1058" inset="0,0,0,0">
              <w:txbxContent>
                <w:p w14:paraId="31CA09E3" w14:textId="77777777" w:rsidR="00621BD7" w:rsidRDefault="00621BD7" w:rsidP="000C7AA8">
                  <w:pPr>
                    <w:spacing w:line="160" w:lineRule="exact"/>
                    <w:jc w:val="left"/>
                    <w:rPr>
                      <w:rFonts w:cs="Miriam" w:hint="cs"/>
                      <w:noProof/>
                      <w:sz w:val="18"/>
                      <w:szCs w:val="18"/>
                      <w:rtl/>
                    </w:rPr>
                  </w:pPr>
                  <w:r>
                    <w:rPr>
                      <w:rFonts w:cs="Miriam" w:hint="cs"/>
                      <w:sz w:val="18"/>
                      <w:szCs w:val="18"/>
                      <w:rtl/>
                    </w:rPr>
                    <w:t>איסור פגיעה</w:t>
                  </w:r>
                  <w:r w:rsidR="000C7AA8">
                    <w:rPr>
                      <w:rFonts w:cs="Miriam" w:hint="cs"/>
                      <w:sz w:val="18"/>
                      <w:szCs w:val="18"/>
                      <w:rtl/>
                    </w:rPr>
                    <w:t xml:space="preserve"> </w:t>
                  </w:r>
                  <w:r>
                    <w:rPr>
                      <w:rFonts w:cs="Miriam" w:hint="cs"/>
                      <w:sz w:val="18"/>
                      <w:szCs w:val="18"/>
                      <w:rtl/>
                    </w:rPr>
                    <w:t>בביוב</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hint="cs"/>
          <w:rtl/>
        </w:rPr>
        <w:t>לא יפגע אדם, לא יזיק ולא יפגום ביוב השייך לעיריה.</w:t>
      </w:r>
    </w:p>
    <w:p w14:paraId="6834DC9E" w14:textId="77777777" w:rsidR="007A61D6" w:rsidRDefault="007A61D6" w:rsidP="007A61D6">
      <w:pPr>
        <w:pStyle w:val="P00"/>
        <w:spacing w:before="72"/>
        <w:ind w:left="0" w:right="1134"/>
        <w:rPr>
          <w:rFonts w:hint="cs"/>
          <w:rtl/>
          <w:lang w:eastAsia="en-US"/>
        </w:rPr>
      </w:pPr>
      <w:bookmarkStart w:id="9" w:name="Seif7"/>
      <w:bookmarkEnd w:id="9"/>
      <w:r>
        <w:rPr>
          <w:lang w:val="he-IL"/>
        </w:rPr>
        <w:pict w14:anchorId="7BCAFAAE">
          <v:rect id="_x0000_s1059" style="position:absolute;left:0;text-align:left;margin-left:464.5pt;margin-top:8.05pt;width:75.05pt;height:12.7pt;z-index:251652608" o:allowincell="f" filled="f" stroked="f" strokecolor="lime" strokeweight=".25pt">
            <v:textbox style="mso-next-textbox:#_x0000_s1059" inset="0,0,0,0">
              <w:txbxContent>
                <w:p w14:paraId="10B1461E" w14:textId="77777777" w:rsidR="00621BD7" w:rsidRDefault="00621BD7" w:rsidP="007A61D6">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6</w:t>
      </w:r>
      <w:r>
        <w:rPr>
          <w:rStyle w:val="big-number"/>
          <w:rFonts w:cs="Miriam"/>
          <w:rtl/>
        </w:rPr>
        <w:t>.</w:t>
      </w:r>
      <w:r>
        <w:rPr>
          <w:rStyle w:val="big-number"/>
          <w:rFonts w:cs="Miriam"/>
          <w:rtl/>
        </w:rPr>
        <w:tab/>
      </w:r>
      <w:r>
        <w:rPr>
          <w:rFonts w:cs="FrankRuehl" w:hint="cs"/>
          <w:rtl/>
          <w:lang w:eastAsia="en-US"/>
        </w:rPr>
        <w:t>מסירת הודעה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אל אותו אדם לפי מען מקום מגוריו או במקום עסקיו הרגילים או הידועים לאחרונה. אם אי-אפשר לקיים את המסירה כאמור תהא המסירה כדין אם הוצגה ההודעה במקום בולט באחד המקומות האמורים, או נתפרסמה בשני עתונים יומיים הנפוצים בתחום העיריה, שאחד מהם לפחות הוא בשפה העברית.</w:t>
      </w:r>
    </w:p>
    <w:p w14:paraId="4F009122" w14:textId="77777777" w:rsidR="007A61D6" w:rsidRDefault="007A61D6" w:rsidP="00E612AD">
      <w:pPr>
        <w:pStyle w:val="P00"/>
        <w:spacing w:before="72"/>
        <w:ind w:left="0" w:right="1134"/>
        <w:rPr>
          <w:rFonts w:hint="cs"/>
          <w:rtl/>
          <w:lang w:eastAsia="en-US"/>
        </w:rPr>
      </w:pPr>
      <w:bookmarkStart w:id="10" w:name="Seif8"/>
      <w:bookmarkEnd w:id="10"/>
      <w:r>
        <w:rPr>
          <w:lang w:val="he-IL"/>
        </w:rPr>
        <w:pict w14:anchorId="34FFF05B">
          <v:rect id="_x0000_s1060" style="position:absolute;left:0;text-align:left;margin-left:464.5pt;margin-top:8.05pt;width:75.05pt;height:10pt;z-index:251653632" o:allowincell="f" filled="f" stroked="f" strokecolor="lime" strokeweight=".25pt">
            <v:textbox style="mso-next-textbox:#_x0000_s1060" inset="0,0,0,0">
              <w:txbxContent>
                <w:p w14:paraId="25FF24DF" w14:textId="77777777" w:rsidR="00621BD7" w:rsidRDefault="00E612AD" w:rsidP="007A61D6">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hint="cs"/>
          <w:rtl/>
        </w:rPr>
        <w:t>7</w:t>
      </w:r>
      <w:r>
        <w:rPr>
          <w:rStyle w:val="big-number"/>
          <w:rFonts w:cs="Miriam"/>
          <w:rtl/>
        </w:rPr>
        <w:t>.</w:t>
      </w:r>
      <w:r>
        <w:rPr>
          <w:rStyle w:val="big-number"/>
          <w:rFonts w:cs="Miriam"/>
          <w:rtl/>
        </w:rPr>
        <w:tab/>
      </w:r>
      <w:r w:rsidR="00E612AD">
        <w:rPr>
          <w:rFonts w:cs="FrankRuehl" w:hint="cs"/>
          <w:rtl/>
          <w:lang w:eastAsia="en-US"/>
        </w:rPr>
        <w:t>(בוטל)</w:t>
      </w:r>
      <w:r>
        <w:rPr>
          <w:rFonts w:cs="FrankRuehl" w:hint="cs"/>
          <w:rtl/>
          <w:lang w:eastAsia="en-US"/>
        </w:rPr>
        <w:t>.</w:t>
      </w:r>
    </w:p>
    <w:p w14:paraId="63CCA93B" w14:textId="77777777" w:rsidR="007A61D6" w:rsidRDefault="007A61D6" w:rsidP="007A61D6">
      <w:pPr>
        <w:pStyle w:val="P00"/>
        <w:spacing w:before="72"/>
        <w:ind w:left="0" w:right="1134"/>
        <w:rPr>
          <w:rFonts w:hint="cs"/>
          <w:rtl/>
          <w:lang w:eastAsia="en-US"/>
        </w:rPr>
      </w:pPr>
      <w:bookmarkStart w:id="11" w:name="Seif9"/>
      <w:bookmarkEnd w:id="11"/>
      <w:r>
        <w:rPr>
          <w:lang w:val="he-IL"/>
        </w:rPr>
        <w:pict w14:anchorId="59B4925F">
          <v:rect id="_x0000_s1061" style="position:absolute;left:0;text-align:left;margin-left:464.5pt;margin-top:8.05pt;width:75.05pt;height:13.35pt;z-index:251654656" o:allowincell="f" filled="f" stroked="f" strokecolor="lime" strokeweight=".25pt">
            <v:textbox style="mso-next-textbox:#_x0000_s1061" inset="0,0,0,0">
              <w:txbxContent>
                <w:p w14:paraId="49F5C428" w14:textId="77777777" w:rsidR="00621BD7" w:rsidRDefault="00621BD7" w:rsidP="007A61D6">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hint="cs"/>
          <w:rtl/>
          <w:lang w:eastAsia="en-US"/>
        </w:rPr>
        <w:t>חוק עזר לנתניה (בניית ביבים), תשי"ט-1959 – בטל.</w:t>
      </w:r>
    </w:p>
    <w:p w14:paraId="3D851B25" w14:textId="77777777" w:rsidR="00621BD7" w:rsidRDefault="00621BD7" w:rsidP="007A61D6">
      <w:pPr>
        <w:pStyle w:val="P00"/>
        <w:spacing w:before="72"/>
        <w:ind w:left="0" w:right="1134"/>
        <w:rPr>
          <w:rFonts w:cs="FrankRuehl" w:hint="cs"/>
          <w:rtl/>
          <w:lang w:eastAsia="en-US"/>
        </w:rPr>
      </w:pPr>
      <w:bookmarkStart w:id="12" w:name="Seif4"/>
      <w:bookmarkEnd w:id="12"/>
      <w:r>
        <w:rPr>
          <w:lang w:val="he-IL"/>
        </w:rPr>
        <w:pict w14:anchorId="7F603301">
          <v:rect id="_x0000_s1035" style="position:absolute;left:0;text-align:left;margin-left:464.5pt;margin-top:8.05pt;width:75.05pt;height:11.35pt;z-index:251649536" o:allowincell="f" filled="f" stroked="f" strokecolor="lime" strokeweight=".25pt">
            <v:textbox style="mso-next-textbox:#_x0000_s1035" inset="0,0,0,0">
              <w:txbxContent>
                <w:p w14:paraId="6B6A038F" w14:textId="77777777" w:rsidR="00621BD7" w:rsidRDefault="00621BD7">
                  <w:pPr>
                    <w:spacing w:line="160" w:lineRule="exact"/>
                    <w:jc w:val="left"/>
                    <w:rPr>
                      <w:rFonts w:cs="Miriam" w:hint="cs"/>
                      <w:noProof/>
                      <w:sz w:val="18"/>
                      <w:szCs w:val="18"/>
                      <w:rtl/>
                    </w:rPr>
                  </w:pPr>
                  <w:r>
                    <w:rPr>
                      <w:rFonts w:cs="Miriam" w:hint="cs"/>
                      <w:sz w:val="18"/>
                      <w:szCs w:val="18"/>
                      <w:rtl/>
                    </w:rPr>
                    <w:t>השם</w:t>
                  </w:r>
                </w:p>
              </w:txbxContent>
            </v:textbox>
            <w10:anchorlock/>
          </v:rect>
        </w:pict>
      </w:r>
      <w:r w:rsidR="007A61D6">
        <w:rPr>
          <w:rStyle w:val="big-number"/>
          <w:rFonts w:cs="Miriam" w:hint="cs"/>
          <w:rtl/>
        </w:rPr>
        <w:t>9</w:t>
      </w:r>
      <w:r>
        <w:rPr>
          <w:rStyle w:val="big-number"/>
          <w:rFonts w:cs="Miriam"/>
          <w:rtl/>
        </w:rPr>
        <w:t>.</w:t>
      </w:r>
      <w:r>
        <w:rPr>
          <w:rStyle w:val="big-number"/>
          <w:rFonts w:cs="Miriam"/>
          <w:rtl/>
        </w:rPr>
        <w:tab/>
      </w:r>
      <w:r>
        <w:rPr>
          <w:rFonts w:cs="FrankRuehl" w:hint="cs"/>
          <w:rtl/>
          <w:lang w:eastAsia="en-US"/>
        </w:rPr>
        <w:t xml:space="preserve">לחוק עזר זה ייקרא "חוק עזר </w:t>
      </w:r>
      <w:r w:rsidR="007A61D6">
        <w:rPr>
          <w:rFonts w:cs="FrankRuehl" w:hint="cs"/>
          <w:rtl/>
          <w:lang w:eastAsia="en-US"/>
        </w:rPr>
        <w:t>לנתניה</w:t>
      </w:r>
      <w:r>
        <w:rPr>
          <w:rFonts w:cs="FrankRuehl" w:hint="cs"/>
          <w:rtl/>
          <w:lang w:eastAsia="en-US"/>
        </w:rPr>
        <w:t xml:space="preserve"> (אגרת ביוב), תשכ"</w:t>
      </w:r>
      <w:r w:rsidR="007A61D6">
        <w:rPr>
          <w:rFonts w:cs="FrankRuehl" w:hint="cs"/>
          <w:rtl/>
          <w:lang w:eastAsia="en-US"/>
        </w:rPr>
        <w:t>ה</w:t>
      </w:r>
      <w:r>
        <w:rPr>
          <w:rFonts w:cs="FrankRuehl" w:hint="cs"/>
          <w:rtl/>
          <w:lang w:eastAsia="en-US"/>
        </w:rPr>
        <w:t>-</w:t>
      </w:r>
      <w:r w:rsidR="007A61D6">
        <w:rPr>
          <w:rFonts w:cs="FrankRuehl" w:hint="cs"/>
          <w:rtl/>
          <w:lang w:eastAsia="en-US"/>
        </w:rPr>
        <w:t>1965</w:t>
      </w:r>
      <w:r>
        <w:rPr>
          <w:rFonts w:cs="FrankRuehl" w:hint="cs"/>
          <w:rtl/>
          <w:lang w:eastAsia="en-US"/>
        </w:rPr>
        <w:t>".</w:t>
      </w:r>
    </w:p>
    <w:p w14:paraId="366F24B2" w14:textId="77777777" w:rsidR="000C7AA8" w:rsidRDefault="000C7AA8" w:rsidP="007A61D6">
      <w:pPr>
        <w:pStyle w:val="P00"/>
        <w:spacing w:before="72"/>
        <w:ind w:left="0" w:right="1134"/>
        <w:rPr>
          <w:rFonts w:cs="FrankRuehl" w:hint="cs"/>
          <w:rtl/>
          <w:lang w:eastAsia="en-US"/>
        </w:rPr>
      </w:pPr>
    </w:p>
    <w:p w14:paraId="60DF9ABA" w14:textId="77777777" w:rsidR="007A61D6" w:rsidRPr="000C7AA8" w:rsidRDefault="008E606C" w:rsidP="007A61D6">
      <w:pPr>
        <w:pStyle w:val="medium2-header"/>
        <w:keepLines w:val="0"/>
        <w:spacing w:before="72"/>
        <w:ind w:left="0" w:right="1134"/>
        <w:outlineLvl w:val="0"/>
        <w:rPr>
          <w:rFonts w:cs="FrankRuehl" w:hint="cs"/>
          <w:noProof/>
          <w:sz w:val="26"/>
          <w:szCs w:val="26"/>
          <w:rtl/>
        </w:rPr>
      </w:pPr>
      <w:bookmarkStart w:id="13" w:name="med0"/>
      <w:bookmarkEnd w:id="13"/>
      <w:r w:rsidRPr="000C7AA8">
        <w:rPr>
          <w:rFonts w:cs="FrankRuehl" w:hint="cs"/>
          <w:noProof/>
          <w:sz w:val="26"/>
          <w:szCs w:val="26"/>
          <w:rtl/>
          <w:lang w:eastAsia="en-US"/>
        </w:rPr>
        <w:pict w14:anchorId="2891AE2B">
          <v:rect id="_x0000_s1073" style="position:absolute;left:0;text-align:left;margin-left:464.35pt;margin-top:7.1pt;width:75.05pt;height:12.95pt;z-index:251659776" filled="f" stroked="f" strokecolor="lime" strokeweight=".25pt">
            <v:textbox style="mso-next-textbox:#_x0000_s1073" inset="0,0,0,0">
              <w:txbxContent>
                <w:p w14:paraId="1C28D8CF" w14:textId="77777777" w:rsidR="008E606C" w:rsidRDefault="00F8170C" w:rsidP="00F8170C">
                  <w:pPr>
                    <w:spacing w:line="160" w:lineRule="exact"/>
                    <w:jc w:val="left"/>
                    <w:rPr>
                      <w:rFonts w:cs="Miriam" w:hint="cs"/>
                      <w:sz w:val="18"/>
                      <w:szCs w:val="18"/>
                      <w:rtl/>
                    </w:rPr>
                  </w:pPr>
                  <w:r>
                    <w:rPr>
                      <w:rFonts w:cs="Miriam" w:hint="cs"/>
                      <w:sz w:val="18"/>
                      <w:szCs w:val="18"/>
                      <w:rtl/>
                    </w:rPr>
                    <w:t>תיקון</w:t>
                  </w:r>
                  <w:r w:rsidR="008E606C">
                    <w:rPr>
                      <w:rFonts w:cs="Miriam" w:hint="cs"/>
                      <w:sz w:val="18"/>
                      <w:szCs w:val="18"/>
                      <w:rtl/>
                    </w:rPr>
                    <w:t xml:space="preserve"> תשמ"ח-1987</w:t>
                  </w:r>
                </w:p>
              </w:txbxContent>
            </v:textbox>
            <w10:anchorlock/>
          </v:rect>
        </w:pict>
      </w:r>
      <w:r w:rsidR="007A61D6" w:rsidRPr="000C7AA8">
        <w:rPr>
          <w:rFonts w:cs="FrankRuehl" w:hint="cs"/>
          <w:noProof/>
          <w:sz w:val="26"/>
          <w:szCs w:val="26"/>
          <w:rtl/>
        </w:rPr>
        <w:t xml:space="preserve">תוספת </w:t>
      </w:r>
      <w:r w:rsidRPr="000C7AA8">
        <w:rPr>
          <w:rFonts w:cs="FrankRuehl" w:hint="cs"/>
          <w:noProof/>
          <w:sz w:val="26"/>
          <w:szCs w:val="26"/>
          <w:rtl/>
        </w:rPr>
        <w:t>ראשונה</w:t>
      </w:r>
    </w:p>
    <w:p w14:paraId="7D3FB825" w14:textId="77777777" w:rsidR="007A61D6" w:rsidRDefault="007A61D6" w:rsidP="007A61D6">
      <w:pPr>
        <w:pStyle w:val="medium2-header"/>
        <w:keepLines w:val="0"/>
        <w:spacing w:before="72"/>
        <w:ind w:left="0" w:right="1134"/>
        <w:rPr>
          <w:rFonts w:cs="FrankRuehl" w:hint="cs"/>
          <w:bCs w:val="0"/>
          <w:noProof/>
          <w:rtl/>
        </w:rPr>
      </w:pPr>
      <w:r>
        <w:rPr>
          <w:rFonts w:cs="FrankRuehl" w:hint="cs"/>
          <w:bCs w:val="0"/>
          <w:noProof/>
          <w:rtl/>
        </w:rPr>
        <w:t>(סעיפים 2 ו-3)</w:t>
      </w:r>
    </w:p>
    <w:p w14:paraId="108856D6" w14:textId="77777777" w:rsidR="007A61D6" w:rsidRDefault="00F8170C" w:rsidP="007A61D6">
      <w:pPr>
        <w:pStyle w:val="P00"/>
        <w:spacing w:before="72"/>
        <w:ind w:left="0" w:right="1134"/>
        <w:rPr>
          <w:rFonts w:cs="FrankRuehl" w:hint="cs"/>
          <w:rtl/>
          <w:lang w:eastAsia="en-US"/>
        </w:rPr>
      </w:pPr>
      <w:r>
        <w:rPr>
          <w:rFonts w:cs="FrankRuehl" w:hint="cs"/>
          <w:rtl/>
          <w:lang w:eastAsia="en-US"/>
        </w:rPr>
        <w:pict w14:anchorId="77D36463">
          <v:shape id="_x0000_s1104" type="#_x0000_t202" style="position:absolute;left:0;text-align:left;margin-left:470.25pt;margin-top:7.1pt;width:1in;height:22pt;z-index:251668992" filled="f" stroked="f">
            <v:textbox inset="1mm,0,1mm,0">
              <w:txbxContent>
                <w:p w14:paraId="30F70B53" w14:textId="77777777" w:rsidR="00F8170C" w:rsidRDefault="00F8170C" w:rsidP="00F8170C">
                  <w:pPr>
                    <w:spacing w:line="160" w:lineRule="exact"/>
                    <w:jc w:val="left"/>
                    <w:rPr>
                      <w:rFonts w:cs="Miriam" w:hint="cs"/>
                      <w:sz w:val="18"/>
                      <w:szCs w:val="18"/>
                      <w:rtl/>
                    </w:rPr>
                  </w:pPr>
                  <w:r>
                    <w:rPr>
                      <w:rFonts w:cs="Miriam" w:hint="cs"/>
                      <w:sz w:val="18"/>
                      <w:szCs w:val="18"/>
                      <w:rtl/>
                    </w:rPr>
                    <w:t>תיקון תשכ"ז-1967</w:t>
                  </w:r>
                </w:p>
                <w:p w14:paraId="107A3B5C" w14:textId="77777777" w:rsidR="00F8170C" w:rsidRDefault="00F8170C" w:rsidP="00F8170C">
                  <w:pPr>
                    <w:spacing w:line="160" w:lineRule="exact"/>
                    <w:jc w:val="left"/>
                    <w:rPr>
                      <w:rFonts w:cs="Miriam" w:hint="cs"/>
                      <w:sz w:val="18"/>
                      <w:szCs w:val="18"/>
                      <w:rtl/>
                    </w:rPr>
                  </w:pPr>
                  <w:r>
                    <w:rPr>
                      <w:rFonts w:cs="Miriam" w:hint="cs"/>
                      <w:sz w:val="18"/>
                      <w:szCs w:val="18"/>
                      <w:rtl/>
                    </w:rPr>
                    <w:t>תיקון תשל"ה-1974</w:t>
                  </w:r>
                </w:p>
              </w:txbxContent>
            </v:textbox>
            <w10:anchorlock/>
          </v:shape>
        </w:pict>
      </w:r>
      <w:r w:rsidR="000C7AA8">
        <w:rPr>
          <w:rFonts w:cs="FrankRuehl" w:hint="cs"/>
          <w:rtl/>
          <w:lang w:eastAsia="en-US"/>
        </w:rPr>
        <w:t>1.</w:t>
      </w:r>
      <w:r w:rsidR="000C7AA8">
        <w:rPr>
          <w:rFonts w:cs="FrankRuehl" w:hint="cs"/>
          <w:rtl/>
          <w:lang w:eastAsia="en-US"/>
        </w:rPr>
        <w:tab/>
      </w:r>
      <w:r w:rsidR="00621BD7">
        <w:rPr>
          <w:rFonts w:cs="FrankRuehl" w:hint="cs"/>
          <w:rtl/>
          <w:lang w:eastAsia="en-US"/>
        </w:rPr>
        <w:t>בתוספת זו –</w:t>
      </w:r>
    </w:p>
    <w:p w14:paraId="5977F8BA" w14:textId="77777777" w:rsidR="00621BD7" w:rsidRDefault="00621BD7" w:rsidP="007A61D6">
      <w:pPr>
        <w:pStyle w:val="P00"/>
        <w:spacing w:before="72"/>
        <w:ind w:left="0" w:right="1134"/>
        <w:rPr>
          <w:rFonts w:cs="FrankRuehl" w:hint="cs"/>
          <w:rtl/>
          <w:lang w:eastAsia="en-US"/>
        </w:rPr>
      </w:pPr>
      <w:r>
        <w:rPr>
          <w:rFonts w:cs="FrankRuehl" w:hint="cs"/>
          <w:rtl/>
          <w:lang w:eastAsia="en-US"/>
        </w:rPr>
        <w:tab/>
        <w:t>"אזור א'" –</w:t>
      </w:r>
    </w:p>
    <w:p w14:paraId="6A8DDF1E" w14:textId="77777777" w:rsidR="00621BD7" w:rsidRDefault="00621BD7" w:rsidP="00CF7967">
      <w:pPr>
        <w:pStyle w:val="P00"/>
        <w:spacing w:before="72"/>
        <w:ind w:left="1977" w:right="1134" w:hanging="1977"/>
        <w:rPr>
          <w:rFonts w:cs="FrankRuehl" w:hint="cs"/>
          <w:rtl/>
          <w:lang w:eastAsia="en-US"/>
        </w:rPr>
      </w:pPr>
      <w:r>
        <w:rPr>
          <w:rFonts w:cs="FrankRuehl" w:hint="cs"/>
          <w:rtl/>
          <w:lang w:eastAsia="en-US"/>
        </w:rPr>
        <w:tab/>
        <w:t>הגושים:</w:t>
      </w:r>
      <w:r>
        <w:rPr>
          <w:rFonts w:cs="FrankRuehl" w:hint="cs"/>
          <w:rtl/>
          <w:lang w:eastAsia="en-US"/>
        </w:rPr>
        <w:tab/>
      </w:r>
      <w:r>
        <w:rPr>
          <w:rFonts w:cs="FrankRuehl" w:hint="cs"/>
          <w:rtl/>
          <w:lang w:eastAsia="en-US"/>
        </w:rPr>
        <w:tab/>
      </w:r>
      <w:r w:rsidR="00CF7967">
        <w:rPr>
          <w:rFonts w:cs="FrankRuehl" w:hint="cs"/>
          <w:rtl/>
          <w:lang w:eastAsia="en-US"/>
        </w:rPr>
        <w:t>7708, 7707, 7713, 7931, 7932, צד מערבי לגבי דרך הדרום, 1940, צד מערבי לדרך הדרום, 7941 צד מערבי לדרך הדרם, 7942, 7943, 7944, 7945, חלקה 2, 7947 צד מערבי לכביש הארצי נתניה – תל-אביב, 7948, צד מערבי לכביש הארצי נתניה – תל-אביב, 7949, 8231, 8245, 8246, 8247, 8248, 8249, 8250, 8251, 8252, 8253, 8254, 8255, 8256, 8257, 8258, 8259, 8260, 8261, 8262, 8263, 8264, 8265, פרק לחלקה 1, 8266, צד מערבי לרח' רזיאל, 8267, צד מערבי לרח' רזיאל, 8268, 8270, 8271, 8272, 8273, 8274, 8275</w:t>
      </w:r>
      <w:r>
        <w:rPr>
          <w:rFonts w:cs="FrankRuehl" w:hint="cs"/>
          <w:rtl/>
          <w:lang w:eastAsia="en-US"/>
        </w:rPr>
        <w:t>;</w:t>
      </w:r>
    </w:p>
    <w:p w14:paraId="5FB58326" w14:textId="77777777" w:rsidR="00621BD7" w:rsidRDefault="00F8170C" w:rsidP="00CF7967">
      <w:pPr>
        <w:pStyle w:val="P00"/>
        <w:spacing w:before="72"/>
        <w:ind w:left="0" w:right="1134"/>
        <w:rPr>
          <w:rFonts w:cs="FrankRuehl" w:hint="cs"/>
          <w:rtl/>
          <w:lang w:eastAsia="en-US"/>
        </w:rPr>
      </w:pPr>
      <w:r>
        <w:rPr>
          <w:rFonts w:cs="FrankRuehl" w:hint="cs"/>
          <w:rtl/>
          <w:lang w:eastAsia="en-US"/>
        </w:rPr>
        <w:tab/>
        <w:t>"אזור ב'" –</w:t>
      </w:r>
    </w:p>
    <w:p w14:paraId="51752F4E" w14:textId="77777777" w:rsidR="00621BD7" w:rsidRDefault="00621BD7" w:rsidP="00CF7967">
      <w:pPr>
        <w:pStyle w:val="P00"/>
        <w:spacing w:before="72"/>
        <w:ind w:left="1977" w:right="1134" w:hanging="1977"/>
        <w:rPr>
          <w:rFonts w:cs="FrankRuehl" w:hint="cs"/>
          <w:rtl/>
          <w:lang w:eastAsia="en-US"/>
        </w:rPr>
      </w:pPr>
      <w:r>
        <w:rPr>
          <w:rFonts w:cs="FrankRuehl" w:hint="cs"/>
          <w:rtl/>
          <w:lang w:eastAsia="en-US"/>
        </w:rPr>
        <w:tab/>
        <w:t>הגושים:</w:t>
      </w:r>
      <w:r>
        <w:rPr>
          <w:rFonts w:cs="FrankRuehl" w:hint="cs"/>
          <w:rtl/>
          <w:lang w:eastAsia="en-US"/>
        </w:rPr>
        <w:tab/>
      </w:r>
      <w:r>
        <w:rPr>
          <w:rFonts w:cs="FrankRuehl" w:hint="cs"/>
          <w:rtl/>
          <w:lang w:eastAsia="en-US"/>
        </w:rPr>
        <w:tab/>
      </w:r>
      <w:r w:rsidR="00CF7967">
        <w:rPr>
          <w:rFonts w:cs="FrankRuehl" w:hint="cs"/>
          <w:rtl/>
          <w:lang w:eastAsia="en-US"/>
        </w:rPr>
        <w:t>7932 צד מזרחי לדרך הדרום, 7933, 7934, 7940, צד מזרחי לדרך הדרום, 9741 צד מזרחי לדרך הדרום, 7945 פרט לחלקה 2, 7946, 7947, צד מזרחי לכביש הארצי נתניה – תל-אביב, 7948 צד מזרחי לכביש הארצי נתניה – תל-אביב, 8220, 8229, 8230, 8232, 8265, חלקה 1, 8266 צד מזרחי לרח' רזיאל, 8267, צד מזרחי לרח' רזיאל, 8284, 8285, 8233, 8234, 8235, 8236, 8237, 8238, 8239, 8240, 8241, 824</w:t>
      </w:r>
      <w:r w:rsidR="0005205E">
        <w:rPr>
          <w:rFonts w:cs="FrankRuehl" w:hint="cs"/>
          <w:rtl/>
          <w:lang w:eastAsia="en-US"/>
        </w:rPr>
        <w:t>2, 8243, 8244, 8315, 8321, 8322, 8006, 8007, 8215, 8216, 8217, 8218;</w:t>
      </w:r>
    </w:p>
    <w:p w14:paraId="17A4AFC3" w14:textId="77777777" w:rsidR="00621BD7" w:rsidRDefault="00621BD7" w:rsidP="00621BD7">
      <w:pPr>
        <w:pStyle w:val="P00"/>
        <w:spacing w:before="72"/>
        <w:ind w:left="1977" w:right="1134" w:hanging="1977"/>
        <w:rPr>
          <w:rFonts w:cs="FrankRuehl" w:hint="cs"/>
          <w:rtl/>
          <w:lang w:eastAsia="en-US"/>
        </w:rPr>
      </w:pPr>
      <w:r>
        <w:rPr>
          <w:rFonts w:cs="FrankRuehl" w:hint="cs"/>
          <w:rtl/>
          <w:lang w:eastAsia="en-US"/>
        </w:rPr>
        <w:tab/>
      </w:r>
      <w:r>
        <w:rPr>
          <w:rFonts w:cs="FrankRuehl" w:hint="cs"/>
          <w:rtl/>
          <w:lang w:eastAsia="en-US"/>
        </w:rPr>
        <w:tab/>
      </w:r>
      <w:r>
        <w:rPr>
          <w:rFonts w:cs="FrankRuehl" w:hint="cs"/>
          <w:rtl/>
          <w:lang w:eastAsia="en-US"/>
        </w:rPr>
        <w:tab/>
      </w:r>
      <w:r>
        <w:rPr>
          <w:rFonts w:cs="FrankRuehl" w:hint="cs"/>
          <w:rtl/>
          <w:lang w:eastAsia="en-US"/>
        </w:rPr>
        <w:tab/>
        <w:t>חלקה 1 בגוש 8265, חלקה 1 בגוש 8266.</w:t>
      </w:r>
    </w:p>
    <w:p w14:paraId="23F778F3" w14:textId="77777777" w:rsidR="00C52D55" w:rsidRDefault="00F8170C" w:rsidP="00C52D55">
      <w:pPr>
        <w:pStyle w:val="P00"/>
        <w:spacing w:before="72"/>
        <w:ind w:left="1977" w:right="1134" w:hanging="1977"/>
        <w:rPr>
          <w:rFonts w:cs="FrankRuehl" w:hint="cs"/>
          <w:rtl/>
          <w:lang w:eastAsia="en-US"/>
        </w:rPr>
      </w:pPr>
      <w:r>
        <w:rPr>
          <w:rFonts w:cs="FrankRuehl" w:hint="cs"/>
          <w:rtl/>
          <w:lang w:eastAsia="en-US"/>
        </w:rPr>
        <w:tab/>
      </w:r>
      <w:r w:rsidR="00C52D55">
        <w:rPr>
          <w:rFonts w:cs="FrankRuehl" w:hint="cs"/>
          <w:rtl/>
          <w:lang w:eastAsia="en-US"/>
        </w:rPr>
        <w:t>"אזור ג'" –</w:t>
      </w:r>
      <w:r w:rsidR="00C52D55">
        <w:rPr>
          <w:rFonts w:cs="FrankRuehl" w:hint="cs"/>
          <w:rtl/>
          <w:lang w:eastAsia="en-US"/>
        </w:rPr>
        <w:tab/>
      </w:r>
      <w:r w:rsidR="00E208FE">
        <w:rPr>
          <w:rFonts w:cs="FrankRuehl" w:hint="cs"/>
          <w:rtl/>
          <w:lang w:eastAsia="en-US"/>
        </w:rPr>
        <w:t xml:space="preserve"> (נמחק).</w:t>
      </w:r>
      <w:r w:rsidR="00621BD7">
        <w:rPr>
          <w:rFonts w:cs="FrankRuehl" w:hint="cs"/>
          <w:rtl/>
          <w:lang w:eastAsia="en-US"/>
        </w:rPr>
        <w:tab/>
      </w:r>
    </w:p>
    <w:p w14:paraId="67E7C317" w14:textId="77777777" w:rsidR="00621BD7" w:rsidRDefault="00F8170C" w:rsidP="00927795">
      <w:pPr>
        <w:pStyle w:val="P00"/>
        <w:spacing w:before="72"/>
        <w:ind w:left="1977" w:right="1134" w:hanging="1977"/>
        <w:rPr>
          <w:rFonts w:cs="FrankRuehl" w:hint="cs"/>
          <w:rtl/>
          <w:lang w:eastAsia="en-US"/>
        </w:rPr>
      </w:pPr>
      <w:r>
        <w:rPr>
          <w:rFonts w:cs="FrankRuehl" w:hint="cs"/>
          <w:rtl/>
          <w:lang w:eastAsia="en-US"/>
        </w:rPr>
        <w:tab/>
      </w:r>
      <w:r w:rsidR="0005205E">
        <w:rPr>
          <w:rFonts w:cs="FrankRuehl" w:hint="cs"/>
          <w:rtl/>
          <w:lang w:eastAsia="en-US"/>
        </w:rPr>
        <w:t>"מבני עזר" – מוסכים לרכב פרטי, בניני עזר, סככות ללא קירות</w:t>
      </w:r>
      <w:r w:rsidR="00927795">
        <w:rPr>
          <w:rFonts w:cs="FrankRuehl" w:hint="cs"/>
          <w:rtl/>
          <w:lang w:eastAsia="en-US"/>
        </w:rPr>
        <w:t>.</w:t>
      </w:r>
    </w:p>
    <w:p w14:paraId="413427C4" w14:textId="77777777" w:rsidR="00621BD7" w:rsidRDefault="008E606C" w:rsidP="00F8170C">
      <w:pPr>
        <w:pStyle w:val="P00"/>
        <w:spacing w:before="72"/>
        <w:ind w:left="0" w:right="1134"/>
        <w:rPr>
          <w:rFonts w:cs="FrankRuehl" w:hint="cs"/>
          <w:rtl/>
          <w:lang w:eastAsia="en-US"/>
        </w:rPr>
      </w:pPr>
      <w:r>
        <w:rPr>
          <w:rFonts w:cs="FrankRuehl" w:hint="cs"/>
          <w:rtl/>
          <w:lang w:eastAsia="en-US"/>
        </w:rPr>
        <w:pict w14:anchorId="03BF0FB9">
          <v:rect id="_x0000_s1072" style="position:absolute;left:0;text-align:left;margin-left:462pt;margin-top:5.85pt;width:75.05pt;height:18pt;z-index:251658752" filled="f" stroked="f" strokecolor="lime" strokeweight=".25pt">
            <v:textbox style="mso-next-textbox:#_x0000_s1072" inset="0,0,0,0">
              <w:txbxContent>
                <w:p w14:paraId="65ADEE51" w14:textId="77777777" w:rsidR="008E606C" w:rsidRDefault="00E208FE" w:rsidP="00F8170C">
                  <w:pPr>
                    <w:spacing w:line="160" w:lineRule="exact"/>
                    <w:jc w:val="left"/>
                    <w:rPr>
                      <w:rFonts w:cs="Miriam" w:hint="cs"/>
                      <w:sz w:val="18"/>
                      <w:szCs w:val="18"/>
                      <w:rtl/>
                    </w:rPr>
                  </w:pPr>
                  <w:r>
                    <w:rPr>
                      <w:rFonts w:cs="Miriam" w:hint="cs"/>
                      <w:sz w:val="18"/>
                      <w:szCs w:val="18"/>
                      <w:rtl/>
                    </w:rPr>
                    <w:t>תיקון (מס' 2)</w:t>
                  </w:r>
                  <w:r w:rsidR="00F8170C">
                    <w:rPr>
                      <w:rFonts w:cs="Miriam" w:hint="cs"/>
                      <w:sz w:val="18"/>
                      <w:szCs w:val="18"/>
                      <w:rtl/>
                    </w:rPr>
                    <w:t xml:space="preserve"> </w:t>
                  </w:r>
                  <w:r w:rsidR="00F8170C">
                    <w:rPr>
                      <w:rFonts w:cs="Miriam"/>
                      <w:sz w:val="18"/>
                      <w:szCs w:val="18"/>
                      <w:rtl/>
                    </w:rPr>
                    <w:br/>
                  </w:r>
                  <w:r w:rsidR="008E606C">
                    <w:rPr>
                      <w:rFonts w:cs="Miriam" w:hint="cs"/>
                      <w:sz w:val="18"/>
                      <w:szCs w:val="18"/>
                      <w:rtl/>
                    </w:rPr>
                    <w:t>תש</w:t>
                  </w:r>
                  <w:r>
                    <w:rPr>
                      <w:rFonts w:cs="Miriam" w:hint="cs"/>
                      <w:sz w:val="18"/>
                      <w:szCs w:val="18"/>
                      <w:rtl/>
                    </w:rPr>
                    <w:t>נ</w:t>
                  </w:r>
                  <w:r w:rsidR="008E606C">
                    <w:rPr>
                      <w:rFonts w:cs="Miriam" w:hint="cs"/>
                      <w:sz w:val="18"/>
                      <w:szCs w:val="18"/>
                      <w:rtl/>
                    </w:rPr>
                    <w:t>"</w:t>
                  </w:r>
                  <w:r>
                    <w:rPr>
                      <w:rFonts w:cs="Miriam" w:hint="cs"/>
                      <w:sz w:val="18"/>
                      <w:szCs w:val="18"/>
                      <w:rtl/>
                    </w:rPr>
                    <w:t>א-1991</w:t>
                  </w:r>
                </w:p>
              </w:txbxContent>
            </v:textbox>
            <w10:anchorlock/>
          </v:rect>
        </w:pict>
      </w:r>
      <w:r w:rsidR="00F8170C">
        <w:rPr>
          <w:rFonts w:cs="FrankRuehl" w:hint="cs"/>
          <w:rtl/>
          <w:lang w:eastAsia="en-US"/>
        </w:rPr>
        <w:t>2.</w:t>
      </w:r>
      <w:r w:rsidR="00F8170C">
        <w:rPr>
          <w:rFonts w:cs="FrankRuehl" w:hint="cs"/>
          <w:rtl/>
          <w:lang w:eastAsia="en-US"/>
        </w:rPr>
        <w:tab/>
      </w:r>
      <w:r w:rsidR="00621BD7">
        <w:rPr>
          <w:rFonts w:cs="FrankRuehl" w:hint="cs"/>
          <w:rtl/>
          <w:lang w:eastAsia="en-US"/>
        </w:rPr>
        <w:t xml:space="preserve">היטל </w:t>
      </w:r>
      <w:r>
        <w:rPr>
          <w:rFonts w:cs="FrankRuehl" w:hint="cs"/>
          <w:rtl/>
          <w:lang w:eastAsia="en-US"/>
        </w:rPr>
        <w:t>בשקלים חדשים:</w:t>
      </w:r>
    </w:p>
    <w:tbl>
      <w:tblPr>
        <w:bidiVisual/>
        <w:tblW w:w="6930" w:type="dxa"/>
        <w:tblInd w:w="270" w:type="dxa"/>
        <w:tblLayout w:type="fixed"/>
        <w:tblLook w:val="0000" w:firstRow="0" w:lastRow="0" w:firstColumn="0" w:lastColumn="0" w:noHBand="0" w:noVBand="0"/>
      </w:tblPr>
      <w:tblGrid>
        <w:gridCol w:w="2145"/>
        <w:gridCol w:w="1650"/>
        <w:gridCol w:w="1320"/>
        <w:gridCol w:w="1815"/>
      </w:tblGrid>
      <w:tr w:rsidR="00F8170C" w14:paraId="62D33396" w14:textId="77777777">
        <w:tblPrEx>
          <w:tblCellMar>
            <w:top w:w="0" w:type="dxa"/>
            <w:bottom w:w="0" w:type="dxa"/>
          </w:tblCellMar>
        </w:tblPrEx>
        <w:tc>
          <w:tcPr>
            <w:tcW w:w="2145" w:type="dxa"/>
          </w:tcPr>
          <w:p w14:paraId="08E65EF3" w14:textId="77777777" w:rsidR="00F8170C" w:rsidRPr="00047470" w:rsidRDefault="00F8170C" w:rsidP="00C36CB1">
            <w:pPr>
              <w:pStyle w:val="P22"/>
              <w:tabs>
                <w:tab w:val="clear" w:pos="2381"/>
                <w:tab w:val="left" w:pos="2330"/>
              </w:tabs>
              <w:spacing w:before="72"/>
              <w:ind w:left="845" w:right="0" w:hanging="845"/>
              <w:rPr>
                <w:rStyle w:val="default"/>
                <w:rFonts w:hint="cs"/>
                <w:sz w:val="22"/>
                <w:szCs w:val="22"/>
                <w:rtl/>
              </w:rPr>
            </w:pPr>
          </w:p>
        </w:tc>
        <w:tc>
          <w:tcPr>
            <w:tcW w:w="1650" w:type="dxa"/>
          </w:tcPr>
          <w:p w14:paraId="08D55477" w14:textId="77777777" w:rsidR="00F8170C" w:rsidRPr="00047470" w:rsidRDefault="00F8170C" w:rsidP="00C36CB1">
            <w:pPr>
              <w:pStyle w:val="P22"/>
              <w:spacing w:before="100" w:beforeAutospacing="1"/>
              <w:ind w:left="0" w:right="0"/>
              <w:jc w:val="center"/>
              <w:rPr>
                <w:rStyle w:val="default"/>
                <w:rFonts w:hint="cs"/>
                <w:sz w:val="22"/>
                <w:szCs w:val="22"/>
                <w:u w:val="single"/>
                <w:rtl/>
              </w:rPr>
            </w:pPr>
            <w:r w:rsidRPr="00047470">
              <w:rPr>
                <w:rStyle w:val="default"/>
                <w:rFonts w:hint="cs"/>
                <w:sz w:val="22"/>
                <w:szCs w:val="22"/>
                <w:u w:val="single"/>
                <w:rtl/>
              </w:rPr>
              <w:t>בניה למגורים</w:t>
            </w:r>
          </w:p>
        </w:tc>
        <w:tc>
          <w:tcPr>
            <w:tcW w:w="1320" w:type="dxa"/>
          </w:tcPr>
          <w:p w14:paraId="7B1617F1" w14:textId="77777777" w:rsidR="00F8170C" w:rsidRPr="00047470" w:rsidRDefault="00F8170C" w:rsidP="00C36CB1">
            <w:pPr>
              <w:pStyle w:val="P22"/>
              <w:spacing w:before="100" w:beforeAutospacing="1"/>
              <w:ind w:left="0" w:right="0"/>
              <w:jc w:val="center"/>
              <w:rPr>
                <w:rStyle w:val="default"/>
                <w:rFonts w:hint="cs"/>
                <w:sz w:val="22"/>
                <w:szCs w:val="22"/>
                <w:u w:val="single"/>
                <w:rtl/>
              </w:rPr>
            </w:pPr>
            <w:r w:rsidRPr="00047470">
              <w:rPr>
                <w:rStyle w:val="default"/>
                <w:rFonts w:hint="cs"/>
                <w:sz w:val="22"/>
                <w:szCs w:val="22"/>
                <w:u w:val="single"/>
                <w:rtl/>
              </w:rPr>
              <w:t>מלונות ומסחר</w:t>
            </w:r>
          </w:p>
        </w:tc>
        <w:tc>
          <w:tcPr>
            <w:tcW w:w="1815" w:type="dxa"/>
          </w:tcPr>
          <w:p w14:paraId="19A17A08" w14:textId="77777777" w:rsidR="00F8170C" w:rsidRPr="00047470" w:rsidRDefault="00F8170C" w:rsidP="00C36CB1">
            <w:pPr>
              <w:pStyle w:val="P22"/>
              <w:spacing w:before="100" w:beforeAutospacing="1"/>
              <w:ind w:left="0" w:right="0"/>
              <w:jc w:val="center"/>
              <w:rPr>
                <w:rStyle w:val="default"/>
                <w:rFonts w:hint="cs"/>
                <w:sz w:val="22"/>
                <w:szCs w:val="22"/>
                <w:u w:val="single"/>
                <w:rtl/>
              </w:rPr>
            </w:pPr>
            <w:r w:rsidRPr="00047470">
              <w:rPr>
                <w:rStyle w:val="default"/>
                <w:rFonts w:hint="cs"/>
                <w:sz w:val="22"/>
                <w:szCs w:val="22"/>
                <w:u w:val="single"/>
                <w:rtl/>
              </w:rPr>
              <w:t>תעשיה ומלאכה</w:t>
            </w:r>
          </w:p>
        </w:tc>
      </w:tr>
      <w:tr w:rsidR="00F8170C" w14:paraId="135A65B9" w14:textId="77777777">
        <w:tblPrEx>
          <w:tblCellMar>
            <w:top w:w="0" w:type="dxa"/>
            <w:bottom w:w="0" w:type="dxa"/>
          </w:tblCellMar>
        </w:tblPrEx>
        <w:tc>
          <w:tcPr>
            <w:tcW w:w="2145" w:type="dxa"/>
          </w:tcPr>
          <w:p w14:paraId="5B6EE18D" w14:textId="77777777" w:rsidR="00F8170C" w:rsidRDefault="00F8170C" w:rsidP="00C36CB1">
            <w:pPr>
              <w:pStyle w:val="P22"/>
              <w:tabs>
                <w:tab w:val="clear" w:pos="2381"/>
                <w:tab w:val="left" w:pos="2330"/>
              </w:tabs>
              <w:spacing w:before="72"/>
              <w:ind w:left="845" w:right="0" w:hanging="845"/>
              <w:rPr>
                <w:rStyle w:val="default"/>
                <w:rFonts w:hint="cs"/>
                <w:sz w:val="22"/>
                <w:szCs w:val="24"/>
                <w:rtl/>
              </w:rPr>
            </w:pPr>
            <w:r>
              <w:rPr>
                <w:rStyle w:val="default"/>
                <w:rFonts w:hint="cs"/>
                <w:sz w:val="22"/>
                <w:szCs w:val="24"/>
                <w:rtl/>
              </w:rPr>
              <w:t>ביב ציבורי –</w:t>
            </w:r>
          </w:p>
        </w:tc>
        <w:tc>
          <w:tcPr>
            <w:tcW w:w="1650" w:type="dxa"/>
          </w:tcPr>
          <w:p w14:paraId="47CFB2D1" w14:textId="77777777" w:rsidR="00F8170C" w:rsidRDefault="00F8170C" w:rsidP="00C36CB1">
            <w:pPr>
              <w:pStyle w:val="P22"/>
              <w:spacing w:before="100" w:beforeAutospacing="1"/>
              <w:ind w:left="0" w:right="0"/>
              <w:jc w:val="center"/>
              <w:rPr>
                <w:rStyle w:val="default"/>
                <w:rFonts w:hint="cs"/>
                <w:sz w:val="22"/>
                <w:szCs w:val="24"/>
                <w:rtl/>
              </w:rPr>
            </w:pPr>
          </w:p>
        </w:tc>
        <w:tc>
          <w:tcPr>
            <w:tcW w:w="1320" w:type="dxa"/>
          </w:tcPr>
          <w:p w14:paraId="060BD88A" w14:textId="77777777" w:rsidR="00F8170C" w:rsidRDefault="00F8170C" w:rsidP="00C36CB1">
            <w:pPr>
              <w:pStyle w:val="P22"/>
              <w:spacing w:before="100" w:beforeAutospacing="1"/>
              <w:ind w:left="0" w:right="0"/>
              <w:jc w:val="center"/>
              <w:rPr>
                <w:rStyle w:val="default"/>
                <w:rFonts w:hint="cs"/>
                <w:sz w:val="22"/>
                <w:szCs w:val="24"/>
                <w:rtl/>
              </w:rPr>
            </w:pPr>
          </w:p>
        </w:tc>
        <w:tc>
          <w:tcPr>
            <w:tcW w:w="1815" w:type="dxa"/>
          </w:tcPr>
          <w:p w14:paraId="0F7EED18" w14:textId="77777777" w:rsidR="00F8170C" w:rsidRDefault="00F8170C" w:rsidP="00C36CB1">
            <w:pPr>
              <w:pStyle w:val="P22"/>
              <w:spacing w:before="100" w:beforeAutospacing="1"/>
              <w:ind w:left="0" w:right="0"/>
              <w:jc w:val="center"/>
              <w:rPr>
                <w:rStyle w:val="default"/>
                <w:rFonts w:hint="cs"/>
                <w:sz w:val="22"/>
                <w:szCs w:val="24"/>
                <w:rtl/>
              </w:rPr>
            </w:pPr>
          </w:p>
        </w:tc>
      </w:tr>
      <w:tr w:rsidR="00F8170C" w14:paraId="1F2430A4" w14:textId="77777777">
        <w:tblPrEx>
          <w:tblCellMar>
            <w:top w:w="0" w:type="dxa"/>
            <w:bottom w:w="0" w:type="dxa"/>
          </w:tblCellMar>
        </w:tblPrEx>
        <w:tc>
          <w:tcPr>
            <w:tcW w:w="2145" w:type="dxa"/>
          </w:tcPr>
          <w:p w14:paraId="0DFD1FEF"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לכל מ"ר קרקע</w:t>
            </w:r>
          </w:p>
        </w:tc>
        <w:tc>
          <w:tcPr>
            <w:tcW w:w="1650" w:type="dxa"/>
          </w:tcPr>
          <w:p w14:paraId="42BED05E"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2.96</w:t>
            </w:r>
          </w:p>
        </w:tc>
        <w:tc>
          <w:tcPr>
            <w:tcW w:w="1320" w:type="dxa"/>
          </w:tcPr>
          <w:p w14:paraId="2D4C76FF"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2.96</w:t>
            </w:r>
          </w:p>
        </w:tc>
        <w:tc>
          <w:tcPr>
            <w:tcW w:w="1815" w:type="dxa"/>
          </w:tcPr>
          <w:p w14:paraId="697DEE19"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2.96</w:t>
            </w:r>
          </w:p>
        </w:tc>
      </w:tr>
      <w:tr w:rsidR="00F8170C" w14:paraId="00E27122" w14:textId="77777777">
        <w:tblPrEx>
          <w:tblCellMar>
            <w:top w:w="0" w:type="dxa"/>
            <w:bottom w:w="0" w:type="dxa"/>
          </w:tblCellMar>
        </w:tblPrEx>
        <w:tc>
          <w:tcPr>
            <w:tcW w:w="2145" w:type="dxa"/>
            <w:tcBorders>
              <w:bottom w:val="single" w:sz="4" w:space="0" w:color="auto"/>
            </w:tcBorders>
          </w:tcPr>
          <w:p w14:paraId="4A6ACB36"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לכל מ"ר בניה</w:t>
            </w:r>
          </w:p>
        </w:tc>
        <w:tc>
          <w:tcPr>
            <w:tcW w:w="1650" w:type="dxa"/>
            <w:tcBorders>
              <w:bottom w:val="single" w:sz="4" w:space="0" w:color="auto"/>
            </w:tcBorders>
          </w:tcPr>
          <w:p w14:paraId="7E02A2F7"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10.24</w:t>
            </w:r>
          </w:p>
        </w:tc>
        <w:tc>
          <w:tcPr>
            <w:tcW w:w="1320" w:type="dxa"/>
            <w:tcBorders>
              <w:bottom w:val="single" w:sz="4" w:space="0" w:color="auto"/>
            </w:tcBorders>
          </w:tcPr>
          <w:p w14:paraId="4632E174"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12.89</w:t>
            </w:r>
          </w:p>
        </w:tc>
        <w:tc>
          <w:tcPr>
            <w:tcW w:w="1815" w:type="dxa"/>
            <w:tcBorders>
              <w:bottom w:val="single" w:sz="4" w:space="0" w:color="auto"/>
            </w:tcBorders>
          </w:tcPr>
          <w:p w14:paraId="29000592"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12.89</w:t>
            </w:r>
          </w:p>
        </w:tc>
      </w:tr>
      <w:tr w:rsidR="00F8170C" w14:paraId="6A5D50DB" w14:textId="77777777">
        <w:tblPrEx>
          <w:tblCellMar>
            <w:top w:w="0" w:type="dxa"/>
            <w:bottom w:w="0" w:type="dxa"/>
          </w:tblCellMar>
        </w:tblPrEx>
        <w:tc>
          <w:tcPr>
            <w:tcW w:w="2145" w:type="dxa"/>
            <w:tcBorders>
              <w:top w:val="single" w:sz="4" w:space="0" w:color="auto"/>
            </w:tcBorders>
          </w:tcPr>
          <w:p w14:paraId="0A1AD695" w14:textId="77777777" w:rsidR="00F8170C" w:rsidRDefault="00F8170C" w:rsidP="00C36CB1">
            <w:pPr>
              <w:pStyle w:val="P22"/>
              <w:tabs>
                <w:tab w:val="clear" w:pos="2381"/>
                <w:tab w:val="left" w:pos="2330"/>
              </w:tabs>
              <w:spacing w:before="72"/>
              <w:ind w:left="845" w:right="0" w:hanging="845"/>
              <w:rPr>
                <w:rStyle w:val="default"/>
                <w:rFonts w:hint="cs"/>
                <w:sz w:val="22"/>
                <w:szCs w:val="24"/>
                <w:rtl/>
              </w:rPr>
            </w:pPr>
            <w:r>
              <w:rPr>
                <w:rStyle w:val="default"/>
                <w:rFonts w:hint="cs"/>
                <w:sz w:val="22"/>
                <w:szCs w:val="24"/>
                <w:rtl/>
              </w:rPr>
              <w:t>ביב מאסף –</w:t>
            </w:r>
          </w:p>
        </w:tc>
        <w:tc>
          <w:tcPr>
            <w:tcW w:w="1650" w:type="dxa"/>
            <w:tcBorders>
              <w:top w:val="single" w:sz="4" w:space="0" w:color="auto"/>
            </w:tcBorders>
          </w:tcPr>
          <w:p w14:paraId="42A6D292" w14:textId="77777777" w:rsidR="00F8170C" w:rsidRDefault="00F8170C" w:rsidP="00C36CB1">
            <w:pPr>
              <w:pStyle w:val="P22"/>
              <w:spacing w:before="100" w:beforeAutospacing="1"/>
              <w:ind w:left="0" w:right="0"/>
              <w:jc w:val="center"/>
              <w:rPr>
                <w:rStyle w:val="default"/>
                <w:rFonts w:hint="cs"/>
                <w:sz w:val="22"/>
                <w:szCs w:val="24"/>
                <w:rtl/>
              </w:rPr>
            </w:pPr>
          </w:p>
        </w:tc>
        <w:tc>
          <w:tcPr>
            <w:tcW w:w="1320" w:type="dxa"/>
            <w:tcBorders>
              <w:top w:val="single" w:sz="4" w:space="0" w:color="auto"/>
            </w:tcBorders>
          </w:tcPr>
          <w:p w14:paraId="14E8F21D" w14:textId="77777777" w:rsidR="00F8170C" w:rsidRDefault="00F8170C" w:rsidP="00C36CB1">
            <w:pPr>
              <w:pStyle w:val="P22"/>
              <w:spacing w:before="100" w:beforeAutospacing="1"/>
              <w:ind w:left="0" w:right="0"/>
              <w:jc w:val="center"/>
              <w:rPr>
                <w:rStyle w:val="default"/>
                <w:rFonts w:hint="cs"/>
                <w:sz w:val="22"/>
                <w:szCs w:val="24"/>
                <w:rtl/>
              </w:rPr>
            </w:pPr>
          </w:p>
        </w:tc>
        <w:tc>
          <w:tcPr>
            <w:tcW w:w="1815" w:type="dxa"/>
            <w:tcBorders>
              <w:top w:val="single" w:sz="4" w:space="0" w:color="auto"/>
            </w:tcBorders>
          </w:tcPr>
          <w:p w14:paraId="479CEDD8" w14:textId="77777777" w:rsidR="00F8170C" w:rsidRDefault="00F8170C" w:rsidP="00C36CB1">
            <w:pPr>
              <w:pStyle w:val="P22"/>
              <w:spacing w:before="100" w:beforeAutospacing="1"/>
              <w:ind w:left="0" w:right="0"/>
              <w:jc w:val="center"/>
              <w:rPr>
                <w:rStyle w:val="default"/>
                <w:rFonts w:hint="cs"/>
                <w:sz w:val="22"/>
                <w:szCs w:val="24"/>
                <w:rtl/>
              </w:rPr>
            </w:pPr>
          </w:p>
        </w:tc>
      </w:tr>
      <w:tr w:rsidR="00F8170C" w14:paraId="7DC2ADC6" w14:textId="77777777">
        <w:tblPrEx>
          <w:tblCellMar>
            <w:top w:w="0" w:type="dxa"/>
            <w:bottom w:w="0" w:type="dxa"/>
          </w:tblCellMar>
        </w:tblPrEx>
        <w:tc>
          <w:tcPr>
            <w:tcW w:w="2145" w:type="dxa"/>
          </w:tcPr>
          <w:p w14:paraId="18F3D626"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לכל מ"ר קרקע</w:t>
            </w:r>
          </w:p>
        </w:tc>
        <w:tc>
          <w:tcPr>
            <w:tcW w:w="1650" w:type="dxa"/>
          </w:tcPr>
          <w:p w14:paraId="5D6B3B8E"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0.78</w:t>
            </w:r>
          </w:p>
        </w:tc>
        <w:tc>
          <w:tcPr>
            <w:tcW w:w="1320" w:type="dxa"/>
          </w:tcPr>
          <w:p w14:paraId="75D8A8EC"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0.78</w:t>
            </w:r>
          </w:p>
        </w:tc>
        <w:tc>
          <w:tcPr>
            <w:tcW w:w="1815" w:type="dxa"/>
          </w:tcPr>
          <w:p w14:paraId="13D56CFC"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0.78</w:t>
            </w:r>
          </w:p>
        </w:tc>
      </w:tr>
      <w:tr w:rsidR="00F8170C" w14:paraId="2E31CE1C" w14:textId="77777777">
        <w:tblPrEx>
          <w:tblCellMar>
            <w:top w:w="0" w:type="dxa"/>
            <w:bottom w:w="0" w:type="dxa"/>
          </w:tblCellMar>
        </w:tblPrEx>
        <w:tc>
          <w:tcPr>
            <w:tcW w:w="2145" w:type="dxa"/>
            <w:tcBorders>
              <w:bottom w:val="single" w:sz="4" w:space="0" w:color="auto"/>
            </w:tcBorders>
          </w:tcPr>
          <w:p w14:paraId="309187E8"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לכל מ"ר בניה</w:t>
            </w:r>
          </w:p>
        </w:tc>
        <w:tc>
          <w:tcPr>
            <w:tcW w:w="1650" w:type="dxa"/>
            <w:tcBorders>
              <w:bottom w:val="single" w:sz="4" w:space="0" w:color="auto"/>
            </w:tcBorders>
          </w:tcPr>
          <w:p w14:paraId="5A17963D"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2.70</w:t>
            </w:r>
          </w:p>
        </w:tc>
        <w:tc>
          <w:tcPr>
            <w:tcW w:w="1320" w:type="dxa"/>
            <w:tcBorders>
              <w:bottom w:val="single" w:sz="4" w:space="0" w:color="auto"/>
            </w:tcBorders>
          </w:tcPr>
          <w:p w14:paraId="55EB7C86"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3.38</w:t>
            </w:r>
          </w:p>
        </w:tc>
        <w:tc>
          <w:tcPr>
            <w:tcW w:w="1815" w:type="dxa"/>
            <w:tcBorders>
              <w:bottom w:val="single" w:sz="4" w:space="0" w:color="auto"/>
            </w:tcBorders>
          </w:tcPr>
          <w:p w14:paraId="4614FCC4"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3.38</w:t>
            </w:r>
          </w:p>
        </w:tc>
      </w:tr>
      <w:tr w:rsidR="00F8170C" w14:paraId="1EF313DF" w14:textId="77777777">
        <w:tblPrEx>
          <w:tblCellMar>
            <w:top w:w="0" w:type="dxa"/>
            <w:bottom w:w="0" w:type="dxa"/>
          </w:tblCellMar>
        </w:tblPrEx>
        <w:tc>
          <w:tcPr>
            <w:tcW w:w="2145" w:type="dxa"/>
          </w:tcPr>
          <w:p w14:paraId="47BCD905" w14:textId="77777777" w:rsidR="00F8170C" w:rsidRDefault="00F8170C" w:rsidP="00C36CB1">
            <w:pPr>
              <w:pStyle w:val="P22"/>
              <w:tabs>
                <w:tab w:val="clear" w:pos="2381"/>
                <w:tab w:val="left" w:pos="2330"/>
              </w:tabs>
              <w:spacing w:before="72"/>
              <w:ind w:left="845" w:right="0" w:hanging="845"/>
              <w:rPr>
                <w:rStyle w:val="default"/>
                <w:rFonts w:hint="cs"/>
                <w:sz w:val="22"/>
                <w:szCs w:val="24"/>
                <w:rtl/>
              </w:rPr>
            </w:pPr>
            <w:r>
              <w:rPr>
                <w:rStyle w:val="default"/>
                <w:rFonts w:hint="cs"/>
                <w:sz w:val="22"/>
                <w:szCs w:val="24"/>
                <w:rtl/>
              </w:rPr>
              <w:t>מיתקנים אחרים –</w:t>
            </w:r>
          </w:p>
        </w:tc>
        <w:tc>
          <w:tcPr>
            <w:tcW w:w="1650" w:type="dxa"/>
          </w:tcPr>
          <w:p w14:paraId="32DE6E48" w14:textId="77777777" w:rsidR="00F8170C" w:rsidRDefault="00F8170C" w:rsidP="00C36CB1">
            <w:pPr>
              <w:pStyle w:val="P22"/>
              <w:spacing w:before="100" w:beforeAutospacing="1"/>
              <w:ind w:left="0" w:right="0"/>
              <w:jc w:val="center"/>
              <w:rPr>
                <w:rStyle w:val="default"/>
                <w:rFonts w:hint="cs"/>
                <w:sz w:val="22"/>
                <w:szCs w:val="24"/>
              </w:rPr>
            </w:pPr>
          </w:p>
        </w:tc>
        <w:tc>
          <w:tcPr>
            <w:tcW w:w="1320" w:type="dxa"/>
          </w:tcPr>
          <w:p w14:paraId="1A39955A" w14:textId="77777777" w:rsidR="00F8170C" w:rsidRDefault="00F8170C" w:rsidP="00C36CB1">
            <w:pPr>
              <w:pStyle w:val="P22"/>
              <w:spacing w:before="100" w:beforeAutospacing="1"/>
              <w:ind w:left="0" w:right="0"/>
              <w:jc w:val="center"/>
              <w:rPr>
                <w:rStyle w:val="default"/>
                <w:rFonts w:hint="cs"/>
                <w:sz w:val="22"/>
                <w:szCs w:val="24"/>
              </w:rPr>
            </w:pPr>
          </w:p>
        </w:tc>
        <w:tc>
          <w:tcPr>
            <w:tcW w:w="1815" w:type="dxa"/>
          </w:tcPr>
          <w:p w14:paraId="2E236554" w14:textId="77777777" w:rsidR="00F8170C" w:rsidRDefault="00F8170C" w:rsidP="00C36CB1">
            <w:pPr>
              <w:pStyle w:val="P22"/>
              <w:spacing w:before="100" w:beforeAutospacing="1"/>
              <w:ind w:left="0" w:right="0"/>
              <w:jc w:val="center"/>
              <w:rPr>
                <w:rStyle w:val="default"/>
                <w:rFonts w:hint="cs"/>
                <w:sz w:val="22"/>
                <w:szCs w:val="24"/>
              </w:rPr>
            </w:pPr>
          </w:p>
        </w:tc>
      </w:tr>
      <w:tr w:rsidR="00F8170C" w14:paraId="5E2A08FB" w14:textId="77777777">
        <w:tblPrEx>
          <w:tblCellMar>
            <w:top w:w="0" w:type="dxa"/>
            <w:bottom w:w="0" w:type="dxa"/>
          </w:tblCellMar>
        </w:tblPrEx>
        <w:tc>
          <w:tcPr>
            <w:tcW w:w="2145" w:type="dxa"/>
          </w:tcPr>
          <w:p w14:paraId="6E4E0902" w14:textId="77777777" w:rsidR="00F8170C" w:rsidRDefault="00F8170C" w:rsidP="00C36CB1">
            <w:pPr>
              <w:pStyle w:val="P22"/>
              <w:spacing w:before="100" w:beforeAutospacing="1"/>
              <w:ind w:left="0" w:right="0"/>
              <w:jc w:val="center"/>
              <w:rPr>
                <w:rStyle w:val="default"/>
                <w:rFonts w:hint="cs"/>
                <w:sz w:val="22"/>
                <w:szCs w:val="24"/>
              </w:rPr>
            </w:pPr>
            <w:r>
              <w:rPr>
                <w:rStyle w:val="default"/>
                <w:rFonts w:hint="cs"/>
                <w:sz w:val="22"/>
                <w:szCs w:val="24"/>
                <w:rtl/>
              </w:rPr>
              <w:t>לכל מ"ר קרקע</w:t>
            </w:r>
          </w:p>
        </w:tc>
        <w:tc>
          <w:tcPr>
            <w:tcW w:w="1650" w:type="dxa"/>
          </w:tcPr>
          <w:p w14:paraId="42BC7801"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0.83</w:t>
            </w:r>
          </w:p>
        </w:tc>
        <w:tc>
          <w:tcPr>
            <w:tcW w:w="1320" w:type="dxa"/>
          </w:tcPr>
          <w:p w14:paraId="535495F4"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0.83</w:t>
            </w:r>
          </w:p>
        </w:tc>
        <w:tc>
          <w:tcPr>
            <w:tcW w:w="1815" w:type="dxa"/>
          </w:tcPr>
          <w:p w14:paraId="6F099871"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0.86</w:t>
            </w:r>
          </w:p>
        </w:tc>
      </w:tr>
      <w:tr w:rsidR="00F8170C" w14:paraId="73A62937" w14:textId="77777777">
        <w:tblPrEx>
          <w:tblCellMar>
            <w:top w:w="0" w:type="dxa"/>
            <w:bottom w:w="0" w:type="dxa"/>
          </w:tblCellMar>
        </w:tblPrEx>
        <w:tc>
          <w:tcPr>
            <w:tcW w:w="2145" w:type="dxa"/>
            <w:tcBorders>
              <w:bottom w:val="single" w:sz="4" w:space="0" w:color="auto"/>
            </w:tcBorders>
          </w:tcPr>
          <w:p w14:paraId="0DA76E9C"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לכל מ"ר בניה</w:t>
            </w:r>
          </w:p>
        </w:tc>
        <w:tc>
          <w:tcPr>
            <w:tcW w:w="1650" w:type="dxa"/>
            <w:tcBorders>
              <w:bottom w:val="single" w:sz="4" w:space="0" w:color="auto"/>
            </w:tcBorders>
          </w:tcPr>
          <w:p w14:paraId="6B4B1FF3"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2.86</w:t>
            </w:r>
          </w:p>
        </w:tc>
        <w:tc>
          <w:tcPr>
            <w:tcW w:w="1320" w:type="dxa"/>
            <w:tcBorders>
              <w:bottom w:val="single" w:sz="4" w:space="0" w:color="auto"/>
            </w:tcBorders>
          </w:tcPr>
          <w:p w14:paraId="3C159FD8"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3.59</w:t>
            </w:r>
          </w:p>
        </w:tc>
        <w:tc>
          <w:tcPr>
            <w:tcW w:w="1815" w:type="dxa"/>
            <w:tcBorders>
              <w:bottom w:val="single" w:sz="4" w:space="0" w:color="auto"/>
            </w:tcBorders>
          </w:tcPr>
          <w:p w14:paraId="24A1F0F8"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3.59</w:t>
            </w:r>
          </w:p>
        </w:tc>
      </w:tr>
      <w:tr w:rsidR="00F8170C" w14:paraId="09FC7DDA" w14:textId="77777777">
        <w:tblPrEx>
          <w:tblCellMar>
            <w:top w:w="0" w:type="dxa"/>
            <w:bottom w:w="0" w:type="dxa"/>
          </w:tblCellMar>
        </w:tblPrEx>
        <w:tc>
          <w:tcPr>
            <w:tcW w:w="2145" w:type="dxa"/>
            <w:tcBorders>
              <w:top w:val="single" w:sz="4" w:space="0" w:color="auto"/>
            </w:tcBorders>
          </w:tcPr>
          <w:p w14:paraId="48881BFD" w14:textId="77777777" w:rsidR="00F8170C" w:rsidRDefault="00F8170C" w:rsidP="00C36CB1">
            <w:pPr>
              <w:pStyle w:val="P22"/>
              <w:tabs>
                <w:tab w:val="clear" w:pos="2381"/>
                <w:tab w:val="left" w:pos="2330"/>
              </w:tabs>
              <w:spacing w:before="72"/>
              <w:ind w:left="0" w:right="0"/>
              <w:rPr>
                <w:rStyle w:val="default"/>
                <w:rFonts w:hint="cs"/>
                <w:sz w:val="22"/>
                <w:szCs w:val="24"/>
                <w:rtl/>
              </w:rPr>
            </w:pPr>
            <w:r>
              <w:rPr>
                <w:rStyle w:val="default"/>
                <w:rFonts w:hint="cs"/>
                <w:sz w:val="22"/>
                <w:szCs w:val="24"/>
                <w:rtl/>
              </w:rPr>
              <w:t>מכון טיהור שאינו מיועד לייצור מי שתיה –</w:t>
            </w:r>
          </w:p>
        </w:tc>
        <w:tc>
          <w:tcPr>
            <w:tcW w:w="1650" w:type="dxa"/>
            <w:tcBorders>
              <w:top w:val="single" w:sz="4" w:space="0" w:color="auto"/>
            </w:tcBorders>
          </w:tcPr>
          <w:p w14:paraId="28A6A03D" w14:textId="77777777" w:rsidR="00F8170C" w:rsidRDefault="00F8170C" w:rsidP="00C36CB1">
            <w:pPr>
              <w:pStyle w:val="P22"/>
              <w:spacing w:before="100" w:beforeAutospacing="1"/>
              <w:ind w:left="0" w:right="0"/>
              <w:jc w:val="center"/>
              <w:rPr>
                <w:rStyle w:val="default"/>
                <w:rFonts w:hint="cs"/>
                <w:sz w:val="22"/>
                <w:szCs w:val="24"/>
                <w:rtl/>
              </w:rPr>
            </w:pPr>
          </w:p>
        </w:tc>
        <w:tc>
          <w:tcPr>
            <w:tcW w:w="1320" w:type="dxa"/>
            <w:tcBorders>
              <w:top w:val="single" w:sz="4" w:space="0" w:color="auto"/>
            </w:tcBorders>
          </w:tcPr>
          <w:p w14:paraId="1B5E0A25" w14:textId="77777777" w:rsidR="00F8170C" w:rsidRDefault="00F8170C" w:rsidP="00C36CB1">
            <w:pPr>
              <w:pStyle w:val="P22"/>
              <w:spacing w:before="100" w:beforeAutospacing="1"/>
              <w:ind w:left="0" w:right="0"/>
              <w:jc w:val="center"/>
              <w:rPr>
                <w:rStyle w:val="default"/>
                <w:rFonts w:hint="cs"/>
                <w:sz w:val="22"/>
                <w:szCs w:val="24"/>
                <w:rtl/>
              </w:rPr>
            </w:pPr>
          </w:p>
        </w:tc>
        <w:tc>
          <w:tcPr>
            <w:tcW w:w="1815" w:type="dxa"/>
            <w:tcBorders>
              <w:top w:val="single" w:sz="4" w:space="0" w:color="auto"/>
            </w:tcBorders>
          </w:tcPr>
          <w:p w14:paraId="01B7F9F3" w14:textId="77777777" w:rsidR="00F8170C" w:rsidRDefault="00F8170C" w:rsidP="00C36CB1">
            <w:pPr>
              <w:pStyle w:val="P22"/>
              <w:spacing w:before="100" w:beforeAutospacing="1"/>
              <w:ind w:left="0" w:right="0"/>
              <w:jc w:val="center"/>
              <w:rPr>
                <w:rStyle w:val="default"/>
                <w:rFonts w:hint="cs"/>
                <w:sz w:val="22"/>
                <w:szCs w:val="24"/>
                <w:rtl/>
              </w:rPr>
            </w:pPr>
          </w:p>
        </w:tc>
      </w:tr>
      <w:tr w:rsidR="00F8170C" w14:paraId="6B70DF4C" w14:textId="77777777">
        <w:tblPrEx>
          <w:tblCellMar>
            <w:top w:w="0" w:type="dxa"/>
            <w:bottom w:w="0" w:type="dxa"/>
          </w:tblCellMar>
        </w:tblPrEx>
        <w:tc>
          <w:tcPr>
            <w:tcW w:w="2145" w:type="dxa"/>
            <w:tcBorders>
              <w:bottom w:val="single" w:sz="4" w:space="0" w:color="auto"/>
            </w:tcBorders>
          </w:tcPr>
          <w:p w14:paraId="3674CBDF"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לכל מ"ר בניה</w:t>
            </w:r>
          </w:p>
        </w:tc>
        <w:tc>
          <w:tcPr>
            <w:tcW w:w="1650" w:type="dxa"/>
            <w:tcBorders>
              <w:bottom w:val="single" w:sz="4" w:space="0" w:color="auto"/>
            </w:tcBorders>
          </w:tcPr>
          <w:p w14:paraId="39BDF2E9"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3.79</w:t>
            </w:r>
          </w:p>
        </w:tc>
        <w:tc>
          <w:tcPr>
            <w:tcW w:w="1320" w:type="dxa"/>
            <w:tcBorders>
              <w:bottom w:val="single" w:sz="4" w:space="0" w:color="auto"/>
            </w:tcBorders>
          </w:tcPr>
          <w:p w14:paraId="471C9515"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4.68</w:t>
            </w:r>
          </w:p>
        </w:tc>
        <w:tc>
          <w:tcPr>
            <w:tcW w:w="1815" w:type="dxa"/>
            <w:tcBorders>
              <w:bottom w:val="single" w:sz="4" w:space="0" w:color="auto"/>
            </w:tcBorders>
          </w:tcPr>
          <w:p w14:paraId="2E902890" w14:textId="77777777" w:rsidR="00F8170C" w:rsidRDefault="00F8170C" w:rsidP="00C36CB1">
            <w:pPr>
              <w:pStyle w:val="P22"/>
              <w:spacing w:before="100" w:beforeAutospacing="1"/>
              <w:ind w:left="0" w:right="0"/>
              <w:jc w:val="center"/>
              <w:rPr>
                <w:rStyle w:val="default"/>
                <w:rFonts w:hint="cs"/>
                <w:sz w:val="22"/>
                <w:szCs w:val="24"/>
                <w:rtl/>
              </w:rPr>
            </w:pPr>
            <w:r>
              <w:rPr>
                <w:rStyle w:val="default"/>
                <w:rFonts w:hint="cs"/>
                <w:sz w:val="22"/>
                <w:szCs w:val="24"/>
                <w:rtl/>
              </w:rPr>
              <w:t>4.68</w:t>
            </w:r>
          </w:p>
        </w:tc>
      </w:tr>
    </w:tbl>
    <w:p w14:paraId="64334F48" w14:textId="77777777" w:rsidR="00F8170C" w:rsidRDefault="00F8170C" w:rsidP="00F8170C">
      <w:pPr>
        <w:pStyle w:val="P00"/>
        <w:spacing w:before="72"/>
        <w:ind w:left="0" w:right="1134"/>
        <w:rPr>
          <w:rFonts w:cs="FrankRuehl" w:hint="cs"/>
          <w:rtl/>
          <w:lang w:eastAsia="en-US"/>
        </w:rPr>
      </w:pPr>
    </w:p>
    <w:p w14:paraId="1F7573EB" w14:textId="77777777" w:rsidR="00C52D55" w:rsidRDefault="00C702D1" w:rsidP="00C702D1">
      <w:pPr>
        <w:pStyle w:val="P00"/>
        <w:spacing w:before="72"/>
        <w:ind w:left="0" w:right="1134"/>
        <w:rPr>
          <w:rFonts w:cs="FrankRuehl" w:hint="cs"/>
          <w:rtl/>
          <w:lang w:eastAsia="en-US"/>
        </w:rPr>
      </w:pPr>
      <w:r>
        <w:rPr>
          <w:rFonts w:cs="FrankRuehl" w:hint="cs"/>
          <w:rtl/>
          <w:lang w:eastAsia="en-US"/>
        </w:rPr>
        <w:pict w14:anchorId="53CAD318">
          <v:rect id="_x0000_s1096" style="position:absolute;left:0;text-align:left;margin-left:462pt;margin-top:5.25pt;width:75.05pt;height:20.8pt;z-index:251661824" filled="f" stroked="f" strokecolor="lime" strokeweight=".25pt">
            <v:textbox style="mso-next-textbox:#_x0000_s1096" inset="0,0,0,0">
              <w:txbxContent>
                <w:p w14:paraId="32DF454E" w14:textId="77777777" w:rsidR="00C702D1" w:rsidRDefault="00C702D1" w:rsidP="00F8170C">
                  <w:pPr>
                    <w:spacing w:line="160" w:lineRule="exact"/>
                    <w:jc w:val="left"/>
                    <w:rPr>
                      <w:rFonts w:cs="Miriam" w:hint="cs"/>
                      <w:sz w:val="18"/>
                      <w:szCs w:val="18"/>
                      <w:rtl/>
                    </w:rPr>
                  </w:pPr>
                  <w:r>
                    <w:rPr>
                      <w:rFonts w:cs="Miriam" w:hint="cs"/>
                      <w:sz w:val="18"/>
                      <w:szCs w:val="18"/>
                      <w:rtl/>
                    </w:rPr>
                    <w:t xml:space="preserve">תיקון (מס' 2) </w:t>
                  </w:r>
                  <w:r w:rsidR="00F8170C">
                    <w:rPr>
                      <w:rFonts w:cs="Miriam"/>
                      <w:sz w:val="18"/>
                      <w:szCs w:val="18"/>
                      <w:rtl/>
                    </w:rPr>
                    <w:br/>
                  </w:r>
                  <w:r>
                    <w:rPr>
                      <w:rFonts w:cs="Miriam" w:hint="cs"/>
                      <w:sz w:val="18"/>
                      <w:szCs w:val="18"/>
                      <w:rtl/>
                    </w:rPr>
                    <w:t>תשנ"א-1991</w:t>
                  </w:r>
                </w:p>
              </w:txbxContent>
            </v:textbox>
            <w10:anchorlock/>
          </v:rect>
        </w:pict>
      </w:r>
      <w:r w:rsidR="00F8170C">
        <w:rPr>
          <w:rFonts w:cs="FrankRuehl" w:hint="cs"/>
          <w:rtl/>
          <w:lang w:eastAsia="en-US"/>
        </w:rPr>
        <w:t>3.</w:t>
      </w:r>
      <w:r w:rsidR="00F8170C">
        <w:rPr>
          <w:rFonts w:cs="FrankRuehl" w:hint="cs"/>
          <w:rtl/>
          <w:lang w:eastAsia="en-US"/>
        </w:rPr>
        <w:tab/>
      </w:r>
      <w:r>
        <w:rPr>
          <w:rFonts w:cs="FrankRuehl" w:hint="cs"/>
          <w:rtl/>
          <w:lang w:eastAsia="en-US"/>
        </w:rPr>
        <w:t>על אף האמור בסעיף 2, לגבי חניונים תשולם אגרה לכל מ"ר בניה בשיעור 50% מהסכום הנקוב בו, לפי הענין</w:t>
      </w:r>
      <w:r w:rsidR="00C52D55">
        <w:rPr>
          <w:rFonts w:cs="FrankRuehl" w:hint="cs"/>
          <w:rtl/>
          <w:lang w:eastAsia="en-US"/>
        </w:rPr>
        <w:t>.</w:t>
      </w:r>
    </w:p>
    <w:p w14:paraId="77ECD463" w14:textId="77777777" w:rsidR="00EF28B2" w:rsidRPr="00F8170C" w:rsidRDefault="00EF28B2" w:rsidP="00EF28B2">
      <w:pPr>
        <w:pStyle w:val="medium2-header"/>
        <w:keepLines w:val="0"/>
        <w:ind w:left="0" w:right="1134"/>
        <w:outlineLvl w:val="0"/>
        <w:rPr>
          <w:rFonts w:cs="FrankRuehl" w:hint="cs"/>
          <w:noProof/>
          <w:sz w:val="26"/>
          <w:szCs w:val="26"/>
          <w:rtl/>
        </w:rPr>
      </w:pPr>
      <w:bookmarkStart w:id="14" w:name="med2"/>
      <w:bookmarkEnd w:id="14"/>
      <w:r w:rsidRPr="00F8170C">
        <w:rPr>
          <w:rFonts w:cs="FrankRuehl" w:hint="cs"/>
          <w:noProof/>
          <w:sz w:val="26"/>
          <w:szCs w:val="26"/>
          <w:rtl/>
          <w:lang w:eastAsia="en-US"/>
        </w:rPr>
        <w:pict w14:anchorId="271123FA">
          <v:rect id="_x0000_s1074" style="position:absolute;left:0;text-align:left;margin-left:462pt;margin-top:14.05pt;width:75.05pt;height:16.8pt;z-index:251660800" filled="f" stroked="f" strokecolor="lime" strokeweight=".25pt">
            <v:textbox style="mso-next-textbox:#_x0000_s1074" inset="0,0,0,0">
              <w:txbxContent>
                <w:p w14:paraId="291E8A16" w14:textId="77777777" w:rsidR="00EF28B2" w:rsidRDefault="00F8170C" w:rsidP="00F8170C">
                  <w:pPr>
                    <w:spacing w:line="160" w:lineRule="exact"/>
                    <w:jc w:val="left"/>
                    <w:rPr>
                      <w:rFonts w:cs="Miriam" w:hint="cs"/>
                      <w:sz w:val="18"/>
                      <w:szCs w:val="18"/>
                      <w:rtl/>
                    </w:rPr>
                  </w:pPr>
                  <w:r>
                    <w:rPr>
                      <w:rFonts w:cs="Miriam" w:hint="cs"/>
                      <w:sz w:val="18"/>
                      <w:szCs w:val="18"/>
                      <w:rtl/>
                    </w:rPr>
                    <w:t>תיקון</w:t>
                  </w:r>
                  <w:r w:rsidR="00EF28B2">
                    <w:rPr>
                      <w:rFonts w:cs="Miriam" w:hint="cs"/>
                      <w:sz w:val="18"/>
                      <w:szCs w:val="18"/>
                      <w:rtl/>
                    </w:rPr>
                    <w:t xml:space="preserve"> תשמ"ח-1987</w:t>
                  </w:r>
                </w:p>
              </w:txbxContent>
            </v:textbox>
            <w10:anchorlock/>
          </v:rect>
        </w:pict>
      </w:r>
      <w:r w:rsidRPr="00F8170C">
        <w:rPr>
          <w:rFonts w:cs="FrankRuehl" w:hint="cs"/>
          <w:noProof/>
          <w:sz w:val="26"/>
          <w:szCs w:val="26"/>
          <w:rtl/>
        </w:rPr>
        <w:t>תוספת שניה</w:t>
      </w:r>
    </w:p>
    <w:p w14:paraId="539CC7E2" w14:textId="77777777" w:rsidR="00EF28B2" w:rsidRDefault="00EF28B2" w:rsidP="00EF28B2">
      <w:pPr>
        <w:pStyle w:val="medium2-header"/>
        <w:keepLines w:val="0"/>
        <w:spacing w:before="72"/>
        <w:ind w:left="0" w:right="1134"/>
        <w:rPr>
          <w:rFonts w:cs="FrankRuehl" w:hint="cs"/>
          <w:bCs w:val="0"/>
          <w:noProof/>
          <w:rtl/>
        </w:rPr>
      </w:pPr>
      <w:r>
        <w:rPr>
          <w:rFonts w:cs="FrankRuehl" w:hint="cs"/>
          <w:bCs w:val="0"/>
          <w:noProof/>
          <w:rtl/>
        </w:rPr>
        <w:t>(סעיף 2א)</w:t>
      </w:r>
    </w:p>
    <w:p w14:paraId="40AD14EC" w14:textId="77777777" w:rsidR="00EF28B2" w:rsidRDefault="00EF28B2" w:rsidP="00EF28B2">
      <w:pPr>
        <w:pStyle w:val="medium2-header"/>
        <w:keepLines w:val="0"/>
        <w:spacing w:before="72"/>
        <w:ind w:left="0" w:right="1134"/>
        <w:rPr>
          <w:rFonts w:cs="FrankRuehl" w:hint="cs"/>
          <w:bCs w:val="0"/>
          <w:noProof/>
          <w:rtl/>
        </w:rPr>
      </w:pPr>
    </w:p>
    <w:p w14:paraId="4B088A2F" w14:textId="77777777" w:rsidR="00EF28B2" w:rsidRPr="00EF28B2" w:rsidRDefault="00EF28B2" w:rsidP="00EF28B2">
      <w:pPr>
        <w:pStyle w:val="P00"/>
        <w:spacing w:before="72"/>
        <w:ind w:left="0" w:right="1134"/>
        <w:rPr>
          <w:rStyle w:val="default"/>
          <w:rFonts w:hint="cs"/>
          <w:rtl/>
        </w:rPr>
      </w:pPr>
      <w:r w:rsidRPr="00EF28B2">
        <w:rPr>
          <w:rStyle w:val="big-number"/>
          <w:rFonts w:ascii="Times New Roman" w:hAnsi="Times New Roman" w:hint="cs"/>
          <w:sz w:val="22"/>
          <w:szCs w:val="26"/>
          <w:rtl/>
        </w:rPr>
        <w:t>א.</w:t>
      </w:r>
      <w:r>
        <w:rPr>
          <w:rStyle w:val="big-number"/>
          <w:rFonts w:cs="Miriam" w:hint="cs"/>
          <w:rtl/>
        </w:rPr>
        <w:tab/>
      </w:r>
      <w:r w:rsidRPr="00EF28B2">
        <w:rPr>
          <w:rStyle w:val="default"/>
          <w:rFonts w:hint="cs"/>
          <w:rtl/>
        </w:rPr>
        <w:t>תוספת מפעל בשל כמות השפכים תהיה כמפורט להלן:</w:t>
      </w:r>
    </w:p>
    <w:p w14:paraId="21AA0EDC" w14:textId="77777777" w:rsidR="00EF28B2" w:rsidRPr="00EF28B2" w:rsidRDefault="00EF28B2" w:rsidP="00EF28B2">
      <w:pPr>
        <w:pStyle w:val="P00"/>
        <w:spacing w:before="72"/>
        <w:ind w:left="624" w:right="1134" w:hanging="624"/>
        <w:rPr>
          <w:rStyle w:val="default"/>
          <w:rFonts w:hint="cs"/>
          <w:rtl/>
        </w:rPr>
      </w:pPr>
      <w:r w:rsidRPr="00EF28B2">
        <w:rPr>
          <w:rStyle w:val="default"/>
          <w:rFonts w:hint="cs"/>
          <w:rtl/>
        </w:rPr>
        <w:tab/>
        <w:t>(1)</w:t>
      </w:r>
      <w:r w:rsidRPr="00EF28B2">
        <w:rPr>
          <w:rStyle w:val="default"/>
          <w:rFonts w:hint="cs"/>
          <w:rtl/>
        </w:rPr>
        <w:tab/>
        <w:t>בעד ביב מאסף – מכפלת היטל ביוב לביב מאסף כמפורט בתוספת הראשונה, במקדם התוספת בשל כמות השפכים;</w:t>
      </w:r>
    </w:p>
    <w:p w14:paraId="1408C2F9" w14:textId="77777777" w:rsidR="00EF28B2" w:rsidRDefault="00EF28B2" w:rsidP="00EF28B2">
      <w:pPr>
        <w:pStyle w:val="P00"/>
        <w:spacing w:before="72"/>
        <w:ind w:left="624" w:right="1134" w:hanging="624"/>
        <w:rPr>
          <w:rStyle w:val="default"/>
          <w:rFonts w:hint="cs"/>
          <w:rtl/>
        </w:rPr>
      </w:pPr>
      <w:r w:rsidRPr="00EF28B2">
        <w:rPr>
          <w:rStyle w:val="default"/>
          <w:rtl/>
        </w:rPr>
        <w:tab/>
      </w:r>
      <w:r>
        <w:rPr>
          <w:rStyle w:val="default"/>
          <w:rFonts w:hint="cs"/>
          <w:rtl/>
        </w:rPr>
        <w:t>(2)</w:t>
      </w:r>
      <w:r>
        <w:rPr>
          <w:rStyle w:val="default"/>
          <w:rFonts w:hint="cs"/>
          <w:rtl/>
        </w:rPr>
        <w:tab/>
        <w:t>בעד מיתקנים אחרים – מכפלת היטל ביוב למיתקנים אחרים כמפורט בתוספת הראשונה במקדם התוספת בשל כמות השפכים;</w:t>
      </w:r>
    </w:p>
    <w:p w14:paraId="2F2C9503" w14:textId="77777777" w:rsidR="00EF28B2" w:rsidRDefault="00EF28B2" w:rsidP="00EF28B2">
      <w:pPr>
        <w:pStyle w:val="P00"/>
        <w:spacing w:before="72"/>
        <w:ind w:left="624" w:right="1134" w:hanging="624"/>
        <w:rPr>
          <w:rStyle w:val="default"/>
          <w:rFonts w:hint="cs"/>
          <w:rtl/>
        </w:rPr>
      </w:pPr>
      <w:r>
        <w:rPr>
          <w:rStyle w:val="default"/>
          <w:rFonts w:hint="cs"/>
          <w:rtl/>
        </w:rPr>
        <w:tab/>
        <w:t>(3)</w:t>
      </w:r>
      <w:r>
        <w:rPr>
          <w:rStyle w:val="default"/>
          <w:rFonts w:hint="cs"/>
          <w:rtl/>
        </w:rPr>
        <w:tab/>
        <w:t>בעד מכון טיהור – מכפלת 0.6 מהיטל הביוב למכון הטיהור כמפורט בתוספת הראשונה, במקדם התוספת בשל כמות השפכים;</w:t>
      </w:r>
    </w:p>
    <w:p w14:paraId="5C5D63AA" w14:textId="77777777" w:rsidR="00EF28B2" w:rsidRDefault="00EF28B2" w:rsidP="00EF28B2">
      <w:pPr>
        <w:pStyle w:val="P00"/>
        <w:spacing w:before="72"/>
        <w:ind w:left="0" w:right="1134"/>
        <w:rPr>
          <w:rStyle w:val="default"/>
          <w:rFonts w:hint="cs"/>
          <w:rtl/>
        </w:rPr>
      </w:pPr>
      <w:r>
        <w:rPr>
          <w:rStyle w:val="default"/>
          <w:rFonts w:hint="cs"/>
          <w:rtl/>
        </w:rPr>
        <w:tab/>
        <w:t>בסעיף זה, "מקדם התוספת בשל כמות השפכים" – היחס שבין כמות השפכים במ"ק הנשפכים ממפעל ליממה, פחות מכפלת שטח המפעל בדונם בארבע מ"ק, והכל מחולק במכפלת שטח המפעל בדונם ב-4 מטרים מעוקבים.</w:t>
      </w:r>
    </w:p>
    <w:p w14:paraId="05C546DB" w14:textId="77777777" w:rsidR="00EF28B2" w:rsidRPr="00EF28B2" w:rsidRDefault="00EF28B2" w:rsidP="00EF28B2">
      <w:pPr>
        <w:pStyle w:val="P00"/>
        <w:spacing w:before="72"/>
        <w:ind w:left="0" w:right="1134"/>
        <w:rPr>
          <w:rStyle w:val="default"/>
          <w:rFonts w:hint="cs"/>
          <w:rtl/>
        </w:rPr>
      </w:pPr>
      <w:r>
        <w:rPr>
          <w:rStyle w:val="default"/>
          <w:rFonts w:hint="cs"/>
          <w:rtl/>
        </w:rPr>
        <w:t>ב.</w:t>
      </w:r>
      <w:r>
        <w:rPr>
          <w:rStyle w:val="default"/>
          <w:rFonts w:hint="cs"/>
          <w:rtl/>
        </w:rPr>
        <w:tab/>
        <w:t>תוספת מפעל בשל ריכוז הצח"ב בשפכים תהיה מכפלת 0.35 מהיטל הביוב למכון טיהור כמפורט בתוספת הראשונה, במקדם התוספת בשל ריכוז הצח"ב בשפכים; לענין זה, "מקדם התוספת בשל ריכוז הצח"ב בשפכים" – היחס שבין ריכוז הצח"ב במג"ל שפכים פחות 250 צח"ב במג"ל לבין 250 צח"ב במג"ל.</w:t>
      </w:r>
    </w:p>
    <w:p w14:paraId="7C3BE7B8" w14:textId="77777777" w:rsidR="00621BD7" w:rsidRPr="00F8170C" w:rsidRDefault="00621BD7" w:rsidP="00EF28B2">
      <w:pPr>
        <w:pStyle w:val="P00"/>
        <w:spacing w:before="72"/>
        <w:ind w:left="0" w:right="1134"/>
        <w:rPr>
          <w:rStyle w:val="default"/>
          <w:rFonts w:hint="cs"/>
          <w:rtl/>
        </w:rPr>
      </w:pPr>
    </w:p>
    <w:p w14:paraId="21356579" w14:textId="77777777" w:rsidR="00621BD7" w:rsidRDefault="00621BD7" w:rsidP="00F8170C">
      <w:pPr>
        <w:pStyle w:val="P00"/>
        <w:spacing w:before="72"/>
        <w:ind w:left="0" w:right="1134"/>
        <w:rPr>
          <w:rStyle w:val="default"/>
          <w:rFonts w:hint="cs"/>
          <w:rtl/>
        </w:rPr>
      </w:pPr>
    </w:p>
    <w:p w14:paraId="18828E87" w14:textId="77777777" w:rsidR="00621BD7" w:rsidRDefault="00F8170C">
      <w:pPr>
        <w:pStyle w:val="P00"/>
        <w:spacing w:before="72"/>
        <w:ind w:left="0" w:right="1134"/>
        <w:rPr>
          <w:rStyle w:val="default"/>
          <w:rFonts w:hint="cs"/>
          <w:rtl/>
        </w:rPr>
      </w:pPr>
      <w:r>
        <w:rPr>
          <w:rStyle w:val="default"/>
          <w:rFonts w:hint="cs"/>
          <w:rtl/>
        </w:rPr>
        <w:tab/>
      </w:r>
      <w:r w:rsidR="00621BD7">
        <w:rPr>
          <w:rStyle w:val="default"/>
          <w:rFonts w:hint="cs"/>
          <w:rtl/>
        </w:rPr>
        <w:t>נתאשר.</w:t>
      </w:r>
    </w:p>
    <w:p w14:paraId="63A29407" w14:textId="77777777" w:rsidR="00621BD7" w:rsidRDefault="007A61D6" w:rsidP="00F8170C">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כ"ב</w:t>
      </w:r>
      <w:r w:rsidR="00621BD7">
        <w:rPr>
          <w:rFonts w:cs="FrankRuehl" w:hint="cs"/>
          <w:sz w:val="28"/>
          <w:szCs w:val="26"/>
          <w:rtl/>
        </w:rPr>
        <w:t xml:space="preserve"> </w:t>
      </w:r>
      <w:r>
        <w:rPr>
          <w:rFonts w:cs="FrankRuehl" w:hint="cs"/>
          <w:sz w:val="28"/>
          <w:szCs w:val="26"/>
          <w:rtl/>
        </w:rPr>
        <w:t>באדר ב'</w:t>
      </w:r>
      <w:r w:rsidR="00621BD7">
        <w:rPr>
          <w:rFonts w:cs="FrankRuehl" w:hint="cs"/>
          <w:sz w:val="28"/>
          <w:szCs w:val="26"/>
          <w:rtl/>
        </w:rPr>
        <w:t xml:space="preserve"> תשכ"</w:t>
      </w:r>
      <w:r>
        <w:rPr>
          <w:rFonts w:cs="FrankRuehl" w:hint="cs"/>
          <w:sz w:val="28"/>
          <w:szCs w:val="26"/>
          <w:rtl/>
        </w:rPr>
        <w:t>ה</w:t>
      </w:r>
      <w:r w:rsidR="00621BD7">
        <w:rPr>
          <w:rFonts w:cs="FrankRuehl" w:hint="cs"/>
          <w:sz w:val="28"/>
          <w:szCs w:val="26"/>
          <w:rtl/>
        </w:rPr>
        <w:t xml:space="preserve"> (</w:t>
      </w:r>
      <w:r>
        <w:rPr>
          <w:rFonts w:cs="FrankRuehl" w:hint="cs"/>
          <w:sz w:val="28"/>
          <w:szCs w:val="26"/>
          <w:rtl/>
        </w:rPr>
        <w:t>26 במרס 1965</w:t>
      </w:r>
      <w:r w:rsidR="00621BD7">
        <w:rPr>
          <w:rFonts w:cs="FrankRuehl" w:hint="cs"/>
          <w:sz w:val="28"/>
          <w:szCs w:val="26"/>
          <w:rtl/>
        </w:rPr>
        <w:t>)</w:t>
      </w:r>
      <w:r w:rsidR="00621BD7">
        <w:rPr>
          <w:rFonts w:cs="FrankRuehl"/>
          <w:sz w:val="28"/>
          <w:szCs w:val="26"/>
          <w:rtl/>
        </w:rPr>
        <w:tab/>
      </w:r>
      <w:r>
        <w:rPr>
          <w:rFonts w:cs="FrankRuehl" w:hint="cs"/>
          <w:sz w:val="28"/>
          <w:szCs w:val="26"/>
          <w:rtl/>
        </w:rPr>
        <w:t>ע' בן-עמי</w:t>
      </w:r>
    </w:p>
    <w:p w14:paraId="6F15B937" w14:textId="77777777" w:rsidR="00621BD7" w:rsidRPr="00F8170C" w:rsidRDefault="00621BD7" w:rsidP="00F8170C">
      <w:pPr>
        <w:pStyle w:val="sig-1"/>
        <w:widowControl/>
        <w:tabs>
          <w:tab w:val="clear" w:pos="851"/>
          <w:tab w:val="clear" w:pos="2835"/>
          <w:tab w:val="clear" w:pos="4820"/>
          <w:tab w:val="center" w:pos="5103"/>
        </w:tabs>
        <w:ind w:left="0" w:right="1134"/>
        <w:rPr>
          <w:rFonts w:cs="FrankRuehl" w:hint="cs"/>
          <w:sz w:val="22"/>
          <w:rtl/>
        </w:rPr>
      </w:pPr>
      <w:r w:rsidRPr="00F8170C">
        <w:rPr>
          <w:rFonts w:cs="FrankRuehl" w:hint="cs"/>
          <w:sz w:val="22"/>
          <w:rtl/>
        </w:rPr>
        <w:tab/>
        <w:t xml:space="preserve">ראש עיריית </w:t>
      </w:r>
      <w:r w:rsidR="007A61D6" w:rsidRPr="00F8170C">
        <w:rPr>
          <w:rFonts w:cs="FrankRuehl" w:hint="cs"/>
          <w:sz w:val="22"/>
          <w:rtl/>
        </w:rPr>
        <w:t>נתניה</w:t>
      </w:r>
    </w:p>
    <w:p w14:paraId="2F6F69AB" w14:textId="77777777" w:rsidR="00621BD7" w:rsidRDefault="00621BD7" w:rsidP="00F8170C">
      <w:pPr>
        <w:pStyle w:val="sig-1"/>
        <w:widowControl/>
        <w:tabs>
          <w:tab w:val="clear" w:pos="851"/>
          <w:tab w:val="clear" w:pos="2835"/>
          <w:tab w:val="clear" w:pos="4820"/>
          <w:tab w:val="center" w:pos="3402"/>
        </w:tabs>
        <w:spacing w:before="72"/>
        <w:ind w:left="0" w:right="1134"/>
        <w:rPr>
          <w:rFonts w:cs="FrankRuehl" w:hint="cs"/>
          <w:sz w:val="28"/>
          <w:szCs w:val="26"/>
          <w:rtl/>
        </w:rPr>
      </w:pPr>
      <w:r>
        <w:rPr>
          <w:rFonts w:cs="FrankRuehl" w:hint="cs"/>
          <w:sz w:val="28"/>
          <w:szCs w:val="26"/>
          <w:rtl/>
        </w:rPr>
        <w:tab/>
      </w:r>
      <w:r w:rsidR="007A61D6">
        <w:rPr>
          <w:rFonts w:cs="FrankRuehl" w:hint="cs"/>
          <w:sz w:val="28"/>
          <w:szCs w:val="26"/>
          <w:rtl/>
        </w:rPr>
        <w:t>חיים משה שפירא</w:t>
      </w:r>
    </w:p>
    <w:p w14:paraId="6035942B" w14:textId="77777777" w:rsidR="00621BD7" w:rsidRPr="00F8170C" w:rsidRDefault="00621BD7" w:rsidP="00F8170C">
      <w:pPr>
        <w:pStyle w:val="sig-1"/>
        <w:widowControl/>
        <w:tabs>
          <w:tab w:val="clear" w:pos="851"/>
          <w:tab w:val="clear" w:pos="2835"/>
          <w:tab w:val="clear" w:pos="4820"/>
          <w:tab w:val="center" w:pos="3402"/>
        </w:tabs>
        <w:ind w:left="0" w:right="1134"/>
        <w:rPr>
          <w:rFonts w:cs="FrankRuehl" w:hint="cs"/>
          <w:sz w:val="22"/>
          <w:rtl/>
        </w:rPr>
      </w:pPr>
      <w:r w:rsidRPr="00F8170C">
        <w:rPr>
          <w:rFonts w:cs="FrankRuehl" w:hint="cs"/>
          <w:sz w:val="22"/>
          <w:rtl/>
        </w:rPr>
        <w:tab/>
        <w:t>שר הפנים</w:t>
      </w:r>
    </w:p>
    <w:p w14:paraId="028227AB" w14:textId="77777777" w:rsidR="00621BD7" w:rsidRPr="00F8170C" w:rsidRDefault="00621BD7" w:rsidP="00F8170C">
      <w:pPr>
        <w:pStyle w:val="P00"/>
        <w:spacing w:before="72"/>
        <w:ind w:left="0" w:right="1134"/>
        <w:rPr>
          <w:rStyle w:val="default"/>
          <w:rtl/>
        </w:rPr>
      </w:pPr>
    </w:p>
    <w:p w14:paraId="563869C4" w14:textId="77777777" w:rsidR="00621BD7" w:rsidRPr="00F8170C" w:rsidRDefault="00621BD7" w:rsidP="00F8170C">
      <w:pPr>
        <w:pStyle w:val="P00"/>
        <w:spacing w:before="72"/>
        <w:ind w:left="0" w:right="1134"/>
        <w:rPr>
          <w:rStyle w:val="default"/>
          <w:rtl/>
        </w:rPr>
      </w:pPr>
    </w:p>
    <w:p w14:paraId="4D3E6935" w14:textId="77777777" w:rsidR="00621BD7" w:rsidRDefault="00621BD7" w:rsidP="00F8170C">
      <w:pPr>
        <w:pStyle w:val="P00"/>
        <w:spacing w:before="72"/>
        <w:ind w:left="0" w:right="1134"/>
        <w:rPr>
          <w:rStyle w:val="default"/>
          <w:rFonts w:hint="cs"/>
          <w:rtl/>
        </w:rPr>
      </w:pPr>
      <w:bookmarkStart w:id="15" w:name="LawPartEnd"/>
      <w:bookmarkEnd w:id="15"/>
    </w:p>
    <w:p w14:paraId="6E570166" w14:textId="77777777" w:rsidR="00D32A3A" w:rsidRPr="00FC2D8F" w:rsidRDefault="00D32A3A" w:rsidP="00D32A3A">
      <w:pPr>
        <w:pStyle w:val="P00"/>
        <w:spacing w:before="72"/>
        <w:ind w:left="0" w:right="1134"/>
        <w:rPr>
          <w:rStyle w:val="default"/>
          <w:rFonts w:hint="cs"/>
          <w:sz w:val="16"/>
          <w:szCs w:val="16"/>
          <w:rtl/>
        </w:rPr>
      </w:pPr>
      <w:r w:rsidRPr="00FC2D8F">
        <w:rPr>
          <w:rStyle w:val="default"/>
          <w:rFonts w:hint="cs"/>
          <w:sz w:val="16"/>
          <w:szCs w:val="16"/>
          <w:rtl/>
        </w:rPr>
        <w:t>גפני</w:t>
      </w:r>
    </w:p>
    <w:p w14:paraId="1ADD9C85" w14:textId="77777777" w:rsidR="00F8170C" w:rsidRPr="00F8170C" w:rsidRDefault="00F8170C" w:rsidP="00F8170C">
      <w:pPr>
        <w:pStyle w:val="P00"/>
        <w:spacing w:before="72"/>
        <w:ind w:left="0" w:right="1134"/>
        <w:rPr>
          <w:rStyle w:val="default"/>
          <w:rFonts w:hint="cs"/>
          <w:rtl/>
        </w:rPr>
      </w:pPr>
    </w:p>
    <w:sectPr w:rsidR="00F8170C" w:rsidRPr="00F8170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F664" w14:textId="77777777" w:rsidR="00B421AB" w:rsidRDefault="00B421AB">
      <w:r>
        <w:separator/>
      </w:r>
    </w:p>
  </w:endnote>
  <w:endnote w:type="continuationSeparator" w:id="0">
    <w:p w14:paraId="453D4B73" w14:textId="77777777" w:rsidR="00B421AB" w:rsidRDefault="00B4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40BF" w14:textId="77777777" w:rsidR="00621BD7" w:rsidRDefault="00621B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50C884" w14:textId="77777777" w:rsidR="00621BD7" w:rsidRDefault="00621B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291D5B" w14:textId="77777777" w:rsidR="00621BD7" w:rsidRDefault="00621B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27B6">
      <w:rPr>
        <w:rFonts w:cs="TopType Jerushalmi"/>
        <w:noProof/>
        <w:color w:val="000000"/>
        <w:sz w:val="14"/>
        <w:szCs w:val="14"/>
      </w:rPr>
      <w:t>D:\Yael\hakika\mekomi\mek_009_001.doc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4132C" w14:textId="77777777" w:rsidR="00621BD7" w:rsidRDefault="00621B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7166">
      <w:rPr>
        <w:rFonts w:hAnsi="FrankRuehl" w:cs="FrankRuehl"/>
        <w:noProof/>
        <w:sz w:val="24"/>
        <w:szCs w:val="24"/>
        <w:rtl/>
      </w:rPr>
      <w:t>4</w:t>
    </w:r>
    <w:r>
      <w:rPr>
        <w:rFonts w:hAnsi="FrankRuehl" w:cs="FrankRuehl"/>
        <w:sz w:val="24"/>
        <w:szCs w:val="24"/>
        <w:rtl/>
      </w:rPr>
      <w:fldChar w:fldCharType="end"/>
    </w:r>
  </w:p>
  <w:p w14:paraId="76305C31" w14:textId="77777777" w:rsidR="00621BD7" w:rsidRDefault="00621B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4DC281" w14:textId="77777777" w:rsidR="00621BD7" w:rsidRDefault="00621B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27B6">
      <w:rPr>
        <w:rFonts w:cs="TopType Jerushalmi"/>
        <w:noProof/>
        <w:color w:val="000000"/>
        <w:sz w:val="14"/>
        <w:szCs w:val="14"/>
      </w:rPr>
      <w:t>D:\Yael\hakika\mekomi\mek_009_001.doc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E2A5" w14:textId="77777777" w:rsidR="00B421AB" w:rsidRDefault="00B421AB" w:rsidP="004127B6">
      <w:pPr>
        <w:spacing w:before="60" w:line="240" w:lineRule="auto"/>
        <w:ind w:right="1134"/>
      </w:pPr>
      <w:r>
        <w:separator/>
      </w:r>
    </w:p>
  </w:footnote>
  <w:footnote w:type="continuationSeparator" w:id="0">
    <w:p w14:paraId="04C6FF95" w14:textId="77777777" w:rsidR="00B421AB" w:rsidRDefault="00B421AB">
      <w:r>
        <w:continuationSeparator/>
      </w:r>
    </w:p>
  </w:footnote>
  <w:footnote w:id="1">
    <w:p w14:paraId="75F5FD74" w14:textId="77777777" w:rsidR="00621BD7"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sidR="0018649B">
        <w:rPr>
          <w:rFonts w:cs="FrankRuehl" w:hint="cs"/>
          <w:rtl/>
        </w:rPr>
        <w:t xml:space="preserve"> </w:t>
      </w:r>
      <w:r>
        <w:rPr>
          <w:rFonts w:cs="FrankRuehl"/>
          <w:rtl/>
        </w:rPr>
        <w:t>פ</w:t>
      </w:r>
      <w:r w:rsidR="004127B6">
        <w:rPr>
          <w:rFonts w:cs="FrankRuehl" w:hint="cs"/>
          <w:rtl/>
        </w:rPr>
        <w:t>ורסם</w:t>
      </w:r>
      <w:r>
        <w:rPr>
          <w:rFonts w:cs="FrankRuehl" w:hint="cs"/>
          <w:rtl/>
        </w:rPr>
        <w:t xml:space="preserve"> </w:t>
      </w:r>
      <w:hyperlink r:id="rId1" w:history="1">
        <w:r w:rsidRPr="007A61D6">
          <w:rPr>
            <w:rStyle w:val="Hyperlink"/>
            <w:rFonts w:cs="FrankRuehl"/>
            <w:rtl/>
          </w:rPr>
          <w:t xml:space="preserve">ק"ת תשכ"ו מס' </w:t>
        </w:r>
        <w:r w:rsidRPr="007A61D6">
          <w:rPr>
            <w:rStyle w:val="Hyperlink"/>
            <w:rFonts w:cs="FrankRuehl" w:hint="cs"/>
            <w:rtl/>
          </w:rPr>
          <w:t>1719</w:t>
        </w:r>
      </w:hyperlink>
      <w:r>
        <w:rPr>
          <w:rFonts w:cs="FrankRuehl" w:hint="cs"/>
          <w:rtl/>
        </w:rPr>
        <w:t xml:space="preserve"> </w:t>
      </w:r>
      <w:r w:rsidRPr="004127B6">
        <w:rPr>
          <w:rFonts w:cs="FrankRuehl" w:hint="cs"/>
          <w:sz w:val="24"/>
          <w:rtl/>
          <w:lang w:eastAsia="en-US"/>
        </w:rPr>
        <w:t>מיום</w:t>
      </w:r>
      <w:r>
        <w:rPr>
          <w:rFonts w:cs="FrankRuehl" w:hint="cs"/>
          <w:rtl/>
        </w:rPr>
        <w:t xml:space="preserve"> 29.4.1965</w:t>
      </w:r>
      <w:r>
        <w:rPr>
          <w:rFonts w:cs="FrankRuehl"/>
          <w:rtl/>
        </w:rPr>
        <w:t xml:space="preserve"> ע</w:t>
      </w:r>
      <w:r>
        <w:rPr>
          <w:rFonts w:cs="FrankRuehl" w:hint="cs"/>
          <w:rtl/>
        </w:rPr>
        <w:t>מ' 1920.</w:t>
      </w:r>
    </w:p>
    <w:p w14:paraId="79093755" w14:textId="77777777" w:rsidR="00621BD7"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5E6016">
          <w:rPr>
            <w:rStyle w:val="Hyperlink"/>
            <w:rFonts w:cs="FrankRuehl"/>
            <w:rtl/>
          </w:rPr>
          <w:t>ק"ת תשכ"</w:t>
        </w:r>
        <w:r w:rsidRPr="005E6016">
          <w:rPr>
            <w:rStyle w:val="Hyperlink"/>
            <w:rFonts w:cs="FrankRuehl" w:hint="cs"/>
            <w:rtl/>
          </w:rPr>
          <w:t>ז</w:t>
        </w:r>
        <w:r w:rsidRPr="005E6016">
          <w:rPr>
            <w:rStyle w:val="Hyperlink"/>
            <w:rFonts w:cs="FrankRuehl"/>
            <w:rtl/>
          </w:rPr>
          <w:t xml:space="preserve"> מס' </w:t>
        </w:r>
        <w:r w:rsidRPr="005E6016">
          <w:rPr>
            <w:rStyle w:val="Hyperlink"/>
            <w:rFonts w:cs="FrankRuehl" w:hint="cs"/>
            <w:rtl/>
          </w:rPr>
          <w:t>2003</w:t>
        </w:r>
      </w:hyperlink>
      <w:r>
        <w:rPr>
          <w:rFonts w:cs="FrankRuehl" w:hint="cs"/>
          <w:rtl/>
        </w:rPr>
        <w:t xml:space="preserve"> </w:t>
      </w:r>
      <w:r w:rsidRPr="004127B6">
        <w:rPr>
          <w:rFonts w:cs="FrankRuehl" w:hint="cs"/>
          <w:sz w:val="24"/>
          <w:rtl/>
          <w:lang w:eastAsia="en-US"/>
        </w:rPr>
        <w:t>מיום</w:t>
      </w:r>
      <w:r>
        <w:rPr>
          <w:rFonts w:cs="FrankRuehl" w:hint="cs"/>
          <w:rtl/>
        </w:rPr>
        <w:t xml:space="preserve"> 23.2.1967</w:t>
      </w:r>
      <w:r>
        <w:rPr>
          <w:rFonts w:cs="FrankRuehl"/>
          <w:rtl/>
        </w:rPr>
        <w:t xml:space="preserve"> ע</w:t>
      </w:r>
      <w:r>
        <w:rPr>
          <w:rFonts w:cs="FrankRuehl" w:hint="cs"/>
          <w:rtl/>
        </w:rPr>
        <w:t xml:space="preserve">מ' 1499 </w:t>
      </w:r>
      <w:r>
        <w:rPr>
          <w:rFonts w:cs="FrankRuehl" w:hint="eastAsia"/>
          <w:rtl/>
        </w:rPr>
        <w:t xml:space="preserve">– </w:t>
      </w:r>
      <w:r>
        <w:rPr>
          <w:rFonts w:cs="FrankRuehl" w:hint="cs"/>
          <w:rtl/>
        </w:rPr>
        <w:t>תיקון תשכ"ז-1967.</w:t>
      </w:r>
    </w:p>
    <w:p w14:paraId="719CC32B" w14:textId="77777777" w:rsidR="00621BD7"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5E6016">
          <w:rPr>
            <w:rStyle w:val="Hyperlink"/>
            <w:rFonts w:cs="FrankRuehl"/>
            <w:rtl/>
          </w:rPr>
          <w:t>ק"ת תש</w:t>
        </w:r>
        <w:r w:rsidRPr="005E6016">
          <w:rPr>
            <w:rStyle w:val="Hyperlink"/>
            <w:rFonts w:cs="FrankRuehl" w:hint="cs"/>
            <w:rtl/>
          </w:rPr>
          <w:t>ל</w:t>
        </w:r>
        <w:r w:rsidRPr="005E6016">
          <w:rPr>
            <w:rStyle w:val="Hyperlink"/>
            <w:rFonts w:cs="FrankRuehl"/>
            <w:rtl/>
          </w:rPr>
          <w:t>"</w:t>
        </w:r>
        <w:r w:rsidRPr="005E6016">
          <w:rPr>
            <w:rStyle w:val="Hyperlink"/>
            <w:rFonts w:cs="FrankRuehl" w:hint="cs"/>
            <w:rtl/>
          </w:rPr>
          <w:t>ה</w:t>
        </w:r>
        <w:r w:rsidRPr="005E6016">
          <w:rPr>
            <w:rStyle w:val="Hyperlink"/>
            <w:rFonts w:cs="FrankRuehl"/>
            <w:rtl/>
          </w:rPr>
          <w:t xml:space="preserve"> מס' </w:t>
        </w:r>
        <w:r w:rsidRPr="005E6016">
          <w:rPr>
            <w:rStyle w:val="Hyperlink"/>
            <w:rFonts w:cs="FrankRuehl" w:hint="cs"/>
            <w:rtl/>
          </w:rPr>
          <w:t>3258</w:t>
        </w:r>
      </w:hyperlink>
      <w:r w:rsidRPr="005E6016">
        <w:rPr>
          <w:rFonts w:cs="FrankRuehl" w:hint="cs"/>
          <w:rtl/>
        </w:rPr>
        <w:t xml:space="preserve"> </w:t>
      </w:r>
      <w:r>
        <w:rPr>
          <w:rFonts w:cs="FrankRuehl" w:hint="cs"/>
          <w:rtl/>
        </w:rPr>
        <w:t>מיום 24.11.1974</w:t>
      </w:r>
      <w:r>
        <w:rPr>
          <w:rFonts w:cs="FrankRuehl"/>
          <w:rtl/>
        </w:rPr>
        <w:t xml:space="preserve"> ע</w:t>
      </w:r>
      <w:r>
        <w:rPr>
          <w:rFonts w:cs="FrankRuehl" w:hint="cs"/>
          <w:rtl/>
        </w:rPr>
        <w:t xml:space="preserve">מ' 354 </w:t>
      </w:r>
      <w:r>
        <w:rPr>
          <w:rFonts w:cs="FrankRuehl" w:hint="eastAsia"/>
          <w:rtl/>
        </w:rPr>
        <w:t xml:space="preserve">– </w:t>
      </w:r>
      <w:r>
        <w:rPr>
          <w:rFonts w:cs="FrankRuehl" w:hint="cs"/>
          <w:rtl/>
        </w:rPr>
        <w:t>תיקון תשל"ה-1974.</w:t>
      </w:r>
    </w:p>
    <w:p w14:paraId="25F83C3D" w14:textId="77777777" w:rsidR="004C43B5"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C43B5">
          <w:rPr>
            <w:rStyle w:val="Hyperlink"/>
            <w:rFonts w:cs="FrankRuehl"/>
            <w:rtl/>
          </w:rPr>
          <w:t>ק"ת תשל"ט</w:t>
        </w:r>
        <w:r>
          <w:rPr>
            <w:rStyle w:val="Hyperlink"/>
            <w:rFonts w:cs="FrankRuehl"/>
            <w:rtl/>
          </w:rPr>
          <w:t xml:space="preserve"> מס' 3939</w:t>
        </w:r>
      </w:hyperlink>
      <w:r w:rsidRPr="005E6016">
        <w:rPr>
          <w:rFonts w:cs="FrankRuehl" w:hint="cs"/>
          <w:rtl/>
        </w:rPr>
        <w:t xml:space="preserve"> </w:t>
      </w:r>
      <w:r w:rsidRPr="004127B6">
        <w:rPr>
          <w:rFonts w:cs="FrankRuehl" w:hint="cs"/>
          <w:sz w:val="24"/>
          <w:rtl/>
          <w:lang w:eastAsia="en-US"/>
        </w:rPr>
        <w:t>מיום</w:t>
      </w:r>
      <w:r>
        <w:rPr>
          <w:rFonts w:cs="FrankRuehl" w:hint="cs"/>
          <w:rtl/>
        </w:rPr>
        <w:t xml:space="preserve"> 1.2.1979</w:t>
      </w:r>
      <w:r>
        <w:rPr>
          <w:rFonts w:cs="FrankRuehl"/>
          <w:rtl/>
        </w:rPr>
        <w:t xml:space="preserve"> ע</w:t>
      </w:r>
      <w:r>
        <w:rPr>
          <w:rFonts w:cs="FrankRuehl" w:hint="cs"/>
          <w:rtl/>
        </w:rPr>
        <w:t xml:space="preserve">מ' 567 – תיקון תשל"ט-1979. </w:t>
      </w:r>
    </w:p>
    <w:p w14:paraId="3F2BAE20" w14:textId="77777777" w:rsidR="00621BD7" w:rsidRDefault="004C43B5"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4C43B5">
          <w:rPr>
            <w:rStyle w:val="Hyperlink"/>
            <w:rFonts w:cs="FrankRuehl"/>
            <w:rtl/>
          </w:rPr>
          <w:t xml:space="preserve">ק"ת תשל"ט </w:t>
        </w:r>
        <w:r w:rsidR="00621BD7" w:rsidRPr="004C43B5">
          <w:rPr>
            <w:rStyle w:val="Hyperlink"/>
            <w:rFonts w:cs="FrankRuehl" w:hint="cs"/>
            <w:rtl/>
          </w:rPr>
          <w:t>מס' 3999</w:t>
        </w:r>
      </w:hyperlink>
      <w:r w:rsidR="00621BD7">
        <w:rPr>
          <w:rFonts w:cs="FrankRuehl" w:hint="cs"/>
          <w:rtl/>
        </w:rPr>
        <w:t xml:space="preserve"> מיום 5.7.1979 עמ' 1498 – תיקון (מס' 2) תשל"ט-1979.</w:t>
      </w:r>
    </w:p>
    <w:p w14:paraId="09C3E3C9" w14:textId="77777777" w:rsidR="00621BD7"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eastAsia"/>
            <w:rtl/>
          </w:rPr>
          <w:t>ק</w:t>
        </w:r>
        <w:r>
          <w:rPr>
            <w:rStyle w:val="Hyperlink"/>
            <w:rFonts w:cs="FrankRuehl"/>
            <w:rtl/>
          </w:rPr>
          <w:t>"ת תש"ם מס' 4145</w:t>
        </w:r>
      </w:hyperlink>
      <w:r w:rsidRPr="005E6016">
        <w:rPr>
          <w:rFonts w:cs="FrankRuehl" w:hint="cs"/>
          <w:rtl/>
        </w:rPr>
        <w:t xml:space="preserve"> </w:t>
      </w:r>
      <w:r>
        <w:rPr>
          <w:rFonts w:cs="FrankRuehl" w:hint="cs"/>
          <w:rtl/>
        </w:rPr>
        <w:t>מיום 17.7.</w:t>
      </w:r>
      <w:r w:rsidRPr="004127B6">
        <w:rPr>
          <w:rFonts w:cs="FrankRuehl" w:hint="cs"/>
          <w:sz w:val="24"/>
          <w:rtl/>
          <w:lang w:eastAsia="en-US"/>
        </w:rPr>
        <w:t>1980</w:t>
      </w:r>
      <w:r>
        <w:rPr>
          <w:rFonts w:cs="FrankRuehl"/>
          <w:rtl/>
        </w:rPr>
        <w:t xml:space="preserve"> ע</w:t>
      </w:r>
      <w:r>
        <w:rPr>
          <w:rFonts w:cs="FrankRuehl" w:hint="cs"/>
          <w:rtl/>
        </w:rPr>
        <w:t xml:space="preserve">מ' 2091 </w:t>
      </w:r>
      <w:r>
        <w:rPr>
          <w:rFonts w:cs="FrankRuehl" w:hint="eastAsia"/>
          <w:rtl/>
        </w:rPr>
        <w:t xml:space="preserve">– </w:t>
      </w:r>
      <w:r>
        <w:rPr>
          <w:rFonts w:cs="FrankRuehl" w:hint="cs"/>
          <w:rtl/>
        </w:rPr>
        <w:t>תיקון תשל"ה-1974.</w:t>
      </w:r>
    </w:p>
    <w:p w14:paraId="3B06478C" w14:textId="77777777" w:rsidR="00621BD7"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34A3E">
          <w:rPr>
            <w:rStyle w:val="Hyperlink"/>
            <w:rFonts w:cs="FrankRuehl" w:hint="eastAsia"/>
            <w:rtl/>
          </w:rPr>
          <w:t>ק</w:t>
        </w:r>
        <w:r w:rsidRPr="00B34A3E">
          <w:rPr>
            <w:rStyle w:val="Hyperlink"/>
            <w:rFonts w:cs="FrankRuehl"/>
            <w:rtl/>
          </w:rPr>
          <w:t xml:space="preserve">"ת </w:t>
        </w:r>
        <w:r w:rsidRPr="00B34A3E">
          <w:rPr>
            <w:rStyle w:val="Hyperlink"/>
            <w:rFonts w:cs="FrankRuehl" w:hint="cs"/>
            <w:rtl/>
          </w:rPr>
          <w:t>חש"ם תשמ"ב</w:t>
        </w:r>
        <w:r w:rsidRPr="00B34A3E">
          <w:rPr>
            <w:rStyle w:val="Hyperlink"/>
            <w:rFonts w:cs="FrankRuehl"/>
            <w:rtl/>
          </w:rPr>
          <w:t xml:space="preserve"> מס' </w:t>
        </w:r>
        <w:r w:rsidRPr="00B34A3E">
          <w:rPr>
            <w:rStyle w:val="Hyperlink"/>
            <w:rFonts w:cs="FrankRuehl" w:hint="cs"/>
            <w:rtl/>
          </w:rPr>
          <w:t>119</w:t>
        </w:r>
      </w:hyperlink>
      <w:r w:rsidRPr="005E6016">
        <w:rPr>
          <w:rFonts w:cs="FrankRuehl" w:hint="cs"/>
          <w:rtl/>
        </w:rPr>
        <w:t xml:space="preserve"> </w:t>
      </w:r>
      <w:r w:rsidRPr="004127B6">
        <w:rPr>
          <w:rFonts w:cs="FrankRuehl" w:hint="cs"/>
          <w:sz w:val="24"/>
          <w:rtl/>
          <w:lang w:eastAsia="en-US"/>
        </w:rPr>
        <w:t>מיום</w:t>
      </w:r>
      <w:r>
        <w:rPr>
          <w:rFonts w:cs="FrankRuehl" w:hint="cs"/>
          <w:rtl/>
        </w:rPr>
        <w:t xml:space="preserve"> 28.2.1982</w:t>
      </w:r>
      <w:r>
        <w:rPr>
          <w:rFonts w:cs="FrankRuehl"/>
          <w:rtl/>
        </w:rPr>
        <w:t xml:space="preserve"> ע</w:t>
      </w:r>
      <w:r>
        <w:rPr>
          <w:rFonts w:cs="FrankRuehl" w:hint="cs"/>
          <w:rtl/>
        </w:rPr>
        <w:t xml:space="preserve">מ' 490 </w:t>
      </w:r>
      <w:r>
        <w:rPr>
          <w:rFonts w:cs="FrankRuehl" w:hint="eastAsia"/>
          <w:rtl/>
        </w:rPr>
        <w:t xml:space="preserve">– </w:t>
      </w:r>
      <w:r>
        <w:rPr>
          <w:rFonts w:cs="FrankRuehl" w:hint="cs"/>
          <w:rtl/>
        </w:rPr>
        <w:t>תיקון תשמ"ב-1982.</w:t>
      </w:r>
    </w:p>
    <w:p w14:paraId="7AF3A22B" w14:textId="77777777" w:rsidR="00621BD7"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B34A3E">
          <w:rPr>
            <w:rStyle w:val="Hyperlink"/>
            <w:rFonts w:cs="FrankRuehl" w:hint="eastAsia"/>
            <w:rtl/>
          </w:rPr>
          <w:t>ק</w:t>
        </w:r>
        <w:r w:rsidRPr="00B34A3E">
          <w:rPr>
            <w:rStyle w:val="Hyperlink"/>
            <w:rFonts w:cs="FrankRuehl"/>
            <w:rtl/>
          </w:rPr>
          <w:t xml:space="preserve">"ת </w:t>
        </w:r>
        <w:r w:rsidRPr="00B34A3E">
          <w:rPr>
            <w:rStyle w:val="Hyperlink"/>
            <w:rFonts w:cs="FrankRuehl" w:hint="cs"/>
            <w:rtl/>
          </w:rPr>
          <w:t>חש"ם תשמ"ד</w:t>
        </w:r>
        <w:r w:rsidRPr="00B34A3E">
          <w:rPr>
            <w:rStyle w:val="Hyperlink"/>
            <w:rFonts w:cs="FrankRuehl"/>
            <w:rtl/>
          </w:rPr>
          <w:t xml:space="preserve"> מס' </w:t>
        </w:r>
        <w:r w:rsidRPr="00B34A3E">
          <w:rPr>
            <w:rStyle w:val="Hyperlink"/>
            <w:rFonts w:cs="FrankRuehl" w:hint="cs"/>
            <w:rtl/>
          </w:rPr>
          <w:t>213</w:t>
        </w:r>
      </w:hyperlink>
      <w:r w:rsidRPr="005E6016">
        <w:rPr>
          <w:rFonts w:cs="FrankRuehl" w:hint="cs"/>
          <w:rtl/>
        </w:rPr>
        <w:t xml:space="preserve"> </w:t>
      </w:r>
      <w:r>
        <w:rPr>
          <w:rFonts w:cs="FrankRuehl" w:hint="cs"/>
          <w:rtl/>
        </w:rPr>
        <w:t xml:space="preserve">מיום 12.2.1984 </w:t>
      </w:r>
      <w:r>
        <w:rPr>
          <w:rFonts w:cs="FrankRuehl"/>
          <w:rtl/>
        </w:rPr>
        <w:t>ע</w:t>
      </w:r>
      <w:r>
        <w:rPr>
          <w:rFonts w:cs="FrankRuehl" w:hint="cs"/>
          <w:rtl/>
        </w:rPr>
        <w:t xml:space="preserve">מ' 299 </w:t>
      </w:r>
      <w:r>
        <w:rPr>
          <w:rFonts w:cs="FrankRuehl" w:hint="eastAsia"/>
          <w:rtl/>
        </w:rPr>
        <w:t xml:space="preserve">– </w:t>
      </w:r>
      <w:r>
        <w:rPr>
          <w:rFonts w:cs="FrankRuehl" w:hint="cs"/>
          <w:rtl/>
        </w:rPr>
        <w:t>תיקון תשמ"ד-1984.</w:t>
      </w:r>
    </w:p>
    <w:p w14:paraId="6FA1436E" w14:textId="77777777" w:rsidR="00621BD7" w:rsidRDefault="00621BD7" w:rsidP="00F817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B34A3E">
          <w:rPr>
            <w:rStyle w:val="Hyperlink"/>
            <w:rFonts w:cs="FrankRuehl" w:hint="eastAsia"/>
            <w:rtl/>
          </w:rPr>
          <w:t>ק</w:t>
        </w:r>
        <w:r w:rsidRPr="00B34A3E">
          <w:rPr>
            <w:rStyle w:val="Hyperlink"/>
            <w:rFonts w:cs="FrankRuehl"/>
            <w:rtl/>
          </w:rPr>
          <w:t xml:space="preserve">"ת </w:t>
        </w:r>
        <w:r w:rsidRPr="00B34A3E">
          <w:rPr>
            <w:rStyle w:val="Hyperlink"/>
            <w:rFonts w:cs="FrankRuehl" w:hint="cs"/>
            <w:rtl/>
          </w:rPr>
          <w:t>חש"ם תשמ"ה</w:t>
        </w:r>
        <w:r w:rsidRPr="00B34A3E">
          <w:rPr>
            <w:rStyle w:val="Hyperlink"/>
            <w:rFonts w:cs="FrankRuehl"/>
            <w:rtl/>
          </w:rPr>
          <w:t xml:space="preserve"> מס' </w:t>
        </w:r>
        <w:r w:rsidRPr="00B34A3E">
          <w:rPr>
            <w:rStyle w:val="Hyperlink"/>
            <w:rFonts w:cs="FrankRuehl" w:hint="cs"/>
            <w:rtl/>
          </w:rPr>
          <w:t>260</w:t>
        </w:r>
      </w:hyperlink>
      <w:r w:rsidRPr="005E6016">
        <w:rPr>
          <w:rFonts w:cs="FrankRuehl" w:hint="cs"/>
          <w:rtl/>
        </w:rPr>
        <w:t xml:space="preserve"> </w:t>
      </w:r>
      <w:r>
        <w:rPr>
          <w:rFonts w:cs="FrankRuehl" w:hint="cs"/>
          <w:rtl/>
        </w:rPr>
        <w:t>מיום 5.2.1985</w:t>
      </w:r>
      <w:r>
        <w:rPr>
          <w:rFonts w:cs="FrankRuehl"/>
          <w:rtl/>
        </w:rPr>
        <w:t xml:space="preserve"> ע</w:t>
      </w:r>
      <w:r>
        <w:rPr>
          <w:rFonts w:cs="FrankRuehl" w:hint="cs"/>
          <w:rtl/>
        </w:rPr>
        <w:t>מ' 14</w:t>
      </w:r>
      <w:r w:rsidR="00D63694">
        <w:rPr>
          <w:rFonts w:cs="FrankRuehl" w:hint="cs"/>
          <w:rtl/>
        </w:rPr>
        <w:t>1</w:t>
      </w:r>
      <w:r>
        <w:rPr>
          <w:rFonts w:cs="FrankRuehl" w:hint="cs"/>
          <w:rtl/>
        </w:rPr>
        <w:t xml:space="preserve"> </w:t>
      </w:r>
      <w:r>
        <w:rPr>
          <w:rFonts w:cs="FrankRuehl" w:hint="eastAsia"/>
          <w:rtl/>
        </w:rPr>
        <w:t xml:space="preserve">– </w:t>
      </w:r>
      <w:r>
        <w:rPr>
          <w:rFonts w:cs="FrankRuehl" w:hint="cs"/>
          <w:rtl/>
        </w:rPr>
        <w:t>תיקון תשמ"ה-1985.</w:t>
      </w:r>
    </w:p>
    <w:p w14:paraId="18A4BDE3" w14:textId="77777777" w:rsidR="004C43B5" w:rsidRDefault="00621BD7" w:rsidP="005C71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eastAsia"/>
            <w:rtl/>
          </w:rPr>
          <w:t>ק</w:t>
        </w:r>
        <w:r>
          <w:rPr>
            <w:rStyle w:val="Hyperlink"/>
            <w:rFonts w:cs="FrankRuehl"/>
            <w:rtl/>
          </w:rPr>
          <w:t xml:space="preserve">"ת </w:t>
        </w:r>
        <w:r>
          <w:rPr>
            <w:rStyle w:val="Hyperlink"/>
            <w:rFonts w:cs="FrankRuehl"/>
            <w:rtl/>
          </w:rPr>
          <w:t>ח</w:t>
        </w:r>
        <w:r>
          <w:rPr>
            <w:rStyle w:val="Hyperlink"/>
            <w:rFonts w:cs="FrankRuehl"/>
            <w:rtl/>
          </w:rPr>
          <w:t>ש"ם תשמ"ח מס' 345</w:t>
        </w:r>
      </w:hyperlink>
      <w:r w:rsidRPr="005E6016">
        <w:rPr>
          <w:rFonts w:cs="FrankRuehl" w:hint="cs"/>
          <w:rtl/>
        </w:rPr>
        <w:t xml:space="preserve"> </w:t>
      </w:r>
      <w:r w:rsidRPr="004127B6">
        <w:rPr>
          <w:rFonts w:cs="FrankRuehl" w:hint="cs"/>
          <w:sz w:val="24"/>
          <w:rtl/>
          <w:lang w:eastAsia="en-US"/>
        </w:rPr>
        <w:t>מיום</w:t>
      </w:r>
      <w:r>
        <w:rPr>
          <w:rFonts w:cs="FrankRuehl" w:hint="cs"/>
          <w:rtl/>
        </w:rPr>
        <w:t xml:space="preserve"> 5.11.1987</w:t>
      </w:r>
      <w:r>
        <w:rPr>
          <w:rFonts w:cs="FrankRuehl"/>
          <w:rtl/>
        </w:rPr>
        <w:t xml:space="preserve"> ע</w:t>
      </w:r>
      <w:r>
        <w:rPr>
          <w:rFonts w:cs="FrankRuehl" w:hint="cs"/>
          <w:rtl/>
        </w:rPr>
        <w:t xml:space="preserve">מ' 29 </w:t>
      </w:r>
      <w:r>
        <w:rPr>
          <w:rFonts w:cs="FrankRuehl" w:hint="eastAsia"/>
          <w:rtl/>
        </w:rPr>
        <w:t xml:space="preserve">– </w:t>
      </w:r>
      <w:r w:rsidR="00EF28B2">
        <w:rPr>
          <w:rFonts w:cs="FrankRuehl" w:hint="cs"/>
          <w:rtl/>
        </w:rPr>
        <w:t>תיקון תשמ"ח-1987; ר' סעיף 6 לענין הוראת שעה</w:t>
      </w:r>
      <w:r w:rsidR="00C52D55">
        <w:rPr>
          <w:rFonts w:cs="FrankRuehl" w:hint="cs"/>
          <w:rtl/>
        </w:rPr>
        <w:t xml:space="preserve">. </w:t>
      </w:r>
      <w:r w:rsidR="004C43B5">
        <w:rPr>
          <w:rFonts w:cs="FrankRuehl" w:hint="cs"/>
          <w:rtl/>
        </w:rPr>
        <w:t>$$$</w:t>
      </w:r>
      <w:r w:rsidR="005C7166">
        <w:rPr>
          <w:rFonts w:cs="FrankRuehl" w:hint="cs"/>
          <w:rtl/>
        </w:rPr>
        <w:t xml:space="preserve"> 6. </w:t>
      </w:r>
      <w:r w:rsidR="004C43B5">
        <w:rPr>
          <w:rFonts w:cs="FrankRuehl" w:hint="cs"/>
          <w:rtl/>
        </w:rPr>
        <w:t>על אף האמור בחוק עזר לנתניה (הצמדה למדד), התשמ"ד-1983, תהיה העלאת האגרות בתוספות הראשונה והשניה לחוק העזר העיקרי, ב-1 בחודש שלאחר פרסום חוק עזר זה, בשיעור עליית המדד שפורסם לאחרונה לפני התאריך האמור לעומת המדד שפורסם בחודש ספטמבר 1986.</w:t>
      </w:r>
      <w:r w:rsidR="005C7166">
        <w:rPr>
          <w:rFonts w:cs="FrankRuehl" w:hint="cs"/>
          <w:rtl/>
        </w:rPr>
        <w:t xml:space="preserve"> </w:t>
      </w:r>
      <w:r w:rsidR="004C43B5">
        <w:rPr>
          <w:rFonts w:cs="FrankRuehl" w:hint="cs"/>
          <w:rtl/>
        </w:rPr>
        <w:t>###</w:t>
      </w:r>
    </w:p>
    <w:p w14:paraId="031568BD" w14:textId="77777777" w:rsidR="00695468" w:rsidRDefault="004C43B5" w:rsidP="004C43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4C43B5">
          <w:rPr>
            <w:rStyle w:val="Hyperlink"/>
            <w:rFonts w:cs="FrankRuehl"/>
            <w:rtl/>
          </w:rPr>
          <w:t>ק"ת חש"ם תשמ"ח</w:t>
        </w:r>
        <w:r w:rsidRPr="004C43B5">
          <w:rPr>
            <w:rStyle w:val="Hyperlink"/>
            <w:rFonts w:cs="FrankRuehl" w:hint="cs"/>
            <w:rtl/>
          </w:rPr>
          <w:t xml:space="preserve"> </w:t>
        </w:r>
        <w:r w:rsidR="00C52D55" w:rsidRPr="004C43B5">
          <w:rPr>
            <w:rStyle w:val="Hyperlink"/>
            <w:rFonts w:cs="FrankRuehl"/>
            <w:rtl/>
          </w:rPr>
          <w:t>מס' 361</w:t>
        </w:r>
      </w:hyperlink>
      <w:r w:rsidR="00695468" w:rsidRPr="005E6016">
        <w:rPr>
          <w:rFonts w:cs="FrankRuehl" w:hint="cs"/>
          <w:rtl/>
        </w:rPr>
        <w:t xml:space="preserve"> </w:t>
      </w:r>
      <w:r w:rsidR="00695468">
        <w:rPr>
          <w:rFonts w:cs="FrankRuehl" w:hint="cs"/>
          <w:rtl/>
        </w:rPr>
        <w:t xml:space="preserve">מיום 12.5.1988 </w:t>
      </w:r>
      <w:r w:rsidR="00695468">
        <w:rPr>
          <w:rFonts w:cs="FrankRuehl"/>
          <w:rtl/>
        </w:rPr>
        <w:t>ע</w:t>
      </w:r>
      <w:r w:rsidR="00695468">
        <w:rPr>
          <w:rFonts w:cs="FrankRuehl" w:hint="cs"/>
          <w:rtl/>
        </w:rPr>
        <w:t xml:space="preserve">מ' 287 </w:t>
      </w:r>
      <w:r w:rsidR="00695468">
        <w:rPr>
          <w:rFonts w:cs="FrankRuehl" w:hint="eastAsia"/>
          <w:rtl/>
        </w:rPr>
        <w:t xml:space="preserve">– </w:t>
      </w:r>
      <w:r w:rsidR="00695468">
        <w:rPr>
          <w:rFonts w:cs="FrankRuehl" w:hint="cs"/>
          <w:rtl/>
        </w:rPr>
        <w:t>תיקון</w:t>
      </w:r>
      <w:r w:rsidR="00C52D55">
        <w:rPr>
          <w:rFonts w:cs="FrankRuehl" w:hint="cs"/>
          <w:rtl/>
        </w:rPr>
        <w:t xml:space="preserve"> (מס' 2)</w:t>
      </w:r>
      <w:r w:rsidR="00695468">
        <w:rPr>
          <w:rFonts w:cs="FrankRuehl" w:hint="cs"/>
          <w:rtl/>
        </w:rPr>
        <w:t xml:space="preserve"> תשמ"ח-1988.</w:t>
      </w:r>
    </w:p>
    <w:p w14:paraId="675FC1C5" w14:textId="77777777" w:rsidR="00C52D55" w:rsidRDefault="00C52D55" w:rsidP="004127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C52D55">
          <w:rPr>
            <w:rStyle w:val="Hyperlink"/>
            <w:rFonts w:cs="FrankRuehl"/>
            <w:rtl/>
          </w:rPr>
          <w:t>ק"ת חש"ם תש</w:t>
        </w:r>
        <w:r w:rsidRPr="00C52D55">
          <w:rPr>
            <w:rStyle w:val="Hyperlink"/>
            <w:rFonts w:cs="FrankRuehl" w:hint="cs"/>
            <w:rtl/>
          </w:rPr>
          <w:t>"ן</w:t>
        </w:r>
        <w:r w:rsidRPr="00C52D55">
          <w:rPr>
            <w:rStyle w:val="Hyperlink"/>
            <w:rFonts w:cs="FrankRuehl"/>
            <w:rtl/>
          </w:rPr>
          <w:t xml:space="preserve"> מס' </w:t>
        </w:r>
        <w:r w:rsidRPr="00C52D55">
          <w:rPr>
            <w:rStyle w:val="Hyperlink"/>
            <w:rFonts w:cs="FrankRuehl" w:hint="cs"/>
            <w:rtl/>
          </w:rPr>
          <w:t>434</w:t>
        </w:r>
      </w:hyperlink>
      <w:r w:rsidRPr="005E6016">
        <w:rPr>
          <w:rFonts w:cs="FrankRuehl" w:hint="cs"/>
          <w:rtl/>
        </w:rPr>
        <w:t xml:space="preserve"> </w:t>
      </w:r>
      <w:r w:rsidRPr="004127B6">
        <w:rPr>
          <w:rFonts w:cs="FrankRuehl" w:hint="cs"/>
          <w:sz w:val="24"/>
          <w:rtl/>
          <w:lang w:eastAsia="en-US"/>
        </w:rPr>
        <w:t>מיום</w:t>
      </w:r>
      <w:r>
        <w:rPr>
          <w:rFonts w:cs="FrankRuehl" w:hint="cs"/>
          <w:rtl/>
        </w:rPr>
        <w:t xml:space="preserve"> 6.9.1990 </w:t>
      </w:r>
      <w:r>
        <w:rPr>
          <w:rFonts w:cs="FrankRuehl"/>
          <w:rtl/>
        </w:rPr>
        <w:t>ע</w:t>
      </w:r>
      <w:r>
        <w:rPr>
          <w:rFonts w:cs="FrankRuehl" w:hint="cs"/>
          <w:rtl/>
        </w:rPr>
        <w:t xml:space="preserve">מ' 381 </w:t>
      </w:r>
      <w:r>
        <w:rPr>
          <w:rFonts w:cs="FrankRuehl" w:hint="eastAsia"/>
          <w:rtl/>
        </w:rPr>
        <w:t xml:space="preserve">– </w:t>
      </w:r>
      <w:r>
        <w:rPr>
          <w:rFonts w:cs="FrankRuehl" w:hint="cs"/>
          <w:rtl/>
        </w:rPr>
        <w:t>תיקון תש"ן-1990.</w:t>
      </w:r>
    </w:p>
    <w:p w14:paraId="5F999BBA" w14:textId="77777777" w:rsidR="004C43B5" w:rsidRDefault="00C52D55" w:rsidP="005C71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eastAsia"/>
            <w:rtl/>
          </w:rPr>
          <w:t>ק</w:t>
        </w:r>
        <w:r>
          <w:rPr>
            <w:rStyle w:val="Hyperlink"/>
            <w:rFonts w:cs="FrankRuehl"/>
            <w:rtl/>
          </w:rPr>
          <w:t>"ת חש"ם ת</w:t>
        </w:r>
        <w:r>
          <w:rPr>
            <w:rStyle w:val="Hyperlink"/>
            <w:rFonts w:cs="FrankRuehl"/>
            <w:rtl/>
          </w:rPr>
          <w:t>ש</w:t>
        </w:r>
        <w:r>
          <w:rPr>
            <w:rStyle w:val="Hyperlink"/>
            <w:rFonts w:cs="FrankRuehl"/>
            <w:rtl/>
          </w:rPr>
          <w:t>נ"א</w:t>
        </w:r>
        <w:r>
          <w:rPr>
            <w:rStyle w:val="Hyperlink"/>
            <w:rFonts w:cs="FrankRuehl" w:hint="cs"/>
            <w:rtl/>
          </w:rPr>
          <w:t xml:space="preserve"> </w:t>
        </w:r>
        <w:r>
          <w:rPr>
            <w:rStyle w:val="Hyperlink"/>
            <w:rFonts w:cs="FrankRuehl"/>
            <w:rtl/>
          </w:rPr>
          <w:t>מס' 444</w:t>
        </w:r>
      </w:hyperlink>
      <w:r w:rsidRPr="005E6016">
        <w:rPr>
          <w:rFonts w:cs="FrankRuehl" w:hint="cs"/>
          <w:rtl/>
        </w:rPr>
        <w:t xml:space="preserve"> </w:t>
      </w:r>
      <w:r w:rsidRPr="004127B6">
        <w:rPr>
          <w:rFonts w:cs="FrankRuehl" w:hint="cs"/>
          <w:sz w:val="24"/>
          <w:rtl/>
          <w:lang w:eastAsia="en-US"/>
        </w:rPr>
        <w:t>מיום</w:t>
      </w:r>
      <w:r>
        <w:rPr>
          <w:rFonts w:cs="FrankRuehl" w:hint="cs"/>
          <w:rtl/>
        </w:rPr>
        <w:t xml:space="preserve"> 27.12.1990 </w:t>
      </w:r>
      <w:r>
        <w:rPr>
          <w:rFonts w:cs="FrankRuehl"/>
          <w:rtl/>
        </w:rPr>
        <w:t>ע</w:t>
      </w:r>
      <w:r>
        <w:rPr>
          <w:rFonts w:cs="FrankRuehl" w:hint="cs"/>
          <w:rtl/>
        </w:rPr>
        <w:t xml:space="preserve">מ' 124 </w:t>
      </w:r>
      <w:r>
        <w:rPr>
          <w:rFonts w:cs="FrankRuehl" w:hint="eastAsia"/>
          <w:rtl/>
        </w:rPr>
        <w:t xml:space="preserve">– </w:t>
      </w:r>
      <w:r>
        <w:rPr>
          <w:rFonts w:cs="FrankRuehl" w:hint="cs"/>
          <w:rtl/>
        </w:rPr>
        <w:t>תיקון תשנ"א-1990</w:t>
      </w:r>
      <w:r w:rsidR="00E208FE">
        <w:rPr>
          <w:rFonts w:cs="FrankRuehl" w:hint="cs"/>
          <w:rtl/>
        </w:rPr>
        <w:t xml:space="preserve">; ר' סעיף 2 לענין הוראת שעה. </w:t>
      </w:r>
      <w:r w:rsidR="004C43B5">
        <w:rPr>
          <w:rFonts w:cs="FrankRuehl" w:hint="cs"/>
          <w:rtl/>
        </w:rPr>
        <w:t>$$$</w:t>
      </w:r>
      <w:r w:rsidR="005C7166">
        <w:rPr>
          <w:rFonts w:cs="FrankRuehl" w:hint="cs"/>
          <w:rtl/>
        </w:rPr>
        <w:t xml:space="preserve"> 2. </w:t>
      </w:r>
      <w:r w:rsidR="004C43B5">
        <w:rPr>
          <w:rFonts w:cs="FrankRuehl" w:hint="cs"/>
          <w:rtl/>
        </w:rPr>
        <w:t>על אף האמור בחוק עזר לנתניה (הצמדה למדד), התשמ"ד-1984, יועלו האגרות המפורטות בתוספת לחוק עזר זה ב-1 בחודש שלאחר פרסומו, לפי שיעור עליית המדד שפורסם לאחרונה לפני המועד האמור, לעומת המדד שפורסם בחודש אוקטובר 1990.</w:t>
      </w:r>
      <w:r w:rsidR="005C7166">
        <w:rPr>
          <w:rFonts w:cs="FrankRuehl" w:hint="cs"/>
          <w:rtl/>
        </w:rPr>
        <w:t xml:space="preserve"> </w:t>
      </w:r>
      <w:r w:rsidR="004C43B5">
        <w:rPr>
          <w:rFonts w:cs="FrankRuehl" w:hint="cs"/>
          <w:rtl/>
        </w:rPr>
        <w:t>###</w:t>
      </w:r>
    </w:p>
    <w:p w14:paraId="22F81466" w14:textId="77777777" w:rsidR="004C43B5" w:rsidRDefault="004C43B5" w:rsidP="005C71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4C43B5">
          <w:rPr>
            <w:rStyle w:val="Hyperlink"/>
            <w:rFonts w:cs="FrankRuehl"/>
            <w:rtl/>
          </w:rPr>
          <w:t>ק"ת ח</w:t>
        </w:r>
        <w:r w:rsidRPr="004C43B5">
          <w:rPr>
            <w:rStyle w:val="Hyperlink"/>
            <w:rFonts w:cs="FrankRuehl"/>
            <w:rtl/>
          </w:rPr>
          <w:t>ש</w:t>
        </w:r>
        <w:r w:rsidRPr="004C43B5">
          <w:rPr>
            <w:rStyle w:val="Hyperlink"/>
            <w:rFonts w:cs="FrankRuehl"/>
            <w:rtl/>
          </w:rPr>
          <w:t xml:space="preserve">"ם תשנ"א </w:t>
        </w:r>
        <w:r w:rsidR="00E208FE" w:rsidRPr="004C43B5">
          <w:rPr>
            <w:rStyle w:val="Hyperlink"/>
            <w:rFonts w:cs="FrankRuehl"/>
            <w:rtl/>
          </w:rPr>
          <w:t>מס' 458</w:t>
        </w:r>
      </w:hyperlink>
      <w:r w:rsidR="00E208FE" w:rsidRPr="005E6016">
        <w:rPr>
          <w:rFonts w:cs="FrankRuehl" w:hint="cs"/>
          <w:rtl/>
        </w:rPr>
        <w:t xml:space="preserve"> </w:t>
      </w:r>
      <w:r w:rsidR="00E208FE">
        <w:rPr>
          <w:rFonts w:cs="FrankRuehl" w:hint="cs"/>
          <w:rtl/>
        </w:rPr>
        <w:t xml:space="preserve">מיום 11.6.1991 </w:t>
      </w:r>
      <w:r w:rsidR="00E208FE">
        <w:rPr>
          <w:rFonts w:cs="FrankRuehl"/>
          <w:rtl/>
        </w:rPr>
        <w:t>ע</w:t>
      </w:r>
      <w:r w:rsidR="00E208FE">
        <w:rPr>
          <w:rFonts w:cs="FrankRuehl" w:hint="cs"/>
          <w:rtl/>
        </w:rPr>
        <w:t xml:space="preserve">מ' 382 </w:t>
      </w:r>
      <w:r w:rsidR="00E208FE">
        <w:rPr>
          <w:rFonts w:cs="FrankRuehl" w:hint="eastAsia"/>
          <w:rtl/>
        </w:rPr>
        <w:t xml:space="preserve">– </w:t>
      </w:r>
      <w:r w:rsidR="00E208FE">
        <w:rPr>
          <w:rFonts w:cs="FrankRuehl" w:hint="cs"/>
          <w:rtl/>
        </w:rPr>
        <w:t>תיקון (מס' 2) תשנ"א-1991; ר' סעיף 2 לענין הוראת שעה.</w:t>
      </w:r>
      <w:r w:rsidR="005C7166">
        <w:rPr>
          <w:rFonts w:cs="FrankRuehl" w:hint="cs"/>
          <w:rtl/>
        </w:rPr>
        <w:t xml:space="preserve"> </w:t>
      </w:r>
      <w:r>
        <w:rPr>
          <w:rFonts w:cs="FrankRuehl" w:hint="cs"/>
          <w:rtl/>
        </w:rPr>
        <w:t>$$$</w:t>
      </w:r>
      <w:r w:rsidR="005C7166">
        <w:rPr>
          <w:rFonts w:cs="FrankRuehl" w:hint="cs"/>
          <w:rtl/>
        </w:rPr>
        <w:t xml:space="preserve"> 2. </w:t>
      </w:r>
      <w:r w:rsidR="00566161">
        <w:rPr>
          <w:rFonts w:cs="FrankRuehl" w:hint="cs"/>
          <w:rtl/>
        </w:rPr>
        <w:t>על אף האמור בחוק עזר לנתניה (הצמדה למדד), התשמ"ד-1983, יעלו האגרות המפורטות בתוספת לחוק עזר זה ב-1 בחודש שלאחר פרסומו, לפי שיעור עליית המדד שפורסם לאחרונה לפני המועד האמור לעומת המדד שפורסם בחודש אוקטובר 1990.</w:t>
      </w:r>
      <w:r w:rsidR="005C7166">
        <w:rPr>
          <w:rFonts w:cs="FrankRuehl" w:hint="cs"/>
          <w:rtl/>
        </w:rPr>
        <w:t xml:space="preserve"> </w:t>
      </w:r>
      <w:r>
        <w:rPr>
          <w:rFonts w:cs="FrankRuehl" w:hint="cs"/>
          <w:rtl/>
        </w:rPr>
        <w:t>###</w:t>
      </w:r>
    </w:p>
    <w:p w14:paraId="22336120" w14:textId="77777777" w:rsidR="00E612AD" w:rsidRDefault="00E612AD" w:rsidP="00E612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E612AD">
          <w:rPr>
            <w:rStyle w:val="Hyperlink"/>
            <w:rFonts w:cs="FrankRuehl" w:hint="cs"/>
            <w:rtl/>
          </w:rPr>
          <w:t>ק"ת חש"ם תשס"ח מס' 723</w:t>
        </w:r>
      </w:hyperlink>
      <w:r>
        <w:rPr>
          <w:rFonts w:cs="FrankRuehl" w:hint="cs"/>
          <w:rtl/>
        </w:rPr>
        <w:t xml:space="preserve"> מיום 10.9.2008 עמ' 478 </w:t>
      </w:r>
      <w:r>
        <w:rPr>
          <w:rFonts w:cs="FrankRuehl"/>
          <w:rtl/>
        </w:rPr>
        <w:t>–</w:t>
      </w:r>
      <w:r>
        <w:rPr>
          <w:rFonts w:cs="FrankRuehl" w:hint="cs"/>
          <w:rtl/>
        </w:rPr>
        <w:t xml:space="preserve"> תיקון תשס"ח-2008 בסעיף 1 לחוק עזר לנתניה (ביטול סעיפי העונשין),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9D73" w14:textId="77777777" w:rsidR="00621BD7" w:rsidRDefault="00621BD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AF9413C" w14:textId="77777777" w:rsidR="00621BD7" w:rsidRDefault="00621B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486967" w14:textId="77777777" w:rsidR="00621BD7" w:rsidRDefault="00621BD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6C42" w14:textId="77777777" w:rsidR="00621BD7" w:rsidRDefault="00621BD7" w:rsidP="0071219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לנתניה (היטל ביוב), תשכ"ה-1965</w:t>
    </w:r>
  </w:p>
  <w:p w14:paraId="6D58DC5E" w14:textId="77777777" w:rsidR="00621BD7" w:rsidRDefault="00621B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0AF937" w14:textId="77777777" w:rsidR="00621BD7" w:rsidRDefault="00621BD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2F6E"/>
    <w:rsid w:val="00047470"/>
    <w:rsid w:val="0005205E"/>
    <w:rsid w:val="0009299D"/>
    <w:rsid w:val="000C7AA8"/>
    <w:rsid w:val="0018649B"/>
    <w:rsid w:val="001D0882"/>
    <w:rsid w:val="00210CFD"/>
    <w:rsid w:val="00252F6E"/>
    <w:rsid w:val="00263916"/>
    <w:rsid w:val="00273364"/>
    <w:rsid w:val="00313A60"/>
    <w:rsid w:val="003521ED"/>
    <w:rsid w:val="004127B6"/>
    <w:rsid w:val="0046666C"/>
    <w:rsid w:val="004C43B5"/>
    <w:rsid w:val="0055372A"/>
    <w:rsid w:val="00566161"/>
    <w:rsid w:val="00580194"/>
    <w:rsid w:val="005C7166"/>
    <w:rsid w:val="005C7438"/>
    <w:rsid w:val="005E2881"/>
    <w:rsid w:val="005E6016"/>
    <w:rsid w:val="005F3E20"/>
    <w:rsid w:val="00621BD7"/>
    <w:rsid w:val="00695468"/>
    <w:rsid w:val="0071219F"/>
    <w:rsid w:val="00717799"/>
    <w:rsid w:val="00780C1C"/>
    <w:rsid w:val="007A61D6"/>
    <w:rsid w:val="00887C37"/>
    <w:rsid w:val="008E606C"/>
    <w:rsid w:val="00903D01"/>
    <w:rsid w:val="00927795"/>
    <w:rsid w:val="00963C17"/>
    <w:rsid w:val="00A34153"/>
    <w:rsid w:val="00B0508B"/>
    <w:rsid w:val="00B13750"/>
    <w:rsid w:val="00B17604"/>
    <w:rsid w:val="00B34A3E"/>
    <w:rsid w:val="00B421AB"/>
    <w:rsid w:val="00B44BBB"/>
    <w:rsid w:val="00C36CB1"/>
    <w:rsid w:val="00C52D55"/>
    <w:rsid w:val="00C702D1"/>
    <w:rsid w:val="00CF7967"/>
    <w:rsid w:val="00D24730"/>
    <w:rsid w:val="00D32A3A"/>
    <w:rsid w:val="00D63694"/>
    <w:rsid w:val="00D671C8"/>
    <w:rsid w:val="00E208FE"/>
    <w:rsid w:val="00E612AD"/>
    <w:rsid w:val="00EF28B2"/>
    <w:rsid w:val="00F817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B7817F5"/>
  <w15:chartTrackingRefBased/>
  <w15:docId w15:val="{FA31DAA1-9AAE-4073-9E97-B7588423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13.pdf" TargetMode="External"/><Relationship Id="rId13" Type="http://schemas.openxmlformats.org/officeDocument/2006/relationships/hyperlink" Target="http://www.nevo.co.il/Law_word/law07/mekomi-0444.pdf" TargetMode="External"/><Relationship Id="rId3" Type="http://schemas.openxmlformats.org/officeDocument/2006/relationships/hyperlink" Target="http://www.nevo.co.il/Law_word/law06/tak-3258.pdf" TargetMode="External"/><Relationship Id="rId7" Type="http://schemas.openxmlformats.org/officeDocument/2006/relationships/hyperlink" Target="http://www.nevo.co.il/Law_word/law07/mekomi-0119.pdf" TargetMode="External"/><Relationship Id="rId12" Type="http://schemas.openxmlformats.org/officeDocument/2006/relationships/hyperlink" Target="http://www.nevo.co.il/Law_word/law07/mekomi-0434.pdf" TargetMode="External"/><Relationship Id="rId2" Type="http://schemas.openxmlformats.org/officeDocument/2006/relationships/hyperlink" Target="http://www.nevo.co.il/Law_word/law06/tak-2003.pdf" TargetMode="External"/><Relationship Id="rId1" Type="http://schemas.openxmlformats.org/officeDocument/2006/relationships/hyperlink" Target="http://www.nevo.co.il/Law_word/law06/tak-1719.pdf" TargetMode="External"/><Relationship Id="rId6" Type="http://schemas.openxmlformats.org/officeDocument/2006/relationships/hyperlink" Target="http://www.nevo.co.il/Law_word/law06/tak-4145.pdf" TargetMode="External"/><Relationship Id="rId11" Type="http://schemas.openxmlformats.org/officeDocument/2006/relationships/hyperlink" Target="http://www.nevo.co.il/Law_word/law07/mekomi-0361.pdf" TargetMode="External"/><Relationship Id="rId5" Type="http://schemas.openxmlformats.org/officeDocument/2006/relationships/hyperlink" Target="http://www.nevo.co.il/Law_word/law06/tak-3939.pdf" TargetMode="External"/><Relationship Id="rId15" Type="http://schemas.openxmlformats.org/officeDocument/2006/relationships/hyperlink" Target="http://www.nevo.co.il/Law_word/law07/mekomi-0723.pdf" TargetMode="External"/><Relationship Id="rId10" Type="http://schemas.openxmlformats.org/officeDocument/2006/relationships/hyperlink" Target="http://www.nevo.co.il/Law_word/law07/mekomi-0345.pdf" TargetMode="External"/><Relationship Id="rId4" Type="http://schemas.openxmlformats.org/officeDocument/2006/relationships/hyperlink" Target="http://www.nevo.co.il/Law_word/law06/tak-3939.pdf" TargetMode="External"/><Relationship Id="rId9" Type="http://schemas.openxmlformats.org/officeDocument/2006/relationships/hyperlink" Target="http://www.nevo.co.il/Law_word/law07/mekomi-0260.pdf" TargetMode="External"/><Relationship Id="rId14" Type="http://schemas.openxmlformats.org/officeDocument/2006/relationships/hyperlink" Target="http://www.nevo.co.il/Law_word/law07/mekomi-04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5855</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6869</CharactersWithSpaces>
  <SharedDoc>false</SharedDoc>
  <HLinks>
    <vt:vector size="162" baseType="variant">
      <vt:variant>
        <vt:i4>5701641</vt:i4>
      </vt:variant>
      <vt:variant>
        <vt:i4>66</vt:i4>
      </vt:variant>
      <vt:variant>
        <vt:i4>0</vt:i4>
      </vt:variant>
      <vt:variant>
        <vt:i4>5</vt:i4>
      </vt:variant>
      <vt:variant>
        <vt:lpwstr/>
      </vt:variant>
      <vt:variant>
        <vt:lpwstr>med2</vt:lpwstr>
      </vt:variant>
      <vt:variant>
        <vt:i4>5570569</vt:i4>
      </vt:variant>
      <vt:variant>
        <vt:i4>60</vt:i4>
      </vt:variant>
      <vt:variant>
        <vt:i4>0</vt:i4>
      </vt:variant>
      <vt:variant>
        <vt:i4>5</vt:i4>
      </vt:variant>
      <vt:variant>
        <vt:lpwstr/>
      </vt:variant>
      <vt:variant>
        <vt:lpwstr>med0</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3276843</vt:i4>
      </vt:variant>
      <vt:variant>
        <vt:i4>12</vt:i4>
      </vt:variant>
      <vt:variant>
        <vt:i4>0</vt:i4>
      </vt:variant>
      <vt:variant>
        <vt:i4>5</vt:i4>
      </vt:variant>
      <vt:variant>
        <vt:lpwstr/>
      </vt:variant>
      <vt:variant>
        <vt:lpwstr>Seif11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7929887</vt:i4>
      </vt:variant>
      <vt:variant>
        <vt:i4>42</vt:i4>
      </vt:variant>
      <vt:variant>
        <vt:i4>0</vt:i4>
      </vt:variant>
      <vt:variant>
        <vt:i4>5</vt:i4>
      </vt:variant>
      <vt:variant>
        <vt:lpwstr>http://www.nevo.co.il/Law_word/law07/mekomi-0723.pdf</vt:lpwstr>
      </vt:variant>
      <vt:variant>
        <vt:lpwstr/>
      </vt:variant>
      <vt:variant>
        <vt:i4>7405592</vt:i4>
      </vt:variant>
      <vt:variant>
        <vt:i4>39</vt:i4>
      </vt:variant>
      <vt:variant>
        <vt:i4>0</vt:i4>
      </vt:variant>
      <vt:variant>
        <vt:i4>5</vt:i4>
      </vt:variant>
      <vt:variant>
        <vt:lpwstr>http://www.nevo.co.il/Law_word/law07/mekomi-0458.pdf</vt:lpwstr>
      </vt:variant>
      <vt:variant>
        <vt:lpwstr/>
      </vt:variant>
      <vt:variant>
        <vt:i4>8192025</vt:i4>
      </vt:variant>
      <vt:variant>
        <vt:i4>36</vt:i4>
      </vt:variant>
      <vt:variant>
        <vt:i4>0</vt:i4>
      </vt:variant>
      <vt:variant>
        <vt:i4>5</vt:i4>
      </vt:variant>
      <vt:variant>
        <vt:lpwstr>http://www.nevo.co.il/Law_word/law07/mekomi-0444.pdf</vt:lpwstr>
      </vt:variant>
      <vt:variant>
        <vt:lpwstr/>
      </vt:variant>
      <vt:variant>
        <vt:i4>8192030</vt:i4>
      </vt:variant>
      <vt:variant>
        <vt:i4>33</vt:i4>
      </vt:variant>
      <vt:variant>
        <vt:i4>0</vt:i4>
      </vt:variant>
      <vt:variant>
        <vt:i4>5</vt:i4>
      </vt:variant>
      <vt:variant>
        <vt:lpwstr>http://www.nevo.co.il/Law_word/law07/mekomi-0434.pdf</vt:lpwstr>
      </vt:variant>
      <vt:variant>
        <vt:lpwstr/>
      </vt:variant>
      <vt:variant>
        <vt:i4>8323099</vt:i4>
      </vt:variant>
      <vt:variant>
        <vt:i4>30</vt:i4>
      </vt:variant>
      <vt:variant>
        <vt:i4>0</vt:i4>
      </vt:variant>
      <vt:variant>
        <vt:i4>5</vt:i4>
      </vt:variant>
      <vt:variant>
        <vt:lpwstr>http://www.nevo.co.il/Law_word/law07/mekomi-0361.pdf</vt:lpwstr>
      </vt:variant>
      <vt:variant>
        <vt:lpwstr/>
      </vt:variant>
      <vt:variant>
        <vt:i4>8060953</vt:i4>
      </vt:variant>
      <vt:variant>
        <vt:i4>27</vt:i4>
      </vt:variant>
      <vt:variant>
        <vt:i4>0</vt:i4>
      </vt:variant>
      <vt:variant>
        <vt:i4>5</vt:i4>
      </vt:variant>
      <vt:variant>
        <vt:lpwstr>http://www.nevo.co.il/Law_word/law07/mekomi-0345.pdf</vt:lpwstr>
      </vt:variant>
      <vt:variant>
        <vt:lpwstr/>
      </vt:variant>
      <vt:variant>
        <vt:i4>8323099</vt:i4>
      </vt:variant>
      <vt:variant>
        <vt:i4>24</vt:i4>
      </vt:variant>
      <vt:variant>
        <vt:i4>0</vt:i4>
      </vt:variant>
      <vt:variant>
        <vt:i4>5</vt:i4>
      </vt:variant>
      <vt:variant>
        <vt:lpwstr>http://www.nevo.co.il/Law_word/law07/mekomi-0260.pdf</vt:lpwstr>
      </vt:variant>
      <vt:variant>
        <vt:lpwstr/>
      </vt:variant>
      <vt:variant>
        <vt:i4>8126492</vt:i4>
      </vt:variant>
      <vt:variant>
        <vt:i4>21</vt:i4>
      </vt:variant>
      <vt:variant>
        <vt:i4>0</vt:i4>
      </vt:variant>
      <vt:variant>
        <vt:i4>5</vt:i4>
      </vt:variant>
      <vt:variant>
        <vt:lpwstr>http://www.nevo.co.il/Law_word/law07/mekomi-0213.pdf</vt:lpwstr>
      </vt:variant>
      <vt:variant>
        <vt:lpwstr/>
      </vt:variant>
      <vt:variant>
        <vt:i4>7667740</vt:i4>
      </vt:variant>
      <vt:variant>
        <vt:i4>18</vt:i4>
      </vt:variant>
      <vt:variant>
        <vt:i4>0</vt:i4>
      </vt:variant>
      <vt:variant>
        <vt:i4>5</vt:i4>
      </vt:variant>
      <vt:variant>
        <vt:lpwstr>http://www.nevo.co.il/Law_word/law07/mekomi-0119.pdf</vt:lpwstr>
      </vt:variant>
      <vt:variant>
        <vt:lpwstr/>
      </vt:variant>
      <vt:variant>
        <vt:i4>7929868</vt:i4>
      </vt:variant>
      <vt:variant>
        <vt:i4>15</vt:i4>
      </vt:variant>
      <vt:variant>
        <vt:i4>0</vt:i4>
      </vt:variant>
      <vt:variant>
        <vt:i4>5</vt:i4>
      </vt:variant>
      <vt:variant>
        <vt:lpwstr>http://www.nevo.co.il/Law_word/law06/tak-4145.pdf</vt:lpwstr>
      </vt:variant>
      <vt:variant>
        <vt:lpwstr/>
      </vt:variant>
      <vt:variant>
        <vt:i4>7929864</vt:i4>
      </vt:variant>
      <vt:variant>
        <vt:i4>12</vt:i4>
      </vt:variant>
      <vt:variant>
        <vt:i4>0</vt:i4>
      </vt:variant>
      <vt:variant>
        <vt:i4>5</vt:i4>
      </vt:variant>
      <vt:variant>
        <vt:lpwstr>http://www.nevo.co.il/Law_word/law06/tak-3939.pdf</vt:lpwstr>
      </vt:variant>
      <vt:variant>
        <vt:lpwstr/>
      </vt:variant>
      <vt:variant>
        <vt:i4>7929864</vt:i4>
      </vt:variant>
      <vt:variant>
        <vt:i4>9</vt:i4>
      </vt:variant>
      <vt:variant>
        <vt:i4>0</vt:i4>
      </vt:variant>
      <vt:variant>
        <vt:i4>5</vt:i4>
      </vt:variant>
      <vt:variant>
        <vt:lpwstr>http://www.nevo.co.il/Law_word/law06/tak-3939.pdf</vt:lpwstr>
      </vt:variant>
      <vt:variant>
        <vt:lpwstr/>
      </vt:variant>
      <vt:variant>
        <vt:i4>8323074</vt:i4>
      </vt:variant>
      <vt:variant>
        <vt:i4>6</vt:i4>
      </vt:variant>
      <vt:variant>
        <vt:i4>0</vt:i4>
      </vt:variant>
      <vt:variant>
        <vt:i4>5</vt:i4>
      </vt:variant>
      <vt:variant>
        <vt:lpwstr>http://www.nevo.co.il/Law_word/law06/tak-3258.pdf</vt:lpwstr>
      </vt:variant>
      <vt:variant>
        <vt:lpwstr/>
      </vt:variant>
      <vt:variant>
        <vt:i4>8060939</vt:i4>
      </vt:variant>
      <vt:variant>
        <vt:i4>3</vt:i4>
      </vt:variant>
      <vt:variant>
        <vt:i4>0</vt:i4>
      </vt:variant>
      <vt:variant>
        <vt:i4>5</vt:i4>
      </vt:variant>
      <vt:variant>
        <vt:lpwstr>http://www.nevo.co.il/Law_word/law06/tak-2003.pdf</vt:lpwstr>
      </vt:variant>
      <vt:variant>
        <vt:lpwstr/>
      </vt:variant>
      <vt:variant>
        <vt:i4>7929862</vt:i4>
      </vt:variant>
      <vt:variant>
        <vt:i4>0</vt:i4>
      </vt:variant>
      <vt:variant>
        <vt:i4>0</vt:i4>
      </vt:variant>
      <vt:variant>
        <vt:i4>5</vt:i4>
      </vt:variant>
      <vt:variant>
        <vt:lpwstr>http://www.nevo.co.il/Law_word/law06/tak-1719.pdf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(היטל ביוב), תשכ"ה-1965</vt:lpwstr>
  </property>
  <property fmtid="{D5CDD505-2E9C-101B-9397-08002B2CF9AE}" pid="5" name="LAWNUMBER">
    <vt:lpwstr>009_001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250X;251X;254X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מסי שלטון מקומי</vt:lpwstr>
  </property>
  <property fmtid="{D5CDD505-2E9C-101B-9397-08002B2CF9AE}" pid="28" name="NOSE41">
    <vt:lpwstr>אגרות והיטלים</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ביוב</vt:lpwstr>
  </property>
  <property fmtid="{D5CDD505-2E9C-101B-9397-08002B2CF9AE}" pid="32" name="NOSE42">
    <vt:lpwstr/>
  </property>
  <property fmtid="{D5CDD505-2E9C-101B-9397-08002B2CF9AE}" pid="33" name="NOSE13">
    <vt:lpwstr>רשויות ומשפט מנהלי</vt:lpwstr>
  </property>
  <property fmtid="{D5CDD505-2E9C-101B-9397-08002B2CF9AE}" pid="34" name="NOSE23">
    <vt:lpwstr>רשויות מקומיות</vt:lpwstr>
  </property>
  <property fmtid="{D5CDD505-2E9C-101B-9397-08002B2CF9AE}" pid="35" name="NOSE33">
    <vt:lpwstr>חוקי עזר</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