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A821" w14:textId="77777777" w:rsidR="00CD6B3F" w:rsidRDefault="00CD6B3F" w:rsidP="00A22BFE">
      <w:pPr>
        <w:pStyle w:val="big-header"/>
        <w:ind w:left="0" w:right="1134"/>
        <w:rPr>
          <w:rFonts w:cs="FrankRuehl"/>
          <w:sz w:val="32"/>
        </w:rPr>
      </w:pPr>
      <w:r>
        <w:rPr>
          <w:rFonts w:cs="FrankRuehl" w:hint="cs"/>
          <w:sz w:val="32"/>
          <w:rtl/>
        </w:rPr>
        <w:t>חוק עזר לפתח-תקוה (ביוב), תשנ"ו-1996</w:t>
      </w:r>
    </w:p>
    <w:p w14:paraId="4B0CC990" w14:textId="77777777" w:rsidR="00CA6430" w:rsidRPr="00CA6430" w:rsidRDefault="00CA6430" w:rsidP="00CA6430">
      <w:pPr>
        <w:spacing w:line="320" w:lineRule="auto"/>
        <w:jc w:val="left"/>
        <w:rPr>
          <w:rFonts w:cs="FrankRuehl"/>
          <w:szCs w:val="26"/>
          <w:rtl/>
        </w:rPr>
      </w:pPr>
    </w:p>
    <w:p w14:paraId="449D6F68" w14:textId="77777777" w:rsidR="00CA6430" w:rsidRDefault="00CA6430" w:rsidP="00CA6430">
      <w:pPr>
        <w:spacing w:line="320" w:lineRule="auto"/>
        <w:jc w:val="left"/>
        <w:rPr>
          <w:rtl/>
        </w:rPr>
      </w:pPr>
    </w:p>
    <w:p w14:paraId="66C7B74E" w14:textId="77777777" w:rsidR="00CA6430" w:rsidRDefault="00CA6430" w:rsidP="00CA6430">
      <w:pPr>
        <w:spacing w:line="320" w:lineRule="auto"/>
        <w:jc w:val="left"/>
        <w:rPr>
          <w:rFonts w:cs="FrankRuehl"/>
          <w:szCs w:val="26"/>
          <w:rtl/>
        </w:rPr>
      </w:pPr>
      <w:r w:rsidRPr="00CA6430">
        <w:rPr>
          <w:rFonts w:cs="Miriam"/>
          <w:szCs w:val="22"/>
          <w:rtl/>
        </w:rPr>
        <w:t>רשויות ומשפט מנהלי</w:t>
      </w:r>
      <w:r w:rsidRPr="00CA6430">
        <w:rPr>
          <w:rFonts w:cs="FrankRuehl"/>
          <w:szCs w:val="26"/>
          <w:rtl/>
        </w:rPr>
        <w:t xml:space="preserve"> – רשויות מקומיות – ביוב</w:t>
      </w:r>
    </w:p>
    <w:p w14:paraId="16D012F7" w14:textId="77777777" w:rsidR="00CA6430" w:rsidRPr="00CA6430" w:rsidRDefault="00CA6430" w:rsidP="00CA6430">
      <w:pPr>
        <w:spacing w:line="320" w:lineRule="auto"/>
        <w:jc w:val="left"/>
        <w:rPr>
          <w:rFonts w:cs="Miriam"/>
          <w:szCs w:val="22"/>
          <w:rtl/>
        </w:rPr>
      </w:pPr>
      <w:r w:rsidRPr="00CA6430">
        <w:rPr>
          <w:rFonts w:cs="Miriam"/>
          <w:szCs w:val="22"/>
          <w:rtl/>
        </w:rPr>
        <w:t>רשויות ומשפט מנהלי</w:t>
      </w:r>
      <w:r w:rsidRPr="00CA6430">
        <w:rPr>
          <w:rFonts w:cs="FrankRuehl"/>
          <w:szCs w:val="26"/>
          <w:rtl/>
        </w:rPr>
        <w:t xml:space="preserve"> – רשויות מקומיות – חוקי עזר</w:t>
      </w:r>
    </w:p>
    <w:p w14:paraId="47744939" w14:textId="77777777" w:rsidR="00CD6B3F" w:rsidRDefault="00CD6B3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D6B3F" w14:paraId="6DA3360F" w14:textId="77777777">
        <w:tblPrEx>
          <w:tblCellMar>
            <w:top w:w="0" w:type="dxa"/>
            <w:bottom w:w="0" w:type="dxa"/>
          </w:tblCellMar>
        </w:tblPrEx>
        <w:trPr>
          <w:jc w:val="right"/>
        </w:trPr>
        <w:tc>
          <w:tcPr>
            <w:tcW w:w="850" w:type="dxa"/>
          </w:tcPr>
          <w:p w14:paraId="5329F216" w14:textId="77777777" w:rsidR="00CD6B3F" w:rsidRDefault="00CD6B3F">
            <w:pPr>
              <w:spacing w:line="240" w:lineRule="auto"/>
              <w:jc w:val="left"/>
              <w:rPr>
                <w:rFonts w:cs="Frankruhel"/>
                <w:sz w:val="24"/>
              </w:rPr>
            </w:pPr>
            <w:r>
              <w:rPr>
                <w:rFonts w:cs="Frankruhel"/>
                <w:sz w:val="24"/>
                <w:rtl/>
              </w:rPr>
              <w:t>2</w:t>
            </w:r>
          </w:p>
        </w:tc>
        <w:tc>
          <w:tcPr>
            <w:tcW w:w="567" w:type="dxa"/>
          </w:tcPr>
          <w:p w14:paraId="0B3922CB" w14:textId="77777777" w:rsidR="00CD6B3F" w:rsidRDefault="00CD6B3F">
            <w:pPr>
              <w:spacing w:line="240" w:lineRule="auto"/>
              <w:jc w:val="left"/>
              <w:rPr>
                <w:rFonts w:cs="Frankruhel"/>
                <w:sz w:val="24"/>
              </w:rPr>
            </w:pPr>
            <w:hyperlink w:anchor="Seif0" w:tooltip="הגדרות" w:history="1">
              <w:r>
                <w:rPr>
                  <w:rStyle w:val="Hyperlink"/>
                </w:rPr>
                <w:t>Go</w:t>
              </w:r>
            </w:hyperlink>
          </w:p>
        </w:tc>
        <w:tc>
          <w:tcPr>
            <w:tcW w:w="5669" w:type="dxa"/>
          </w:tcPr>
          <w:p w14:paraId="29F86F55" w14:textId="77777777" w:rsidR="00CD6B3F" w:rsidRDefault="00CD6B3F">
            <w:pPr>
              <w:spacing w:line="240" w:lineRule="auto"/>
              <w:jc w:val="left"/>
              <w:rPr>
                <w:rFonts w:cs="Frankruhel"/>
                <w:sz w:val="24"/>
                <w:rtl/>
              </w:rPr>
            </w:pPr>
            <w:r>
              <w:rPr>
                <w:rFonts w:cs="Frankruhel"/>
                <w:sz w:val="24"/>
                <w:rtl/>
              </w:rPr>
              <w:t>הגדרות</w:t>
            </w:r>
          </w:p>
        </w:tc>
        <w:tc>
          <w:tcPr>
            <w:tcW w:w="1247" w:type="dxa"/>
          </w:tcPr>
          <w:p w14:paraId="3AD3E273" w14:textId="77777777" w:rsidR="00CD6B3F" w:rsidRDefault="00CD6B3F">
            <w:pPr>
              <w:spacing w:line="240" w:lineRule="auto"/>
              <w:jc w:val="left"/>
              <w:rPr>
                <w:rFonts w:cs="Frankruhel"/>
                <w:sz w:val="24"/>
              </w:rPr>
            </w:pPr>
            <w:r>
              <w:rPr>
                <w:rFonts w:cs="Frankruhel"/>
                <w:sz w:val="24"/>
                <w:rtl/>
              </w:rPr>
              <w:t xml:space="preserve">סעיף 1 </w:t>
            </w:r>
          </w:p>
        </w:tc>
      </w:tr>
      <w:tr w:rsidR="00CD6B3F" w14:paraId="02258C3C" w14:textId="77777777">
        <w:tblPrEx>
          <w:tblCellMar>
            <w:top w:w="0" w:type="dxa"/>
            <w:bottom w:w="0" w:type="dxa"/>
          </w:tblCellMar>
        </w:tblPrEx>
        <w:trPr>
          <w:jc w:val="right"/>
        </w:trPr>
        <w:tc>
          <w:tcPr>
            <w:tcW w:w="850" w:type="dxa"/>
          </w:tcPr>
          <w:p w14:paraId="295DC6F3" w14:textId="77777777" w:rsidR="00CD6B3F" w:rsidRDefault="00CD6B3F">
            <w:pPr>
              <w:spacing w:line="240" w:lineRule="auto"/>
              <w:jc w:val="left"/>
              <w:rPr>
                <w:rFonts w:cs="Frankruhel"/>
                <w:sz w:val="24"/>
              </w:rPr>
            </w:pPr>
            <w:r>
              <w:rPr>
                <w:rFonts w:cs="Frankruhel"/>
                <w:sz w:val="24"/>
                <w:rtl/>
              </w:rPr>
              <w:t>3</w:t>
            </w:r>
          </w:p>
        </w:tc>
        <w:tc>
          <w:tcPr>
            <w:tcW w:w="567" w:type="dxa"/>
          </w:tcPr>
          <w:p w14:paraId="0DA62887" w14:textId="77777777" w:rsidR="00CD6B3F" w:rsidRDefault="00CD6B3F">
            <w:pPr>
              <w:spacing w:line="240" w:lineRule="auto"/>
              <w:jc w:val="left"/>
              <w:rPr>
                <w:rFonts w:cs="Frankruhel"/>
                <w:sz w:val="24"/>
              </w:rPr>
            </w:pPr>
            <w:hyperlink w:anchor="Seif1" w:tooltip="היטל ביוב" w:history="1">
              <w:r>
                <w:rPr>
                  <w:rStyle w:val="Hyperlink"/>
                </w:rPr>
                <w:t>Go</w:t>
              </w:r>
            </w:hyperlink>
          </w:p>
        </w:tc>
        <w:tc>
          <w:tcPr>
            <w:tcW w:w="5669" w:type="dxa"/>
          </w:tcPr>
          <w:p w14:paraId="3A6D8B20" w14:textId="77777777" w:rsidR="00CD6B3F" w:rsidRDefault="00CD6B3F">
            <w:pPr>
              <w:spacing w:line="240" w:lineRule="auto"/>
              <w:jc w:val="left"/>
              <w:rPr>
                <w:rFonts w:cs="Frankruhel"/>
                <w:sz w:val="24"/>
                <w:rtl/>
              </w:rPr>
            </w:pPr>
            <w:r>
              <w:rPr>
                <w:rFonts w:cs="Frankruhel"/>
                <w:sz w:val="24"/>
                <w:rtl/>
              </w:rPr>
              <w:t>היטל ביוב</w:t>
            </w:r>
          </w:p>
        </w:tc>
        <w:tc>
          <w:tcPr>
            <w:tcW w:w="1247" w:type="dxa"/>
          </w:tcPr>
          <w:p w14:paraId="177F1A6D" w14:textId="77777777" w:rsidR="00CD6B3F" w:rsidRDefault="00CD6B3F">
            <w:pPr>
              <w:spacing w:line="240" w:lineRule="auto"/>
              <w:jc w:val="left"/>
              <w:rPr>
                <w:rFonts w:cs="Frankruhel"/>
                <w:sz w:val="24"/>
              </w:rPr>
            </w:pPr>
            <w:r>
              <w:rPr>
                <w:rFonts w:cs="Frankruhel"/>
                <w:sz w:val="24"/>
                <w:rtl/>
              </w:rPr>
              <w:t xml:space="preserve">סעיף 2 </w:t>
            </w:r>
          </w:p>
        </w:tc>
      </w:tr>
      <w:tr w:rsidR="00CD6B3F" w14:paraId="4A8C197E" w14:textId="77777777">
        <w:tblPrEx>
          <w:tblCellMar>
            <w:top w:w="0" w:type="dxa"/>
            <w:bottom w:w="0" w:type="dxa"/>
          </w:tblCellMar>
        </w:tblPrEx>
        <w:trPr>
          <w:jc w:val="right"/>
        </w:trPr>
        <w:tc>
          <w:tcPr>
            <w:tcW w:w="850" w:type="dxa"/>
          </w:tcPr>
          <w:p w14:paraId="75819BF5" w14:textId="77777777" w:rsidR="00CD6B3F" w:rsidRDefault="00CD6B3F">
            <w:pPr>
              <w:spacing w:line="240" w:lineRule="auto"/>
              <w:jc w:val="left"/>
              <w:rPr>
                <w:rFonts w:cs="Frankruhel"/>
                <w:sz w:val="24"/>
              </w:rPr>
            </w:pPr>
            <w:r>
              <w:rPr>
                <w:rFonts w:cs="Frankruhel"/>
                <w:sz w:val="24"/>
                <w:rtl/>
              </w:rPr>
              <w:t>3</w:t>
            </w:r>
          </w:p>
        </w:tc>
        <w:tc>
          <w:tcPr>
            <w:tcW w:w="567" w:type="dxa"/>
          </w:tcPr>
          <w:p w14:paraId="0848EEC2" w14:textId="77777777" w:rsidR="00CD6B3F" w:rsidRDefault="00CD6B3F">
            <w:pPr>
              <w:spacing w:line="240" w:lineRule="auto"/>
              <w:jc w:val="left"/>
              <w:rPr>
                <w:rFonts w:cs="Frankruhel"/>
                <w:sz w:val="24"/>
              </w:rPr>
            </w:pPr>
            <w:hyperlink w:anchor="Seif2" w:tooltip="בניה נוספת" w:history="1">
              <w:r>
                <w:rPr>
                  <w:rStyle w:val="Hyperlink"/>
                </w:rPr>
                <w:t>Go</w:t>
              </w:r>
            </w:hyperlink>
          </w:p>
        </w:tc>
        <w:tc>
          <w:tcPr>
            <w:tcW w:w="5669" w:type="dxa"/>
          </w:tcPr>
          <w:p w14:paraId="70FC507B" w14:textId="77777777" w:rsidR="00CD6B3F" w:rsidRDefault="00CD6B3F">
            <w:pPr>
              <w:spacing w:line="240" w:lineRule="auto"/>
              <w:jc w:val="left"/>
              <w:rPr>
                <w:rFonts w:cs="Frankruhel"/>
                <w:sz w:val="24"/>
                <w:rtl/>
              </w:rPr>
            </w:pPr>
            <w:r>
              <w:rPr>
                <w:rFonts w:cs="Frankruhel"/>
                <w:sz w:val="24"/>
                <w:rtl/>
              </w:rPr>
              <w:t>בניה נוספת</w:t>
            </w:r>
          </w:p>
        </w:tc>
        <w:tc>
          <w:tcPr>
            <w:tcW w:w="1247" w:type="dxa"/>
          </w:tcPr>
          <w:p w14:paraId="1AA86DE1" w14:textId="77777777" w:rsidR="00CD6B3F" w:rsidRDefault="00CD6B3F">
            <w:pPr>
              <w:spacing w:line="240" w:lineRule="auto"/>
              <w:jc w:val="left"/>
              <w:rPr>
                <w:rFonts w:cs="Frankruhel"/>
                <w:sz w:val="24"/>
              </w:rPr>
            </w:pPr>
            <w:r>
              <w:rPr>
                <w:rFonts w:cs="Frankruhel"/>
                <w:sz w:val="24"/>
                <w:rtl/>
              </w:rPr>
              <w:t xml:space="preserve">סעיף 3 </w:t>
            </w:r>
          </w:p>
        </w:tc>
      </w:tr>
      <w:tr w:rsidR="00CD6B3F" w14:paraId="482EE33E" w14:textId="77777777">
        <w:tblPrEx>
          <w:tblCellMar>
            <w:top w:w="0" w:type="dxa"/>
            <w:bottom w:w="0" w:type="dxa"/>
          </w:tblCellMar>
        </w:tblPrEx>
        <w:trPr>
          <w:jc w:val="right"/>
        </w:trPr>
        <w:tc>
          <w:tcPr>
            <w:tcW w:w="850" w:type="dxa"/>
          </w:tcPr>
          <w:p w14:paraId="7BBADEEC" w14:textId="77777777" w:rsidR="00CD6B3F" w:rsidRDefault="00CD6B3F">
            <w:pPr>
              <w:spacing w:line="240" w:lineRule="auto"/>
              <w:jc w:val="left"/>
              <w:rPr>
                <w:rFonts w:cs="Frankruhel"/>
                <w:sz w:val="24"/>
              </w:rPr>
            </w:pPr>
            <w:r>
              <w:rPr>
                <w:rFonts w:cs="Frankruhel"/>
                <w:sz w:val="24"/>
                <w:rtl/>
              </w:rPr>
              <w:t>3</w:t>
            </w:r>
          </w:p>
        </w:tc>
        <w:tc>
          <w:tcPr>
            <w:tcW w:w="567" w:type="dxa"/>
          </w:tcPr>
          <w:p w14:paraId="4B06F001" w14:textId="77777777" w:rsidR="00CD6B3F" w:rsidRDefault="00CD6B3F">
            <w:pPr>
              <w:spacing w:line="240" w:lineRule="auto"/>
              <w:jc w:val="left"/>
              <w:rPr>
                <w:rFonts w:cs="Frankruhel"/>
                <w:sz w:val="24"/>
              </w:rPr>
            </w:pPr>
            <w:hyperlink w:anchor="Seif3" w:tooltip="התקנת ביוב בידי בעל הנכס" w:history="1">
              <w:r>
                <w:rPr>
                  <w:rStyle w:val="Hyperlink"/>
                </w:rPr>
                <w:t>Go</w:t>
              </w:r>
            </w:hyperlink>
          </w:p>
        </w:tc>
        <w:tc>
          <w:tcPr>
            <w:tcW w:w="5669" w:type="dxa"/>
          </w:tcPr>
          <w:p w14:paraId="64324255" w14:textId="77777777" w:rsidR="00CD6B3F" w:rsidRDefault="00CD6B3F">
            <w:pPr>
              <w:spacing w:line="240" w:lineRule="auto"/>
              <w:jc w:val="left"/>
              <w:rPr>
                <w:rFonts w:cs="Frankruhel"/>
                <w:sz w:val="24"/>
                <w:rtl/>
              </w:rPr>
            </w:pPr>
            <w:r>
              <w:rPr>
                <w:rFonts w:cs="Frankruhel"/>
                <w:sz w:val="24"/>
                <w:rtl/>
              </w:rPr>
              <w:t>התקנת ביוב בידי בעל הנכס</w:t>
            </w:r>
          </w:p>
        </w:tc>
        <w:tc>
          <w:tcPr>
            <w:tcW w:w="1247" w:type="dxa"/>
          </w:tcPr>
          <w:p w14:paraId="7727AD43" w14:textId="77777777" w:rsidR="00CD6B3F" w:rsidRDefault="00CD6B3F">
            <w:pPr>
              <w:spacing w:line="240" w:lineRule="auto"/>
              <w:jc w:val="left"/>
              <w:rPr>
                <w:rFonts w:cs="Frankruhel"/>
                <w:sz w:val="24"/>
              </w:rPr>
            </w:pPr>
            <w:r>
              <w:rPr>
                <w:rFonts w:cs="Frankruhel"/>
                <w:sz w:val="24"/>
                <w:rtl/>
              </w:rPr>
              <w:t xml:space="preserve">סעיף 4 </w:t>
            </w:r>
          </w:p>
        </w:tc>
      </w:tr>
      <w:tr w:rsidR="00CD6B3F" w14:paraId="78607C6E" w14:textId="77777777">
        <w:tblPrEx>
          <w:tblCellMar>
            <w:top w:w="0" w:type="dxa"/>
            <w:bottom w:w="0" w:type="dxa"/>
          </w:tblCellMar>
        </w:tblPrEx>
        <w:trPr>
          <w:jc w:val="right"/>
        </w:trPr>
        <w:tc>
          <w:tcPr>
            <w:tcW w:w="850" w:type="dxa"/>
          </w:tcPr>
          <w:p w14:paraId="49D09DC3" w14:textId="77777777" w:rsidR="00CD6B3F" w:rsidRDefault="00CD6B3F">
            <w:pPr>
              <w:spacing w:line="240" w:lineRule="auto"/>
              <w:jc w:val="left"/>
              <w:rPr>
                <w:rFonts w:cs="Frankruhel"/>
                <w:sz w:val="24"/>
              </w:rPr>
            </w:pPr>
            <w:r>
              <w:rPr>
                <w:rFonts w:cs="Frankruhel"/>
                <w:sz w:val="24"/>
                <w:rtl/>
              </w:rPr>
              <w:t>3</w:t>
            </w:r>
          </w:p>
        </w:tc>
        <w:tc>
          <w:tcPr>
            <w:tcW w:w="567" w:type="dxa"/>
          </w:tcPr>
          <w:p w14:paraId="63410C51" w14:textId="77777777" w:rsidR="00CD6B3F" w:rsidRDefault="00CD6B3F">
            <w:pPr>
              <w:spacing w:line="240" w:lineRule="auto"/>
              <w:jc w:val="left"/>
              <w:rPr>
                <w:rFonts w:cs="Frankruhel"/>
                <w:sz w:val="24"/>
              </w:rPr>
            </w:pPr>
            <w:hyperlink w:anchor="Seif4" w:tooltip="חיוב ביב פרטי לביוב" w:history="1">
              <w:r>
                <w:rPr>
                  <w:rStyle w:val="Hyperlink"/>
                </w:rPr>
                <w:t>Go</w:t>
              </w:r>
            </w:hyperlink>
          </w:p>
        </w:tc>
        <w:tc>
          <w:tcPr>
            <w:tcW w:w="5669" w:type="dxa"/>
          </w:tcPr>
          <w:p w14:paraId="51826E65" w14:textId="77777777" w:rsidR="00CD6B3F" w:rsidRDefault="00CD6B3F">
            <w:pPr>
              <w:spacing w:line="240" w:lineRule="auto"/>
              <w:jc w:val="left"/>
              <w:rPr>
                <w:rFonts w:cs="Frankruhel"/>
                <w:sz w:val="24"/>
                <w:rtl/>
              </w:rPr>
            </w:pPr>
            <w:r>
              <w:rPr>
                <w:rFonts w:cs="Frankruhel"/>
                <w:sz w:val="24"/>
                <w:rtl/>
              </w:rPr>
              <w:t>חיוב ביב פרטי לביוב</w:t>
            </w:r>
          </w:p>
        </w:tc>
        <w:tc>
          <w:tcPr>
            <w:tcW w:w="1247" w:type="dxa"/>
          </w:tcPr>
          <w:p w14:paraId="13D1F2E8" w14:textId="77777777" w:rsidR="00CD6B3F" w:rsidRDefault="00CD6B3F">
            <w:pPr>
              <w:spacing w:line="240" w:lineRule="auto"/>
              <w:jc w:val="left"/>
              <w:rPr>
                <w:rFonts w:cs="Frankruhel"/>
                <w:sz w:val="24"/>
              </w:rPr>
            </w:pPr>
            <w:r>
              <w:rPr>
                <w:rFonts w:cs="Frankruhel"/>
                <w:sz w:val="24"/>
                <w:rtl/>
              </w:rPr>
              <w:t xml:space="preserve">סעיף 5 </w:t>
            </w:r>
          </w:p>
        </w:tc>
      </w:tr>
      <w:tr w:rsidR="00CD6B3F" w14:paraId="7F0A98B3" w14:textId="77777777">
        <w:tblPrEx>
          <w:tblCellMar>
            <w:top w:w="0" w:type="dxa"/>
            <w:bottom w:w="0" w:type="dxa"/>
          </w:tblCellMar>
        </w:tblPrEx>
        <w:trPr>
          <w:jc w:val="right"/>
        </w:trPr>
        <w:tc>
          <w:tcPr>
            <w:tcW w:w="850" w:type="dxa"/>
          </w:tcPr>
          <w:p w14:paraId="2892731C" w14:textId="77777777" w:rsidR="00CD6B3F" w:rsidRDefault="00CD6B3F">
            <w:pPr>
              <w:spacing w:line="240" w:lineRule="auto"/>
              <w:jc w:val="left"/>
              <w:rPr>
                <w:rFonts w:cs="Frankruhel"/>
                <w:sz w:val="24"/>
              </w:rPr>
            </w:pPr>
            <w:r>
              <w:rPr>
                <w:rFonts w:cs="Frankruhel"/>
                <w:sz w:val="24"/>
                <w:rtl/>
              </w:rPr>
              <w:t>3</w:t>
            </w:r>
          </w:p>
        </w:tc>
        <w:tc>
          <w:tcPr>
            <w:tcW w:w="567" w:type="dxa"/>
          </w:tcPr>
          <w:p w14:paraId="1556C96C" w14:textId="77777777" w:rsidR="00CD6B3F" w:rsidRDefault="00CD6B3F">
            <w:pPr>
              <w:spacing w:line="240" w:lineRule="auto"/>
              <w:jc w:val="left"/>
              <w:rPr>
                <w:rFonts w:cs="Frankruhel"/>
                <w:sz w:val="24"/>
              </w:rPr>
            </w:pPr>
            <w:hyperlink w:anchor="Seif5" w:tooltip="איסור פגיעה  בביוב" w:history="1">
              <w:r>
                <w:rPr>
                  <w:rStyle w:val="Hyperlink"/>
                </w:rPr>
                <w:t>Go</w:t>
              </w:r>
            </w:hyperlink>
          </w:p>
        </w:tc>
        <w:tc>
          <w:tcPr>
            <w:tcW w:w="5669" w:type="dxa"/>
          </w:tcPr>
          <w:p w14:paraId="3D79FC51" w14:textId="77777777" w:rsidR="00CD6B3F" w:rsidRDefault="00CD6B3F">
            <w:pPr>
              <w:spacing w:line="240" w:lineRule="auto"/>
              <w:jc w:val="left"/>
              <w:rPr>
                <w:rFonts w:cs="Frankruhel"/>
                <w:sz w:val="24"/>
                <w:rtl/>
              </w:rPr>
            </w:pPr>
            <w:r>
              <w:rPr>
                <w:rFonts w:cs="Frankruhel"/>
                <w:sz w:val="24"/>
                <w:rtl/>
              </w:rPr>
              <w:t>איסור פגיעה  בביוב</w:t>
            </w:r>
          </w:p>
        </w:tc>
        <w:tc>
          <w:tcPr>
            <w:tcW w:w="1247" w:type="dxa"/>
          </w:tcPr>
          <w:p w14:paraId="0BD17F3A" w14:textId="77777777" w:rsidR="00CD6B3F" w:rsidRDefault="00CD6B3F">
            <w:pPr>
              <w:spacing w:line="240" w:lineRule="auto"/>
              <w:jc w:val="left"/>
              <w:rPr>
                <w:rFonts w:cs="Frankruhel"/>
                <w:sz w:val="24"/>
              </w:rPr>
            </w:pPr>
            <w:r>
              <w:rPr>
                <w:rFonts w:cs="Frankruhel"/>
                <w:sz w:val="24"/>
                <w:rtl/>
              </w:rPr>
              <w:t xml:space="preserve">סעיף 6 </w:t>
            </w:r>
          </w:p>
        </w:tc>
      </w:tr>
      <w:tr w:rsidR="00CD6B3F" w14:paraId="29946B65" w14:textId="77777777">
        <w:tblPrEx>
          <w:tblCellMar>
            <w:top w:w="0" w:type="dxa"/>
            <w:bottom w:w="0" w:type="dxa"/>
          </w:tblCellMar>
        </w:tblPrEx>
        <w:trPr>
          <w:jc w:val="right"/>
        </w:trPr>
        <w:tc>
          <w:tcPr>
            <w:tcW w:w="850" w:type="dxa"/>
          </w:tcPr>
          <w:p w14:paraId="549119EA" w14:textId="77777777" w:rsidR="00CD6B3F" w:rsidRDefault="00CD6B3F">
            <w:pPr>
              <w:spacing w:line="240" w:lineRule="auto"/>
              <w:jc w:val="left"/>
              <w:rPr>
                <w:rFonts w:cs="Frankruhel"/>
                <w:sz w:val="24"/>
              </w:rPr>
            </w:pPr>
            <w:r>
              <w:rPr>
                <w:rFonts w:cs="Frankruhel"/>
                <w:sz w:val="24"/>
                <w:rtl/>
              </w:rPr>
              <w:t>3</w:t>
            </w:r>
          </w:p>
        </w:tc>
        <w:tc>
          <w:tcPr>
            <w:tcW w:w="567" w:type="dxa"/>
          </w:tcPr>
          <w:p w14:paraId="5D9C0ED5" w14:textId="77777777" w:rsidR="00CD6B3F" w:rsidRDefault="00CD6B3F">
            <w:pPr>
              <w:spacing w:line="240" w:lineRule="auto"/>
              <w:jc w:val="left"/>
              <w:rPr>
                <w:rFonts w:cs="Frankruhel"/>
                <w:sz w:val="24"/>
              </w:rPr>
            </w:pPr>
            <w:hyperlink w:anchor="Seif6" w:tooltip="אגרת ביוב" w:history="1">
              <w:r>
                <w:rPr>
                  <w:rStyle w:val="Hyperlink"/>
                </w:rPr>
                <w:t>Go</w:t>
              </w:r>
            </w:hyperlink>
          </w:p>
        </w:tc>
        <w:tc>
          <w:tcPr>
            <w:tcW w:w="5669" w:type="dxa"/>
          </w:tcPr>
          <w:p w14:paraId="46F1DFA3" w14:textId="77777777" w:rsidR="00CD6B3F" w:rsidRDefault="00CD6B3F">
            <w:pPr>
              <w:spacing w:line="240" w:lineRule="auto"/>
              <w:jc w:val="left"/>
              <w:rPr>
                <w:rFonts w:cs="Frankruhel"/>
                <w:sz w:val="24"/>
                <w:rtl/>
              </w:rPr>
            </w:pPr>
            <w:r>
              <w:rPr>
                <w:rFonts w:cs="Frankruhel"/>
                <w:sz w:val="24"/>
                <w:rtl/>
              </w:rPr>
              <w:t>אגרת ביוב</w:t>
            </w:r>
          </w:p>
        </w:tc>
        <w:tc>
          <w:tcPr>
            <w:tcW w:w="1247" w:type="dxa"/>
          </w:tcPr>
          <w:p w14:paraId="481D5D63" w14:textId="77777777" w:rsidR="00CD6B3F" w:rsidRDefault="00CD6B3F">
            <w:pPr>
              <w:spacing w:line="240" w:lineRule="auto"/>
              <w:jc w:val="left"/>
              <w:rPr>
                <w:rFonts w:cs="Frankruhel"/>
                <w:sz w:val="24"/>
              </w:rPr>
            </w:pPr>
            <w:r>
              <w:rPr>
                <w:rFonts w:cs="Frankruhel"/>
                <w:sz w:val="24"/>
                <w:rtl/>
              </w:rPr>
              <w:t xml:space="preserve">סעיף 7 </w:t>
            </w:r>
          </w:p>
        </w:tc>
      </w:tr>
      <w:tr w:rsidR="00CD6B3F" w14:paraId="2F0A4B77" w14:textId="77777777">
        <w:tblPrEx>
          <w:tblCellMar>
            <w:top w:w="0" w:type="dxa"/>
            <w:bottom w:w="0" w:type="dxa"/>
          </w:tblCellMar>
        </w:tblPrEx>
        <w:trPr>
          <w:jc w:val="right"/>
        </w:trPr>
        <w:tc>
          <w:tcPr>
            <w:tcW w:w="850" w:type="dxa"/>
          </w:tcPr>
          <w:p w14:paraId="3DE8BFA8" w14:textId="77777777" w:rsidR="00CD6B3F" w:rsidRDefault="00CD6B3F">
            <w:pPr>
              <w:spacing w:line="240" w:lineRule="auto"/>
              <w:jc w:val="left"/>
              <w:rPr>
                <w:rFonts w:cs="Frankruhel"/>
                <w:sz w:val="24"/>
              </w:rPr>
            </w:pPr>
            <w:r>
              <w:rPr>
                <w:rFonts w:cs="Frankruhel"/>
                <w:sz w:val="24"/>
                <w:rtl/>
              </w:rPr>
              <w:t>3</w:t>
            </w:r>
          </w:p>
        </w:tc>
        <w:tc>
          <w:tcPr>
            <w:tcW w:w="567" w:type="dxa"/>
          </w:tcPr>
          <w:p w14:paraId="250D7230" w14:textId="77777777" w:rsidR="00CD6B3F" w:rsidRDefault="00CD6B3F">
            <w:pPr>
              <w:spacing w:line="240" w:lineRule="auto"/>
              <w:jc w:val="left"/>
              <w:rPr>
                <w:rFonts w:cs="Frankruhel"/>
                <w:sz w:val="24"/>
              </w:rPr>
            </w:pPr>
            <w:hyperlink w:anchor="Seif7" w:tooltip="תשלום אגרת ביוב" w:history="1">
              <w:r>
                <w:rPr>
                  <w:rStyle w:val="Hyperlink"/>
                </w:rPr>
                <w:t>Go</w:t>
              </w:r>
            </w:hyperlink>
          </w:p>
        </w:tc>
        <w:tc>
          <w:tcPr>
            <w:tcW w:w="5669" w:type="dxa"/>
          </w:tcPr>
          <w:p w14:paraId="0FE27355" w14:textId="77777777" w:rsidR="00CD6B3F" w:rsidRDefault="00CD6B3F">
            <w:pPr>
              <w:spacing w:line="240" w:lineRule="auto"/>
              <w:jc w:val="left"/>
              <w:rPr>
                <w:rFonts w:cs="Frankruhel"/>
                <w:sz w:val="24"/>
                <w:rtl/>
              </w:rPr>
            </w:pPr>
            <w:r>
              <w:rPr>
                <w:rFonts w:cs="Frankruhel"/>
                <w:sz w:val="24"/>
                <w:rtl/>
              </w:rPr>
              <w:t>תשלום אגרת ביוב</w:t>
            </w:r>
          </w:p>
        </w:tc>
        <w:tc>
          <w:tcPr>
            <w:tcW w:w="1247" w:type="dxa"/>
          </w:tcPr>
          <w:p w14:paraId="7D6F39D3" w14:textId="77777777" w:rsidR="00CD6B3F" w:rsidRDefault="00CD6B3F">
            <w:pPr>
              <w:spacing w:line="240" w:lineRule="auto"/>
              <w:jc w:val="left"/>
              <w:rPr>
                <w:rFonts w:cs="Frankruhel"/>
                <w:sz w:val="24"/>
              </w:rPr>
            </w:pPr>
            <w:r>
              <w:rPr>
                <w:rFonts w:cs="Frankruhel"/>
                <w:sz w:val="24"/>
                <w:rtl/>
              </w:rPr>
              <w:t xml:space="preserve">סעיף 8 </w:t>
            </w:r>
          </w:p>
        </w:tc>
      </w:tr>
      <w:tr w:rsidR="00CD6B3F" w14:paraId="7340DC77" w14:textId="77777777">
        <w:tblPrEx>
          <w:tblCellMar>
            <w:top w:w="0" w:type="dxa"/>
            <w:bottom w:w="0" w:type="dxa"/>
          </w:tblCellMar>
        </w:tblPrEx>
        <w:trPr>
          <w:jc w:val="right"/>
        </w:trPr>
        <w:tc>
          <w:tcPr>
            <w:tcW w:w="850" w:type="dxa"/>
          </w:tcPr>
          <w:p w14:paraId="38FDD8CA" w14:textId="77777777" w:rsidR="00CD6B3F" w:rsidRDefault="00CD6B3F">
            <w:pPr>
              <w:spacing w:line="240" w:lineRule="auto"/>
              <w:jc w:val="left"/>
              <w:rPr>
                <w:rFonts w:cs="Frankruhel"/>
                <w:sz w:val="24"/>
              </w:rPr>
            </w:pPr>
            <w:r>
              <w:rPr>
                <w:rFonts w:cs="Frankruhel"/>
                <w:sz w:val="24"/>
                <w:rtl/>
              </w:rPr>
              <w:t>3</w:t>
            </w:r>
          </w:p>
        </w:tc>
        <w:tc>
          <w:tcPr>
            <w:tcW w:w="567" w:type="dxa"/>
          </w:tcPr>
          <w:p w14:paraId="7D729EF0" w14:textId="77777777" w:rsidR="00CD6B3F" w:rsidRDefault="00CD6B3F">
            <w:pPr>
              <w:spacing w:line="240" w:lineRule="auto"/>
              <w:jc w:val="left"/>
              <w:rPr>
                <w:rFonts w:cs="Frankruhel"/>
                <w:sz w:val="24"/>
              </w:rPr>
            </w:pPr>
            <w:hyperlink w:anchor="Seif10" w:tooltip="מסירת הודעה" w:history="1">
              <w:r>
                <w:rPr>
                  <w:rStyle w:val="Hyperlink"/>
                </w:rPr>
                <w:t>Go</w:t>
              </w:r>
            </w:hyperlink>
          </w:p>
        </w:tc>
        <w:tc>
          <w:tcPr>
            <w:tcW w:w="5669" w:type="dxa"/>
          </w:tcPr>
          <w:p w14:paraId="31484A0F" w14:textId="77777777" w:rsidR="00CD6B3F" w:rsidRDefault="00CD6B3F">
            <w:pPr>
              <w:spacing w:line="240" w:lineRule="auto"/>
              <w:jc w:val="left"/>
              <w:rPr>
                <w:rFonts w:cs="Frankruhel"/>
                <w:sz w:val="24"/>
                <w:rtl/>
              </w:rPr>
            </w:pPr>
            <w:r>
              <w:rPr>
                <w:rFonts w:cs="Frankruhel"/>
                <w:sz w:val="24"/>
                <w:rtl/>
              </w:rPr>
              <w:t>מסירת הודעה</w:t>
            </w:r>
          </w:p>
        </w:tc>
        <w:tc>
          <w:tcPr>
            <w:tcW w:w="1247" w:type="dxa"/>
          </w:tcPr>
          <w:p w14:paraId="3D4DF871" w14:textId="77777777" w:rsidR="00CD6B3F" w:rsidRDefault="00CD6B3F">
            <w:pPr>
              <w:spacing w:line="240" w:lineRule="auto"/>
              <w:jc w:val="left"/>
              <w:rPr>
                <w:rFonts w:cs="Frankruhel"/>
                <w:sz w:val="24"/>
              </w:rPr>
            </w:pPr>
            <w:r>
              <w:rPr>
                <w:rFonts w:cs="Frankruhel"/>
                <w:sz w:val="24"/>
                <w:rtl/>
              </w:rPr>
              <w:t xml:space="preserve">סעיף 9 </w:t>
            </w:r>
          </w:p>
        </w:tc>
      </w:tr>
      <w:tr w:rsidR="00CD6B3F" w14:paraId="48467CCE" w14:textId="77777777">
        <w:tblPrEx>
          <w:tblCellMar>
            <w:top w:w="0" w:type="dxa"/>
            <w:bottom w:w="0" w:type="dxa"/>
          </w:tblCellMar>
        </w:tblPrEx>
        <w:trPr>
          <w:jc w:val="right"/>
        </w:trPr>
        <w:tc>
          <w:tcPr>
            <w:tcW w:w="850" w:type="dxa"/>
          </w:tcPr>
          <w:p w14:paraId="1A56C422" w14:textId="77777777" w:rsidR="00CD6B3F" w:rsidRDefault="00CD6B3F">
            <w:pPr>
              <w:spacing w:line="240" w:lineRule="auto"/>
              <w:jc w:val="left"/>
              <w:rPr>
                <w:rFonts w:cs="Frankruhel"/>
                <w:sz w:val="24"/>
              </w:rPr>
            </w:pPr>
            <w:r>
              <w:rPr>
                <w:rFonts w:cs="Frankruhel"/>
                <w:sz w:val="24"/>
                <w:rtl/>
              </w:rPr>
              <w:t>4</w:t>
            </w:r>
          </w:p>
        </w:tc>
        <w:tc>
          <w:tcPr>
            <w:tcW w:w="567" w:type="dxa"/>
          </w:tcPr>
          <w:p w14:paraId="0DAF0C6B" w14:textId="77777777" w:rsidR="00CD6B3F" w:rsidRDefault="00CD6B3F">
            <w:pPr>
              <w:spacing w:line="240" w:lineRule="auto"/>
              <w:jc w:val="left"/>
              <w:rPr>
                <w:rFonts w:cs="Frankruhel"/>
                <w:sz w:val="24"/>
              </w:rPr>
            </w:pPr>
            <w:hyperlink w:anchor="Seif8" w:tooltip="תיקון חוק עזר ההצמדה למדד" w:history="1">
              <w:r>
                <w:rPr>
                  <w:rStyle w:val="Hyperlink"/>
                </w:rPr>
                <w:t>Go</w:t>
              </w:r>
            </w:hyperlink>
          </w:p>
        </w:tc>
        <w:tc>
          <w:tcPr>
            <w:tcW w:w="5669" w:type="dxa"/>
          </w:tcPr>
          <w:p w14:paraId="0F7C23F7" w14:textId="77777777" w:rsidR="00CD6B3F" w:rsidRDefault="00CD6B3F">
            <w:pPr>
              <w:spacing w:line="240" w:lineRule="auto"/>
              <w:jc w:val="left"/>
              <w:rPr>
                <w:rFonts w:cs="Frankruhel"/>
                <w:sz w:val="24"/>
                <w:rtl/>
              </w:rPr>
            </w:pPr>
            <w:r>
              <w:rPr>
                <w:rFonts w:cs="Frankruhel"/>
                <w:sz w:val="24"/>
                <w:rtl/>
              </w:rPr>
              <w:t>תיקון חוק עזר ההצמדה למדד</w:t>
            </w:r>
          </w:p>
        </w:tc>
        <w:tc>
          <w:tcPr>
            <w:tcW w:w="1247" w:type="dxa"/>
          </w:tcPr>
          <w:p w14:paraId="287C6BF6" w14:textId="77777777" w:rsidR="00CD6B3F" w:rsidRDefault="00CD6B3F">
            <w:pPr>
              <w:spacing w:line="240" w:lineRule="auto"/>
              <w:jc w:val="left"/>
              <w:rPr>
                <w:rFonts w:cs="Frankruhel"/>
                <w:sz w:val="24"/>
              </w:rPr>
            </w:pPr>
            <w:r>
              <w:rPr>
                <w:rFonts w:cs="Frankruhel"/>
                <w:sz w:val="24"/>
                <w:rtl/>
              </w:rPr>
              <w:t xml:space="preserve">סעיף 10 </w:t>
            </w:r>
          </w:p>
        </w:tc>
      </w:tr>
      <w:tr w:rsidR="00CD6B3F" w14:paraId="4A9F56CA" w14:textId="77777777">
        <w:tblPrEx>
          <w:tblCellMar>
            <w:top w:w="0" w:type="dxa"/>
            <w:bottom w:w="0" w:type="dxa"/>
          </w:tblCellMar>
        </w:tblPrEx>
        <w:trPr>
          <w:jc w:val="right"/>
        </w:trPr>
        <w:tc>
          <w:tcPr>
            <w:tcW w:w="850" w:type="dxa"/>
          </w:tcPr>
          <w:p w14:paraId="532ECCC4" w14:textId="77777777" w:rsidR="00CD6B3F" w:rsidRDefault="00CD6B3F">
            <w:pPr>
              <w:spacing w:line="240" w:lineRule="auto"/>
              <w:jc w:val="left"/>
              <w:rPr>
                <w:rFonts w:cs="Frankruhel"/>
                <w:sz w:val="24"/>
              </w:rPr>
            </w:pPr>
            <w:r>
              <w:rPr>
                <w:rFonts w:cs="Frankruhel"/>
                <w:sz w:val="24"/>
                <w:rtl/>
              </w:rPr>
              <w:t>4</w:t>
            </w:r>
          </w:p>
        </w:tc>
        <w:tc>
          <w:tcPr>
            <w:tcW w:w="567" w:type="dxa"/>
          </w:tcPr>
          <w:p w14:paraId="4572648D" w14:textId="77777777" w:rsidR="00CD6B3F" w:rsidRDefault="00CD6B3F">
            <w:pPr>
              <w:spacing w:line="240" w:lineRule="auto"/>
              <w:jc w:val="left"/>
              <w:rPr>
                <w:rFonts w:cs="Frankruhel"/>
                <w:sz w:val="24"/>
              </w:rPr>
            </w:pPr>
            <w:hyperlink w:anchor="Seif9" w:tooltip="הוראת שעה" w:history="1">
              <w:r>
                <w:rPr>
                  <w:rStyle w:val="Hyperlink"/>
                </w:rPr>
                <w:t>Go</w:t>
              </w:r>
            </w:hyperlink>
          </w:p>
        </w:tc>
        <w:tc>
          <w:tcPr>
            <w:tcW w:w="5669" w:type="dxa"/>
          </w:tcPr>
          <w:p w14:paraId="50885DE6" w14:textId="77777777" w:rsidR="00CD6B3F" w:rsidRDefault="00CD6B3F">
            <w:pPr>
              <w:spacing w:line="240" w:lineRule="auto"/>
              <w:jc w:val="left"/>
              <w:rPr>
                <w:rFonts w:cs="Frankruhel"/>
                <w:sz w:val="24"/>
                <w:rtl/>
              </w:rPr>
            </w:pPr>
            <w:r>
              <w:rPr>
                <w:rFonts w:cs="Frankruhel"/>
                <w:sz w:val="24"/>
                <w:rtl/>
              </w:rPr>
              <w:t>הוראת שעה</w:t>
            </w:r>
          </w:p>
        </w:tc>
        <w:tc>
          <w:tcPr>
            <w:tcW w:w="1247" w:type="dxa"/>
          </w:tcPr>
          <w:p w14:paraId="1A8710E1" w14:textId="77777777" w:rsidR="00CD6B3F" w:rsidRDefault="00CD6B3F">
            <w:pPr>
              <w:spacing w:line="240" w:lineRule="auto"/>
              <w:jc w:val="left"/>
              <w:rPr>
                <w:rFonts w:cs="Frankruhel"/>
                <w:sz w:val="24"/>
              </w:rPr>
            </w:pPr>
            <w:r>
              <w:rPr>
                <w:rFonts w:cs="Frankruhel"/>
                <w:sz w:val="24"/>
                <w:rtl/>
              </w:rPr>
              <w:t xml:space="preserve">סעיף 11 </w:t>
            </w:r>
          </w:p>
        </w:tc>
      </w:tr>
      <w:tr w:rsidR="00CD6B3F" w14:paraId="2BA4587F" w14:textId="77777777">
        <w:tblPrEx>
          <w:tblCellMar>
            <w:top w:w="0" w:type="dxa"/>
            <w:bottom w:w="0" w:type="dxa"/>
          </w:tblCellMar>
        </w:tblPrEx>
        <w:trPr>
          <w:jc w:val="right"/>
        </w:trPr>
        <w:tc>
          <w:tcPr>
            <w:tcW w:w="850" w:type="dxa"/>
          </w:tcPr>
          <w:p w14:paraId="5DD14F0F" w14:textId="77777777" w:rsidR="00CD6B3F" w:rsidRDefault="00CD6B3F">
            <w:pPr>
              <w:spacing w:line="240" w:lineRule="auto"/>
              <w:jc w:val="left"/>
              <w:rPr>
                <w:rFonts w:cs="Frankruhel"/>
                <w:sz w:val="24"/>
              </w:rPr>
            </w:pPr>
            <w:r>
              <w:rPr>
                <w:rFonts w:cs="Frankruhel"/>
                <w:sz w:val="24"/>
                <w:rtl/>
              </w:rPr>
              <w:t>4</w:t>
            </w:r>
          </w:p>
        </w:tc>
        <w:tc>
          <w:tcPr>
            <w:tcW w:w="567" w:type="dxa"/>
          </w:tcPr>
          <w:p w14:paraId="41D2DDD2" w14:textId="77777777" w:rsidR="00CD6B3F" w:rsidRDefault="00CD6B3F">
            <w:pPr>
              <w:spacing w:line="240" w:lineRule="auto"/>
              <w:jc w:val="left"/>
              <w:rPr>
                <w:rFonts w:cs="Frankruhel"/>
                <w:sz w:val="24"/>
              </w:rPr>
            </w:pPr>
            <w:hyperlink w:anchor="Seif11" w:tooltip="ביטול" w:history="1">
              <w:r>
                <w:rPr>
                  <w:rStyle w:val="Hyperlink"/>
                </w:rPr>
                <w:t>Go</w:t>
              </w:r>
            </w:hyperlink>
          </w:p>
        </w:tc>
        <w:tc>
          <w:tcPr>
            <w:tcW w:w="5669" w:type="dxa"/>
          </w:tcPr>
          <w:p w14:paraId="5194A64B" w14:textId="77777777" w:rsidR="00CD6B3F" w:rsidRDefault="00CD6B3F">
            <w:pPr>
              <w:spacing w:line="240" w:lineRule="auto"/>
              <w:jc w:val="left"/>
              <w:rPr>
                <w:rFonts w:cs="Frankruhel"/>
                <w:sz w:val="24"/>
                <w:rtl/>
              </w:rPr>
            </w:pPr>
            <w:r>
              <w:rPr>
                <w:rFonts w:cs="Frankruhel"/>
                <w:sz w:val="24"/>
                <w:rtl/>
              </w:rPr>
              <w:t>ביטול</w:t>
            </w:r>
          </w:p>
        </w:tc>
        <w:tc>
          <w:tcPr>
            <w:tcW w:w="1247" w:type="dxa"/>
          </w:tcPr>
          <w:p w14:paraId="4EBC5F64" w14:textId="77777777" w:rsidR="00CD6B3F" w:rsidRDefault="00CD6B3F">
            <w:pPr>
              <w:spacing w:line="240" w:lineRule="auto"/>
              <w:jc w:val="left"/>
              <w:rPr>
                <w:rFonts w:cs="Frankruhel"/>
                <w:sz w:val="24"/>
              </w:rPr>
            </w:pPr>
            <w:r>
              <w:rPr>
                <w:rFonts w:cs="Frankruhel"/>
                <w:sz w:val="24"/>
                <w:rtl/>
              </w:rPr>
              <w:t xml:space="preserve">סעיף 12 </w:t>
            </w:r>
          </w:p>
        </w:tc>
      </w:tr>
      <w:tr w:rsidR="00CD6B3F" w14:paraId="70A29B99" w14:textId="77777777">
        <w:tblPrEx>
          <w:tblCellMar>
            <w:top w:w="0" w:type="dxa"/>
            <w:bottom w:w="0" w:type="dxa"/>
          </w:tblCellMar>
        </w:tblPrEx>
        <w:trPr>
          <w:jc w:val="right"/>
        </w:trPr>
        <w:tc>
          <w:tcPr>
            <w:tcW w:w="850" w:type="dxa"/>
          </w:tcPr>
          <w:p w14:paraId="5AE3B975" w14:textId="77777777" w:rsidR="00CD6B3F" w:rsidRDefault="00CD6B3F">
            <w:pPr>
              <w:spacing w:line="240" w:lineRule="auto"/>
              <w:jc w:val="left"/>
              <w:rPr>
                <w:rFonts w:cs="Frankruhel"/>
                <w:sz w:val="24"/>
              </w:rPr>
            </w:pPr>
            <w:r>
              <w:rPr>
                <w:rFonts w:cs="Frankruhel"/>
                <w:sz w:val="24"/>
                <w:rtl/>
              </w:rPr>
              <w:t>4</w:t>
            </w:r>
          </w:p>
        </w:tc>
        <w:tc>
          <w:tcPr>
            <w:tcW w:w="567" w:type="dxa"/>
          </w:tcPr>
          <w:p w14:paraId="6D4E959E" w14:textId="77777777" w:rsidR="00CD6B3F" w:rsidRDefault="00CD6B3F">
            <w:pPr>
              <w:spacing w:line="240" w:lineRule="auto"/>
              <w:jc w:val="left"/>
              <w:rPr>
                <w:rFonts w:cs="Frankruhel"/>
                <w:sz w:val="24"/>
              </w:rPr>
            </w:pPr>
            <w:hyperlink w:anchor="Seif12" w:tooltip="הוראות מעבר" w:history="1">
              <w:r>
                <w:rPr>
                  <w:rStyle w:val="Hyperlink"/>
                </w:rPr>
                <w:t>Go</w:t>
              </w:r>
            </w:hyperlink>
          </w:p>
        </w:tc>
        <w:tc>
          <w:tcPr>
            <w:tcW w:w="5669" w:type="dxa"/>
          </w:tcPr>
          <w:p w14:paraId="7ACEBF9D" w14:textId="77777777" w:rsidR="00CD6B3F" w:rsidRDefault="00CD6B3F">
            <w:pPr>
              <w:spacing w:line="240" w:lineRule="auto"/>
              <w:jc w:val="left"/>
              <w:rPr>
                <w:rFonts w:cs="Frankruhel"/>
                <w:sz w:val="24"/>
                <w:rtl/>
              </w:rPr>
            </w:pPr>
            <w:r>
              <w:rPr>
                <w:rFonts w:cs="Frankruhel"/>
                <w:sz w:val="24"/>
                <w:rtl/>
              </w:rPr>
              <w:t>הוראות מעבר</w:t>
            </w:r>
          </w:p>
        </w:tc>
        <w:tc>
          <w:tcPr>
            <w:tcW w:w="1247" w:type="dxa"/>
          </w:tcPr>
          <w:p w14:paraId="6899D58E" w14:textId="77777777" w:rsidR="00CD6B3F" w:rsidRDefault="00CD6B3F">
            <w:pPr>
              <w:spacing w:line="240" w:lineRule="auto"/>
              <w:jc w:val="left"/>
              <w:rPr>
                <w:rFonts w:cs="Frankruhel"/>
                <w:sz w:val="24"/>
              </w:rPr>
            </w:pPr>
            <w:r>
              <w:rPr>
                <w:rFonts w:cs="Frankruhel"/>
                <w:sz w:val="24"/>
                <w:rtl/>
              </w:rPr>
              <w:t xml:space="preserve">סעיף 13 </w:t>
            </w:r>
          </w:p>
        </w:tc>
      </w:tr>
      <w:tr w:rsidR="00CD6B3F" w14:paraId="5B82F0B3" w14:textId="77777777">
        <w:tblPrEx>
          <w:tblCellMar>
            <w:top w:w="0" w:type="dxa"/>
            <w:bottom w:w="0" w:type="dxa"/>
          </w:tblCellMar>
        </w:tblPrEx>
        <w:trPr>
          <w:jc w:val="right"/>
        </w:trPr>
        <w:tc>
          <w:tcPr>
            <w:tcW w:w="850" w:type="dxa"/>
          </w:tcPr>
          <w:p w14:paraId="293835D1" w14:textId="77777777" w:rsidR="00CD6B3F" w:rsidRDefault="00CD6B3F">
            <w:pPr>
              <w:spacing w:line="240" w:lineRule="auto"/>
              <w:jc w:val="left"/>
              <w:rPr>
                <w:rFonts w:cs="Frankruhel"/>
                <w:sz w:val="24"/>
              </w:rPr>
            </w:pPr>
            <w:r>
              <w:rPr>
                <w:rFonts w:cs="Frankruhel"/>
                <w:sz w:val="24"/>
                <w:rtl/>
              </w:rPr>
              <w:t>4</w:t>
            </w:r>
          </w:p>
        </w:tc>
        <w:tc>
          <w:tcPr>
            <w:tcW w:w="567" w:type="dxa"/>
          </w:tcPr>
          <w:p w14:paraId="6C7568DE" w14:textId="77777777" w:rsidR="00CD6B3F" w:rsidRDefault="00CD6B3F">
            <w:pPr>
              <w:spacing w:line="240" w:lineRule="auto"/>
              <w:jc w:val="left"/>
              <w:rPr>
                <w:rFonts w:cs="Frankruhel"/>
                <w:sz w:val="24"/>
              </w:rPr>
            </w:pPr>
            <w:hyperlink w:anchor="med0" w:tooltip="תוספת ראשונה" w:history="1">
              <w:r>
                <w:rPr>
                  <w:rStyle w:val="Hyperlink"/>
                </w:rPr>
                <w:t>Go</w:t>
              </w:r>
            </w:hyperlink>
          </w:p>
        </w:tc>
        <w:tc>
          <w:tcPr>
            <w:tcW w:w="5669" w:type="dxa"/>
          </w:tcPr>
          <w:p w14:paraId="6F44F399" w14:textId="77777777" w:rsidR="00CD6B3F" w:rsidRDefault="00CD6B3F">
            <w:pPr>
              <w:spacing w:line="240" w:lineRule="auto"/>
              <w:jc w:val="left"/>
              <w:rPr>
                <w:rFonts w:cs="Frankruhel"/>
                <w:sz w:val="24"/>
              </w:rPr>
            </w:pPr>
            <w:r>
              <w:rPr>
                <w:rFonts w:cs="Frankruhel"/>
                <w:sz w:val="24"/>
                <w:rtl/>
              </w:rPr>
              <w:t>תוספת ראשונה</w:t>
            </w:r>
          </w:p>
        </w:tc>
        <w:tc>
          <w:tcPr>
            <w:tcW w:w="1247" w:type="dxa"/>
          </w:tcPr>
          <w:p w14:paraId="4342249A" w14:textId="77777777" w:rsidR="00CD6B3F" w:rsidRDefault="00CD6B3F">
            <w:pPr>
              <w:spacing w:line="240" w:lineRule="auto"/>
              <w:jc w:val="left"/>
              <w:rPr>
                <w:rFonts w:cs="Frankruhel"/>
                <w:sz w:val="24"/>
              </w:rPr>
            </w:pPr>
          </w:p>
        </w:tc>
      </w:tr>
    </w:tbl>
    <w:p w14:paraId="4958EB2D" w14:textId="77777777" w:rsidR="00CD6B3F" w:rsidRDefault="00CD6B3F">
      <w:pPr>
        <w:pStyle w:val="big-header"/>
        <w:ind w:left="0" w:right="1134"/>
        <w:rPr>
          <w:rFonts w:cs="FrankRuehl"/>
          <w:sz w:val="32"/>
          <w:rtl/>
        </w:rPr>
      </w:pPr>
    </w:p>
    <w:p w14:paraId="7343099E" w14:textId="77777777" w:rsidR="00CD6B3F" w:rsidRDefault="00CD6B3F" w:rsidP="00A22BFE">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w:t>
      </w:r>
      <w:r>
        <w:rPr>
          <w:rFonts w:cs="FrankRuehl" w:hint="cs"/>
          <w:sz w:val="32"/>
          <w:rtl/>
        </w:rPr>
        <w:t>פתח-תקוה</w:t>
      </w:r>
      <w:r>
        <w:rPr>
          <w:rFonts w:cs="FrankRuehl"/>
          <w:sz w:val="32"/>
          <w:rtl/>
        </w:rPr>
        <w:t xml:space="preserve"> (ביוב), תש</w:t>
      </w:r>
      <w:r>
        <w:rPr>
          <w:rFonts w:cs="FrankRuehl" w:hint="cs"/>
          <w:sz w:val="32"/>
          <w:rtl/>
        </w:rPr>
        <w:t>נ</w:t>
      </w:r>
      <w:r>
        <w:rPr>
          <w:rFonts w:cs="FrankRuehl"/>
          <w:sz w:val="32"/>
          <w:rtl/>
        </w:rPr>
        <w:t>"</w:t>
      </w:r>
      <w:r>
        <w:rPr>
          <w:rFonts w:cs="FrankRuehl" w:hint="cs"/>
          <w:sz w:val="32"/>
          <w:rtl/>
        </w:rPr>
        <w:t>ו</w:t>
      </w:r>
      <w:r>
        <w:rPr>
          <w:rFonts w:cs="FrankRuehl"/>
          <w:sz w:val="32"/>
          <w:rtl/>
        </w:rPr>
        <w:t>-</w:t>
      </w:r>
      <w:r>
        <w:rPr>
          <w:rFonts w:cs="FrankRuehl" w:hint="cs"/>
          <w:sz w:val="32"/>
          <w:rtl/>
        </w:rPr>
        <w:t>1996</w:t>
      </w:r>
      <w:r>
        <w:rPr>
          <w:rStyle w:val="a6"/>
          <w:rFonts w:cs="FrankRuehl"/>
          <w:sz w:val="32"/>
          <w:rtl/>
        </w:rPr>
        <w:footnoteReference w:customMarkFollows="1" w:id="1"/>
        <w:t>*</w:t>
      </w:r>
    </w:p>
    <w:p w14:paraId="6DD4DE4B" w14:textId="77777777" w:rsidR="00CD6B3F" w:rsidRDefault="00A22BFE" w:rsidP="00A22BFE">
      <w:pPr>
        <w:pStyle w:val="P00"/>
        <w:spacing w:before="72"/>
        <w:ind w:left="0" w:right="1134"/>
        <w:rPr>
          <w:rFonts w:cs="FrankRuehl" w:hint="cs"/>
          <w:rtl/>
          <w:lang w:val="he-IL"/>
        </w:rPr>
      </w:pPr>
      <w:r>
        <w:rPr>
          <w:rFonts w:cs="FrankRuehl" w:hint="cs"/>
          <w:rtl/>
          <w:lang w:val="he-IL"/>
        </w:rPr>
        <w:tab/>
      </w:r>
      <w:r w:rsidR="00CD6B3F">
        <w:rPr>
          <w:rFonts w:cs="FrankRuehl"/>
          <w:rtl/>
          <w:lang w:val="he-IL"/>
        </w:rPr>
        <w:t>בתוקף סמכותה לפי סעיפים 250</w:t>
      </w:r>
      <w:r>
        <w:rPr>
          <w:rFonts w:cs="FrankRuehl" w:hint="cs"/>
          <w:rtl/>
          <w:lang w:val="he-IL"/>
        </w:rPr>
        <w:t xml:space="preserve"> ו-</w:t>
      </w:r>
      <w:r w:rsidR="00CD6B3F">
        <w:rPr>
          <w:rFonts w:cs="FrankRuehl"/>
          <w:rtl/>
          <w:lang w:val="he-IL"/>
        </w:rPr>
        <w:t>251 לפקודת העיר</w:t>
      </w:r>
      <w:r w:rsidR="00CD6B3F">
        <w:rPr>
          <w:rFonts w:cs="FrankRuehl" w:hint="cs"/>
          <w:rtl/>
          <w:lang w:val="he-IL"/>
        </w:rPr>
        <w:t>י</w:t>
      </w:r>
      <w:r w:rsidR="00CD6B3F">
        <w:rPr>
          <w:rFonts w:cs="FrankRuehl"/>
          <w:rtl/>
          <w:lang w:val="he-IL"/>
        </w:rPr>
        <w:t>ות (להלן – הפקודה</w:t>
      </w:r>
      <w:r w:rsidR="00CD6B3F">
        <w:rPr>
          <w:rFonts w:cs="FrankRuehl" w:hint="cs"/>
          <w:rtl/>
          <w:lang w:val="he-IL"/>
        </w:rPr>
        <w:t xml:space="preserve">), </w:t>
      </w:r>
      <w:r w:rsidR="00CD6B3F">
        <w:rPr>
          <w:rFonts w:cs="FrankRuehl"/>
          <w:rtl/>
          <w:lang w:val="he-IL"/>
        </w:rPr>
        <w:t>וסעיפים 17 ו</w:t>
      </w:r>
      <w:r>
        <w:rPr>
          <w:rFonts w:cs="FrankRuehl" w:hint="cs"/>
          <w:rtl/>
          <w:lang w:val="he-IL"/>
        </w:rPr>
        <w:t>-</w:t>
      </w:r>
      <w:r w:rsidR="00CD6B3F">
        <w:rPr>
          <w:rFonts w:cs="FrankRuehl"/>
          <w:rtl/>
          <w:lang w:val="he-IL"/>
        </w:rPr>
        <w:t>37</w:t>
      </w:r>
      <w:r>
        <w:rPr>
          <w:rFonts w:cs="FrankRuehl" w:hint="cs"/>
          <w:rtl/>
          <w:lang w:val="he-IL"/>
        </w:rPr>
        <w:t xml:space="preserve"> </w:t>
      </w:r>
      <w:r w:rsidR="00CD6B3F">
        <w:rPr>
          <w:rFonts w:cs="FrankRuehl"/>
          <w:rtl/>
          <w:lang w:val="he-IL"/>
        </w:rPr>
        <w:t>לחוק הרש</w:t>
      </w:r>
      <w:r w:rsidR="00CD6B3F">
        <w:rPr>
          <w:rFonts w:cs="FrankRuehl" w:hint="cs"/>
          <w:rtl/>
          <w:lang w:val="he-IL"/>
        </w:rPr>
        <w:t>וי</w:t>
      </w:r>
      <w:r w:rsidR="00CD6B3F">
        <w:rPr>
          <w:rFonts w:cs="FrankRuehl"/>
          <w:rtl/>
          <w:lang w:val="he-IL"/>
        </w:rPr>
        <w:t>ות המקומיות (</w:t>
      </w:r>
      <w:r w:rsidR="00CD6B3F">
        <w:rPr>
          <w:rFonts w:cs="FrankRuehl" w:hint="cs"/>
          <w:rtl/>
          <w:lang w:val="he-IL"/>
        </w:rPr>
        <w:t xml:space="preserve">ביוב), התשכ"ב-1962 </w:t>
      </w:r>
      <w:r w:rsidR="00CD6B3F">
        <w:rPr>
          <w:rFonts w:cs="FrankRuehl"/>
          <w:rtl/>
          <w:lang w:val="he-IL"/>
        </w:rPr>
        <w:t xml:space="preserve">(להלן - </w:t>
      </w:r>
      <w:r w:rsidR="00CD6B3F">
        <w:rPr>
          <w:rFonts w:cs="FrankRuehl" w:hint="cs"/>
          <w:rtl/>
          <w:lang w:val="he-IL"/>
        </w:rPr>
        <w:t>ח</w:t>
      </w:r>
      <w:r w:rsidR="00CD6B3F">
        <w:rPr>
          <w:rFonts w:cs="FrankRuehl"/>
          <w:rtl/>
          <w:lang w:val="he-IL"/>
        </w:rPr>
        <w:t xml:space="preserve">וק </w:t>
      </w:r>
      <w:r w:rsidR="00CD6B3F">
        <w:rPr>
          <w:rFonts w:cs="FrankRuehl" w:hint="cs"/>
          <w:rtl/>
          <w:lang w:val="he-IL"/>
        </w:rPr>
        <w:t>הביוב),</w:t>
      </w:r>
      <w:r w:rsidR="00CD6B3F">
        <w:rPr>
          <w:rFonts w:cs="FrankRuehl"/>
          <w:rtl/>
          <w:lang w:val="he-IL"/>
        </w:rPr>
        <w:t xml:space="preserve"> מתקינה מועצת עי</w:t>
      </w:r>
      <w:r w:rsidR="00CD6B3F">
        <w:rPr>
          <w:rFonts w:cs="FrankRuehl" w:hint="cs"/>
          <w:rtl/>
          <w:lang w:val="he-IL"/>
        </w:rPr>
        <w:t>רי</w:t>
      </w:r>
      <w:r w:rsidR="00CD6B3F">
        <w:rPr>
          <w:rFonts w:cs="FrankRuehl"/>
          <w:rtl/>
          <w:lang w:val="he-IL"/>
        </w:rPr>
        <w:t>ית תל</w:t>
      </w:r>
      <w:r w:rsidR="00CD6B3F">
        <w:rPr>
          <w:rFonts w:ascii="Arial" w:hAnsi="Arial" w:cs="FrankRuehl"/>
          <w:b/>
          <w:position w:val="4"/>
          <w:szCs w:val="24"/>
          <w:rtl/>
          <w:lang w:val="he-IL"/>
        </w:rPr>
        <w:t>-</w:t>
      </w:r>
      <w:r w:rsidR="00CD6B3F">
        <w:rPr>
          <w:rFonts w:cs="FrankRuehl"/>
          <w:rtl/>
          <w:lang w:val="he-IL"/>
        </w:rPr>
        <w:t>אביב</w:t>
      </w:r>
      <w:r w:rsidR="00CD6B3F">
        <w:rPr>
          <w:rFonts w:ascii="Arial" w:hAnsi="Arial" w:cs="FrankRuehl"/>
          <w:b/>
          <w:position w:val="4"/>
          <w:szCs w:val="24"/>
          <w:rtl/>
          <w:lang w:val="he-IL"/>
        </w:rPr>
        <w:t>-</w:t>
      </w:r>
      <w:r w:rsidR="00CD6B3F">
        <w:rPr>
          <w:rFonts w:cs="FrankRuehl"/>
          <w:rtl/>
          <w:lang w:val="he-IL"/>
        </w:rPr>
        <w:t>יפו חוק עזר</w:t>
      </w:r>
      <w:r w:rsidR="00CD6B3F">
        <w:rPr>
          <w:rFonts w:cs="FrankRuehl" w:hint="cs"/>
          <w:rtl/>
          <w:lang w:val="he-IL"/>
        </w:rPr>
        <w:t xml:space="preserve"> זה:</w:t>
      </w:r>
    </w:p>
    <w:p w14:paraId="1A60D2AB" w14:textId="77777777" w:rsidR="00CD6B3F" w:rsidRDefault="00CD6B3F">
      <w:pPr>
        <w:pStyle w:val="P00"/>
        <w:spacing w:before="72"/>
        <w:ind w:left="0" w:right="1134"/>
        <w:rPr>
          <w:rStyle w:val="default"/>
          <w:rFonts w:hint="cs"/>
          <w:rtl/>
        </w:rPr>
      </w:pPr>
      <w:bookmarkStart w:id="0" w:name="Seif0"/>
      <w:bookmarkEnd w:id="0"/>
      <w:r>
        <w:rPr>
          <w:lang w:val="he-IL"/>
        </w:rPr>
        <w:pict w14:anchorId="188A17DA">
          <v:rect id="_x0000_s1026" style="position:absolute;left:0;text-align:left;margin-left:464.5pt;margin-top:8.05pt;width:75.05pt;height:15pt;z-index:251651072" o:allowincell="f" filled="f" stroked="f" strokecolor="lime" strokeweight=".25pt">
            <v:textbox style="mso-next-textbox:#_x0000_s1026" inset="0,0,0,0">
              <w:txbxContent>
                <w:p w14:paraId="3DAD1F49" w14:textId="77777777" w:rsidR="00CD6B3F" w:rsidRDefault="00CD6B3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0F7EA17F" w14:textId="77777777" w:rsidR="00CD6B3F" w:rsidRDefault="00CD6B3F">
      <w:pPr>
        <w:pStyle w:val="P00"/>
        <w:spacing w:before="72"/>
        <w:ind w:left="0" w:right="1134"/>
        <w:rPr>
          <w:rStyle w:val="default"/>
          <w:rFonts w:hint="cs"/>
          <w:rtl/>
        </w:rPr>
      </w:pPr>
      <w:r>
        <w:rPr>
          <w:rStyle w:val="default"/>
          <w:rFonts w:hint="cs"/>
          <w:rtl/>
        </w:rPr>
        <w:tab/>
        <w:t xml:space="preserve">"אגרת ביוב" או "אגרה" </w:t>
      </w:r>
      <w:r>
        <w:rPr>
          <w:rStyle w:val="default"/>
          <w:rFonts w:hint="eastAsia"/>
          <w:rtl/>
        </w:rPr>
        <w:t xml:space="preserve">– </w:t>
      </w:r>
      <w:r>
        <w:rPr>
          <w:rStyle w:val="default"/>
          <w:rtl/>
        </w:rPr>
        <w:t>אגרה המוטלת לכי</w:t>
      </w:r>
      <w:r>
        <w:rPr>
          <w:rStyle w:val="default"/>
          <w:rFonts w:hint="cs"/>
          <w:rtl/>
        </w:rPr>
        <w:t>סוי</w:t>
      </w:r>
      <w:r>
        <w:rPr>
          <w:rStyle w:val="default"/>
          <w:rtl/>
        </w:rPr>
        <w:t xml:space="preserve"> הוצאות החזקת </w:t>
      </w:r>
      <w:r>
        <w:rPr>
          <w:rStyle w:val="default"/>
          <w:rFonts w:hint="cs"/>
          <w:rtl/>
        </w:rPr>
        <w:t>ביוב</w:t>
      </w:r>
      <w:r>
        <w:rPr>
          <w:rStyle w:val="default"/>
          <w:rtl/>
        </w:rPr>
        <w:t xml:space="preserve"> כאמ</w:t>
      </w:r>
      <w:r>
        <w:rPr>
          <w:rStyle w:val="default"/>
          <w:rFonts w:hint="cs"/>
          <w:rtl/>
        </w:rPr>
        <w:t>ור</w:t>
      </w:r>
      <w:r>
        <w:rPr>
          <w:rStyle w:val="default"/>
          <w:rtl/>
        </w:rPr>
        <w:t xml:space="preserve"> בסעיף 37 לחוק הביוב</w:t>
      </w:r>
      <w:r>
        <w:rPr>
          <w:rStyle w:val="default"/>
          <w:rFonts w:hint="cs"/>
          <w:rtl/>
        </w:rPr>
        <w:t>;</w:t>
      </w:r>
    </w:p>
    <w:p w14:paraId="08064188" w14:textId="77777777" w:rsidR="00CD6B3F" w:rsidRDefault="00CD6B3F">
      <w:pPr>
        <w:pStyle w:val="P00"/>
        <w:spacing w:before="72"/>
        <w:ind w:left="0" w:right="1134"/>
        <w:rPr>
          <w:rStyle w:val="default"/>
          <w:rFonts w:hint="cs"/>
          <w:rtl/>
        </w:rPr>
      </w:pPr>
      <w:r>
        <w:rPr>
          <w:rFonts w:cs="FrankRuehl" w:hint="cs"/>
          <w:sz w:val="26"/>
          <w:rtl/>
        </w:rPr>
        <w:tab/>
        <w:t xml:space="preserve">"ביוב" </w:t>
      </w:r>
      <w:r>
        <w:rPr>
          <w:rFonts w:cs="FrankRuehl" w:hint="eastAsia"/>
          <w:sz w:val="26"/>
          <w:rtl/>
        </w:rPr>
        <w:t xml:space="preserve">– </w:t>
      </w:r>
      <w:r>
        <w:rPr>
          <w:rStyle w:val="default"/>
          <w:rtl/>
        </w:rPr>
        <w:t>לרבות ביב ציבורי או ביב מאסף</w:t>
      </w:r>
      <w:r>
        <w:rPr>
          <w:rStyle w:val="default"/>
          <w:rFonts w:hint="cs"/>
          <w:rtl/>
        </w:rPr>
        <w:t>,</w:t>
      </w:r>
      <w:r>
        <w:rPr>
          <w:rStyle w:val="default"/>
          <w:rtl/>
        </w:rPr>
        <w:t xml:space="preserve"> מיתקנים אחרים </w:t>
      </w:r>
      <w:r>
        <w:rPr>
          <w:rStyle w:val="default"/>
          <w:rFonts w:hint="cs"/>
          <w:rtl/>
        </w:rPr>
        <w:t>כ</w:t>
      </w:r>
      <w:r>
        <w:rPr>
          <w:rStyle w:val="default"/>
          <w:rtl/>
        </w:rPr>
        <w:t>גון תחנות שאיבה וקווי סניקה</w:t>
      </w:r>
      <w:r>
        <w:rPr>
          <w:rStyle w:val="default"/>
          <w:rFonts w:hint="cs"/>
          <w:rtl/>
        </w:rPr>
        <w:t xml:space="preserve"> </w:t>
      </w:r>
      <w:r>
        <w:rPr>
          <w:rStyle w:val="default"/>
          <w:rtl/>
        </w:rPr>
        <w:t>ברי</w:t>
      </w:r>
      <w:r>
        <w:rPr>
          <w:rStyle w:val="default"/>
          <w:rFonts w:hint="cs"/>
          <w:rtl/>
        </w:rPr>
        <w:t>כו</w:t>
      </w:r>
      <w:r>
        <w:rPr>
          <w:rStyle w:val="default"/>
          <w:rtl/>
        </w:rPr>
        <w:t>ת אידוי, בריכות שיקוע או מכון לטיהור שאינו לייצור מי שתיה</w:t>
      </w:r>
      <w:r>
        <w:rPr>
          <w:rStyle w:val="default"/>
          <w:rFonts w:hint="cs"/>
          <w:rtl/>
        </w:rPr>
        <w:t>,</w:t>
      </w:r>
      <w:r>
        <w:rPr>
          <w:rStyle w:val="default"/>
          <w:rtl/>
        </w:rPr>
        <w:t xml:space="preserve"> על מיתקניהם</w:t>
      </w:r>
      <w:r>
        <w:rPr>
          <w:rStyle w:val="default"/>
          <w:rFonts w:hint="cs"/>
          <w:rtl/>
        </w:rPr>
        <w:t>;</w:t>
      </w:r>
    </w:p>
    <w:p w14:paraId="730CC150"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בית דירות</w:t>
      </w:r>
      <w:r>
        <w:rPr>
          <w:rStyle w:val="default"/>
          <w:rFonts w:hint="cs"/>
          <w:rtl/>
        </w:rPr>
        <w:t>"</w:t>
      </w:r>
      <w:r>
        <w:rPr>
          <w:rStyle w:val="default"/>
          <w:rtl/>
        </w:rPr>
        <w:t xml:space="preserve"> </w:t>
      </w:r>
      <w:r>
        <w:rPr>
          <w:rStyle w:val="default"/>
          <w:rFonts w:hint="cs"/>
          <w:rtl/>
        </w:rPr>
        <w:t>–</w:t>
      </w:r>
      <w:r>
        <w:rPr>
          <w:rStyle w:val="default"/>
          <w:rtl/>
        </w:rPr>
        <w:t xml:space="preserve"> בנין שיש בו שתי דיר</w:t>
      </w:r>
      <w:r>
        <w:rPr>
          <w:rStyle w:val="default"/>
          <w:rFonts w:hint="cs"/>
          <w:rtl/>
        </w:rPr>
        <w:t>ות</w:t>
      </w:r>
      <w:r>
        <w:rPr>
          <w:rStyle w:val="default"/>
          <w:rtl/>
        </w:rPr>
        <w:t xml:space="preserve"> א</w:t>
      </w:r>
      <w:r>
        <w:rPr>
          <w:rStyle w:val="default"/>
          <w:rFonts w:hint="cs"/>
          <w:rtl/>
        </w:rPr>
        <w:t>ו</w:t>
      </w:r>
      <w:r>
        <w:rPr>
          <w:rStyle w:val="default"/>
          <w:rtl/>
        </w:rPr>
        <w:t xml:space="preserve"> יותר</w:t>
      </w:r>
      <w:r>
        <w:rPr>
          <w:rStyle w:val="default"/>
          <w:rFonts w:hint="cs"/>
          <w:rtl/>
        </w:rPr>
        <w:t>;</w:t>
      </w:r>
    </w:p>
    <w:p w14:paraId="4B612222" w14:textId="77777777" w:rsidR="00CD6B3F" w:rsidRDefault="00CD6B3F">
      <w:pPr>
        <w:pStyle w:val="P00"/>
        <w:spacing w:before="72"/>
        <w:ind w:left="0" w:right="1134"/>
        <w:rPr>
          <w:rStyle w:val="default"/>
        </w:rPr>
      </w:pPr>
      <w:r>
        <w:rPr>
          <w:rStyle w:val="default"/>
          <w:rFonts w:hint="cs"/>
          <w:rtl/>
        </w:rPr>
        <w:tab/>
        <w:t>"</w:t>
      </w:r>
      <w:r>
        <w:rPr>
          <w:rStyle w:val="default"/>
          <w:rtl/>
        </w:rPr>
        <w:t>בנין</w:t>
      </w:r>
      <w:r>
        <w:rPr>
          <w:rStyle w:val="default"/>
          <w:rFonts w:hint="cs"/>
          <w:rtl/>
        </w:rPr>
        <w:t xml:space="preserve">" </w:t>
      </w:r>
      <w:r>
        <w:rPr>
          <w:rStyle w:val="default"/>
          <w:rFonts w:hint="eastAsia"/>
          <w:rtl/>
        </w:rPr>
        <w:t>–</w:t>
      </w:r>
      <w:r>
        <w:rPr>
          <w:rStyle w:val="default"/>
          <w:rtl/>
        </w:rPr>
        <w:t xml:space="preserve"> מבנה בתחום העיריה או חלק ממנו</w:t>
      </w:r>
      <w:r>
        <w:rPr>
          <w:rStyle w:val="default"/>
          <w:rFonts w:hint="cs"/>
          <w:rtl/>
        </w:rPr>
        <w:t>;</w:t>
      </w:r>
    </w:p>
    <w:p w14:paraId="686746CB"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בעל</w:t>
      </w:r>
      <w:r>
        <w:rPr>
          <w:rStyle w:val="default"/>
          <w:rFonts w:hint="cs"/>
          <w:rtl/>
        </w:rPr>
        <w:t>"</w:t>
      </w:r>
      <w:r>
        <w:rPr>
          <w:rStyle w:val="default"/>
          <w:rtl/>
        </w:rPr>
        <w:t xml:space="preserve"> </w:t>
      </w:r>
      <w:r>
        <w:rPr>
          <w:rStyle w:val="default"/>
          <w:rFonts w:hint="cs"/>
          <w:rtl/>
        </w:rPr>
        <w:t>–</w:t>
      </w:r>
      <w:r>
        <w:rPr>
          <w:rStyle w:val="default"/>
          <w:rtl/>
        </w:rPr>
        <w:t xml:space="preserve"> כל אחד מאלה</w:t>
      </w:r>
      <w:r>
        <w:rPr>
          <w:rStyle w:val="default"/>
          <w:rFonts w:hint="cs"/>
          <w:rtl/>
        </w:rPr>
        <w:t>:</w:t>
      </w:r>
    </w:p>
    <w:p w14:paraId="5D13CEC8" w14:textId="77777777" w:rsidR="00CD6B3F" w:rsidRDefault="00CD6B3F">
      <w:pPr>
        <w:pStyle w:val="P00"/>
        <w:spacing w:before="72"/>
        <w:ind w:left="1021" w:right="1134"/>
        <w:rPr>
          <w:rStyle w:val="default"/>
          <w:rFonts w:hint="cs"/>
          <w:rtl/>
        </w:rPr>
      </w:pPr>
      <w:r>
        <w:rPr>
          <w:rStyle w:val="default"/>
          <w:rFonts w:hint="cs"/>
          <w:rtl/>
        </w:rPr>
        <w:t>(1)</w:t>
      </w:r>
      <w:r>
        <w:rPr>
          <w:rStyle w:val="default"/>
          <w:rFonts w:hint="cs"/>
          <w:rtl/>
        </w:rPr>
        <w:tab/>
      </w:r>
      <w:r>
        <w:rPr>
          <w:rStyle w:val="default"/>
          <w:rtl/>
        </w:rPr>
        <w:t>אדם הרשום בפנ</w:t>
      </w:r>
      <w:r>
        <w:rPr>
          <w:rStyle w:val="default"/>
          <w:rFonts w:hint="cs"/>
          <w:rtl/>
        </w:rPr>
        <w:t>ק</w:t>
      </w:r>
      <w:r>
        <w:rPr>
          <w:rStyle w:val="default"/>
          <w:rtl/>
        </w:rPr>
        <w:t>ס המ</w:t>
      </w:r>
      <w:r>
        <w:rPr>
          <w:rStyle w:val="default"/>
          <w:rFonts w:hint="cs"/>
          <w:rtl/>
        </w:rPr>
        <w:t>קרקעין</w:t>
      </w:r>
      <w:r>
        <w:rPr>
          <w:rStyle w:val="default"/>
          <w:rtl/>
        </w:rPr>
        <w:t xml:space="preserve"> המתנהל לפי חי</w:t>
      </w:r>
      <w:r>
        <w:rPr>
          <w:rStyle w:val="default"/>
          <w:rFonts w:hint="cs"/>
          <w:rtl/>
        </w:rPr>
        <w:t>קו</w:t>
      </w:r>
      <w:r>
        <w:rPr>
          <w:rStyle w:val="default"/>
          <w:rtl/>
        </w:rPr>
        <w:t>ק</w:t>
      </w:r>
      <w:r>
        <w:rPr>
          <w:rStyle w:val="default"/>
          <w:rFonts w:hint="cs"/>
          <w:rtl/>
        </w:rPr>
        <w:t>,</w:t>
      </w:r>
      <w:r>
        <w:rPr>
          <w:rStyle w:val="default"/>
          <w:rtl/>
        </w:rPr>
        <w:t xml:space="preserve"> כבעל</w:t>
      </w:r>
      <w:r>
        <w:rPr>
          <w:rStyle w:val="default"/>
          <w:rFonts w:hint="cs"/>
          <w:rtl/>
        </w:rPr>
        <w:t>,</w:t>
      </w:r>
      <w:r>
        <w:rPr>
          <w:rStyle w:val="default"/>
          <w:rtl/>
        </w:rPr>
        <w:t xml:space="preserve"> כחוכר לדורות או בחוכר</w:t>
      </w:r>
      <w:r>
        <w:rPr>
          <w:rStyle w:val="default"/>
          <w:rFonts w:hint="cs"/>
          <w:rtl/>
        </w:rPr>
        <w:t>,</w:t>
      </w:r>
      <w:r>
        <w:rPr>
          <w:rStyle w:val="default"/>
          <w:rtl/>
        </w:rPr>
        <w:t xml:space="preserve"> בין שהוא רשום כבעל יחיד ובין בשיתוף עם אח</w:t>
      </w:r>
      <w:r>
        <w:rPr>
          <w:rStyle w:val="default"/>
          <w:rFonts w:hint="cs"/>
          <w:rtl/>
        </w:rPr>
        <w:t>רים;</w:t>
      </w:r>
    </w:p>
    <w:p w14:paraId="5BF0C438" w14:textId="77777777" w:rsidR="00CD6B3F" w:rsidRDefault="00CD6B3F">
      <w:pPr>
        <w:pStyle w:val="P00"/>
        <w:spacing w:before="72"/>
        <w:ind w:left="1021" w:right="1134"/>
        <w:rPr>
          <w:rStyle w:val="default"/>
          <w:rFonts w:hint="cs"/>
          <w:rtl/>
        </w:rPr>
      </w:pPr>
      <w:r>
        <w:rPr>
          <w:rStyle w:val="default"/>
          <w:rFonts w:hint="cs"/>
          <w:rtl/>
        </w:rPr>
        <w:t>(2)</w:t>
      </w:r>
      <w:r>
        <w:rPr>
          <w:rStyle w:val="default"/>
          <w:rFonts w:hint="cs"/>
          <w:rtl/>
        </w:rPr>
        <w:tab/>
      </w:r>
      <w:r>
        <w:rPr>
          <w:rStyle w:val="default"/>
          <w:rtl/>
        </w:rPr>
        <w:t>א</w:t>
      </w:r>
      <w:r>
        <w:rPr>
          <w:rStyle w:val="default"/>
          <w:rFonts w:hint="cs"/>
          <w:rtl/>
        </w:rPr>
        <w:t>ד</w:t>
      </w:r>
      <w:r>
        <w:rPr>
          <w:rStyle w:val="default"/>
          <w:rtl/>
        </w:rPr>
        <w:t>ם ה</w:t>
      </w:r>
      <w:r>
        <w:rPr>
          <w:rStyle w:val="default"/>
          <w:rFonts w:hint="cs"/>
          <w:rtl/>
        </w:rPr>
        <w:t>ז</w:t>
      </w:r>
      <w:r>
        <w:rPr>
          <w:rStyle w:val="default"/>
          <w:rtl/>
        </w:rPr>
        <w:t>כאי להירשם בפנקס המקרקעין המתנהל לפי חי</w:t>
      </w:r>
      <w:r>
        <w:rPr>
          <w:rStyle w:val="default"/>
          <w:rFonts w:hint="cs"/>
          <w:rtl/>
        </w:rPr>
        <w:t>ק</w:t>
      </w:r>
      <w:r>
        <w:rPr>
          <w:rStyle w:val="default"/>
          <w:rtl/>
        </w:rPr>
        <w:t>וק כבעל</w:t>
      </w:r>
      <w:r>
        <w:rPr>
          <w:rStyle w:val="default"/>
          <w:rFonts w:hint="cs"/>
          <w:rtl/>
        </w:rPr>
        <w:t>,</w:t>
      </w:r>
      <w:r>
        <w:rPr>
          <w:rStyle w:val="default"/>
          <w:rtl/>
        </w:rPr>
        <w:t xml:space="preserve"> </w:t>
      </w:r>
      <w:r>
        <w:rPr>
          <w:rStyle w:val="default"/>
          <w:rFonts w:hint="cs"/>
          <w:rtl/>
        </w:rPr>
        <w:t>כ</w:t>
      </w:r>
      <w:r>
        <w:rPr>
          <w:rStyle w:val="default"/>
          <w:rtl/>
        </w:rPr>
        <w:t>חובר לדורות או כחוכר, אף אם אינו רשום כאמ</w:t>
      </w:r>
      <w:r>
        <w:rPr>
          <w:rStyle w:val="default"/>
          <w:rFonts w:hint="cs"/>
          <w:rtl/>
        </w:rPr>
        <w:t>ו</w:t>
      </w:r>
      <w:r>
        <w:rPr>
          <w:rStyle w:val="default"/>
          <w:rtl/>
        </w:rPr>
        <w:t>ר בפסקה (</w:t>
      </w:r>
      <w:r>
        <w:rPr>
          <w:rStyle w:val="default"/>
          <w:rFonts w:hint="cs"/>
          <w:rtl/>
        </w:rPr>
        <w:t>1</w:t>
      </w:r>
      <w:r>
        <w:rPr>
          <w:rStyle w:val="default"/>
          <w:rtl/>
        </w:rPr>
        <w:t>)</w:t>
      </w:r>
      <w:r>
        <w:rPr>
          <w:rStyle w:val="default"/>
          <w:rFonts w:hint="cs"/>
          <w:rtl/>
        </w:rPr>
        <w:t>,</w:t>
      </w:r>
      <w:r>
        <w:rPr>
          <w:rStyle w:val="default"/>
          <w:rtl/>
        </w:rPr>
        <w:t xml:space="preserve"> בין שהינו </w:t>
      </w:r>
      <w:r>
        <w:rPr>
          <w:rStyle w:val="default"/>
          <w:rFonts w:hint="cs"/>
          <w:rtl/>
        </w:rPr>
        <w:t>ז</w:t>
      </w:r>
      <w:r>
        <w:rPr>
          <w:rStyle w:val="default"/>
          <w:rtl/>
        </w:rPr>
        <w:t>כאי להירשם כאמור כבעל יחיד של נכס ובין בשיתוף עם אחרים</w:t>
      </w:r>
      <w:r>
        <w:rPr>
          <w:rStyle w:val="default"/>
          <w:rFonts w:hint="cs"/>
          <w:rtl/>
        </w:rPr>
        <w:t>;</w:t>
      </w:r>
    </w:p>
    <w:p w14:paraId="3EA471F5" w14:textId="77777777" w:rsidR="00CD6B3F" w:rsidRDefault="00CD6B3F">
      <w:pPr>
        <w:pStyle w:val="P00"/>
        <w:spacing w:before="72"/>
        <w:ind w:left="1021" w:right="1134"/>
        <w:rPr>
          <w:rStyle w:val="default"/>
          <w:rFonts w:hint="cs"/>
          <w:rtl/>
        </w:rPr>
      </w:pPr>
      <w:r>
        <w:rPr>
          <w:rStyle w:val="default"/>
          <w:rtl/>
        </w:rPr>
        <w:t xml:space="preserve">לענין פסקה </w:t>
      </w:r>
      <w:r>
        <w:rPr>
          <w:rStyle w:val="default"/>
          <w:rFonts w:hint="cs"/>
          <w:rtl/>
        </w:rPr>
        <w:t>ז</w:t>
      </w:r>
      <w:r>
        <w:rPr>
          <w:rStyle w:val="default"/>
          <w:rtl/>
        </w:rPr>
        <w:t>ו,</w:t>
      </w:r>
      <w:r>
        <w:rPr>
          <w:rStyle w:val="default"/>
          <w:rFonts w:hint="cs"/>
          <w:rtl/>
        </w:rPr>
        <w:t xml:space="preserve"> "ח</w:t>
      </w:r>
      <w:r>
        <w:rPr>
          <w:rStyle w:val="default"/>
          <w:rtl/>
        </w:rPr>
        <w:t>וכר</w:t>
      </w:r>
      <w:r>
        <w:rPr>
          <w:rStyle w:val="default"/>
          <w:rFonts w:hint="cs"/>
          <w:rtl/>
        </w:rPr>
        <w:t>"</w:t>
      </w:r>
      <w:r>
        <w:rPr>
          <w:rStyle w:val="default"/>
          <w:rtl/>
        </w:rPr>
        <w:t xml:space="preserve"> - שו</w:t>
      </w:r>
      <w:r>
        <w:rPr>
          <w:rStyle w:val="default"/>
          <w:rFonts w:hint="cs"/>
          <w:rtl/>
        </w:rPr>
        <w:t>כ</w:t>
      </w:r>
      <w:r>
        <w:rPr>
          <w:rStyle w:val="default"/>
          <w:rtl/>
        </w:rPr>
        <w:t>ר ל</w:t>
      </w:r>
      <w:r>
        <w:rPr>
          <w:rStyle w:val="default"/>
          <w:rFonts w:hint="cs"/>
          <w:rtl/>
        </w:rPr>
        <w:t>ת</w:t>
      </w:r>
      <w:r>
        <w:rPr>
          <w:rStyle w:val="default"/>
          <w:rtl/>
        </w:rPr>
        <w:t>קופה העולה על חמש שני</w:t>
      </w:r>
      <w:r>
        <w:rPr>
          <w:rStyle w:val="default"/>
          <w:rFonts w:hint="cs"/>
          <w:rtl/>
        </w:rPr>
        <w:t>ם;</w:t>
      </w:r>
    </w:p>
    <w:p w14:paraId="45B4A722" w14:textId="77777777" w:rsidR="00CD6B3F" w:rsidRDefault="00CD6B3F">
      <w:pPr>
        <w:pStyle w:val="P00"/>
        <w:spacing w:before="72"/>
        <w:ind w:left="1021" w:right="1134"/>
        <w:rPr>
          <w:rStyle w:val="default"/>
          <w:rFonts w:hint="cs"/>
          <w:rtl/>
        </w:rPr>
      </w:pPr>
      <w:r>
        <w:rPr>
          <w:rStyle w:val="default"/>
          <w:rFonts w:hint="cs"/>
          <w:rtl/>
        </w:rPr>
        <w:t>"</w:t>
      </w:r>
      <w:r>
        <w:rPr>
          <w:rStyle w:val="default"/>
          <w:rtl/>
        </w:rPr>
        <w:t>ח</w:t>
      </w:r>
      <w:r>
        <w:rPr>
          <w:rStyle w:val="default"/>
          <w:rFonts w:hint="cs"/>
          <w:rtl/>
        </w:rPr>
        <w:t>וכ</w:t>
      </w:r>
      <w:r>
        <w:rPr>
          <w:rStyle w:val="default"/>
          <w:rtl/>
        </w:rPr>
        <w:t>ר לדו</w:t>
      </w:r>
      <w:r>
        <w:rPr>
          <w:rStyle w:val="default"/>
          <w:rFonts w:hint="cs"/>
          <w:rtl/>
        </w:rPr>
        <w:t>ר</w:t>
      </w:r>
      <w:r>
        <w:rPr>
          <w:rStyle w:val="default"/>
          <w:rtl/>
        </w:rPr>
        <w:t>ות</w:t>
      </w:r>
      <w:r>
        <w:rPr>
          <w:rStyle w:val="default"/>
          <w:rFonts w:hint="cs"/>
          <w:rtl/>
        </w:rPr>
        <w:t xml:space="preserve">" </w:t>
      </w:r>
      <w:r>
        <w:rPr>
          <w:rStyle w:val="default"/>
          <w:rFonts w:hint="eastAsia"/>
          <w:rtl/>
        </w:rPr>
        <w:t>–</w:t>
      </w:r>
      <w:r>
        <w:rPr>
          <w:rStyle w:val="default"/>
          <w:rtl/>
        </w:rPr>
        <w:t xml:space="preserve"> שוכר ל</w:t>
      </w:r>
      <w:r>
        <w:rPr>
          <w:rStyle w:val="default"/>
          <w:rFonts w:hint="cs"/>
          <w:rtl/>
        </w:rPr>
        <w:t>ת</w:t>
      </w:r>
      <w:r>
        <w:rPr>
          <w:rStyle w:val="default"/>
          <w:rtl/>
        </w:rPr>
        <w:t xml:space="preserve">קופה העולה על עשרים </w:t>
      </w:r>
      <w:r>
        <w:rPr>
          <w:rStyle w:val="default"/>
          <w:rFonts w:hint="cs"/>
          <w:rtl/>
        </w:rPr>
        <w:t>ו</w:t>
      </w:r>
      <w:r>
        <w:rPr>
          <w:rStyle w:val="default"/>
          <w:rtl/>
        </w:rPr>
        <w:t>חמש שנים</w:t>
      </w:r>
      <w:r>
        <w:rPr>
          <w:rStyle w:val="default"/>
          <w:rFonts w:hint="cs"/>
          <w:rtl/>
        </w:rPr>
        <w:t>;</w:t>
      </w:r>
    </w:p>
    <w:p w14:paraId="3E7CA91B" w14:textId="77777777" w:rsidR="00CD6B3F" w:rsidRDefault="00CD6B3F">
      <w:pPr>
        <w:pStyle w:val="P00"/>
        <w:spacing w:before="72"/>
        <w:ind w:left="1021" w:right="1134"/>
        <w:rPr>
          <w:rStyle w:val="default"/>
          <w:rFonts w:hint="cs"/>
          <w:rtl/>
        </w:rPr>
      </w:pPr>
      <w:r>
        <w:rPr>
          <w:rStyle w:val="default"/>
          <w:rFonts w:hint="cs"/>
          <w:rtl/>
        </w:rPr>
        <w:t>(3)</w:t>
      </w:r>
      <w:r>
        <w:rPr>
          <w:rStyle w:val="default"/>
          <w:rFonts w:hint="cs"/>
          <w:rtl/>
        </w:rPr>
        <w:tab/>
      </w:r>
      <w:r>
        <w:rPr>
          <w:rStyle w:val="default"/>
          <w:rtl/>
        </w:rPr>
        <w:t>אדם שהוא שוכר א</w:t>
      </w:r>
      <w:r>
        <w:rPr>
          <w:rStyle w:val="default"/>
          <w:rFonts w:hint="cs"/>
          <w:rtl/>
        </w:rPr>
        <w:t>ו</w:t>
      </w:r>
      <w:r>
        <w:rPr>
          <w:rStyle w:val="default"/>
          <w:rtl/>
        </w:rPr>
        <w:t xml:space="preserve"> שוכר משנה</w:t>
      </w:r>
      <w:r>
        <w:rPr>
          <w:rStyle w:val="default"/>
          <w:rFonts w:hint="cs"/>
          <w:rtl/>
        </w:rPr>
        <w:t>,</w:t>
      </w:r>
      <w:r>
        <w:rPr>
          <w:rStyle w:val="default"/>
          <w:rtl/>
        </w:rPr>
        <w:t xml:space="preserve"> לרבות ארם המקבל או הזכאי לקבל הכנסה מנכס או שהיה מקבלה אילו היה הנכס נותן הכנסה</w:t>
      </w:r>
      <w:r>
        <w:rPr>
          <w:rStyle w:val="default"/>
          <w:rFonts w:hint="cs"/>
          <w:rtl/>
        </w:rPr>
        <w:t>,</w:t>
      </w:r>
      <w:r>
        <w:rPr>
          <w:rStyle w:val="default"/>
          <w:rtl/>
        </w:rPr>
        <w:t xml:space="preserve"> בין ב</w:t>
      </w:r>
      <w:r>
        <w:rPr>
          <w:rStyle w:val="default"/>
          <w:rFonts w:hint="cs"/>
          <w:rtl/>
        </w:rPr>
        <w:t>ז</w:t>
      </w:r>
      <w:r>
        <w:rPr>
          <w:rStyle w:val="default"/>
          <w:rtl/>
        </w:rPr>
        <w:t>כות</w:t>
      </w:r>
      <w:r>
        <w:rPr>
          <w:rStyle w:val="default"/>
          <w:rFonts w:hint="cs"/>
          <w:rtl/>
        </w:rPr>
        <w:t>ו</w:t>
      </w:r>
      <w:r>
        <w:rPr>
          <w:rStyle w:val="default"/>
          <w:rtl/>
        </w:rPr>
        <w:t xml:space="preserve"> הוא ובין כבא </w:t>
      </w:r>
      <w:r>
        <w:rPr>
          <w:rStyle w:val="default"/>
          <w:rFonts w:hint="cs"/>
          <w:rtl/>
        </w:rPr>
        <w:t>כוח</w:t>
      </w:r>
      <w:r>
        <w:rPr>
          <w:rStyle w:val="default"/>
          <w:rtl/>
        </w:rPr>
        <w:t xml:space="preserve"> או כנאמן</w:t>
      </w:r>
      <w:r>
        <w:rPr>
          <w:rStyle w:val="default"/>
          <w:rFonts w:hint="cs"/>
          <w:rtl/>
        </w:rPr>
        <w:t>,</w:t>
      </w:r>
      <w:r>
        <w:rPr>
          <w:rStyle w:val="default"/>
          <w:rtl/>
        </w:rPr>
        <w:t xml:space="preserve"> בין שהוא מחיק למעשה ב</w:t>
      </w:r>
      <w:r>
        <w:rPr>
          <w:rStyle w:val="default"/>
          <w:rFonts w:hint="cs"/>
          <w:rtl/>
        </w:rPr>
        <w:t>נכ</w:t>
      </w:r>
      <w:r>
        <w:rPr>
          <w:rStyle w:val="default"/>
          <w:rtl/>
        </w:rPr>
        <w:t>ס ובין אם לא</w:t>
      </w:r>
      <w:r>
        <w:rPr>
          <w:rStyle w:val="default"/>
          <w:rFonts w:hint="cs"/>
          <w:rtl/>
        </w:rPr>
        <w:t>;</w:t>
      </w:r>
      <w:r>
        <w:rPr>
          <w:rStyle w:val="default"/>
          <w:rtl/>
        </w:rPr>
        <w:t xml:space="preserve"> לענ</w:t>
      </w:r>
      <w:r>
        <w:rPr>
          <w:rStyle w:val="default"/>
          <w:rFonts w:hint="cs"/>
          <w:rtl/>
        </w:rPr>
        <w:t>י</w:t>
      </w:r>
      <w:r>
        <w:rPr>
          <w:rStyle w:val="default"/>
          <w:rtl/>
        </w:rPr>
        <w:t>ן ה</w:t>
      </w:r>
      <w:r>
        <w:rPr>
          <w:rStyle w:val="default"/>
          <w:rFonts w:hint="cs"/>
          <w:rtl/>
        </w:rPr>
        <w:t>ג</w:t>
      </w:r>
      <w:r>
        <w:rPr>
          <w:rStyle w:val="default"/>
          <w:rtl/>
        </w:rPr>
        <w:t xml:space="preserve">דרה </w:t>
      </w:r>
      <w:r>
        <w:rPr>
          <w:rStyle w:val="default"/>
          <w:rFonts w:hint="cs"/>
          <w:rtl/>
        </w:rPr>
        <w:t>ז</w:t>
      </w:r>
      <w:r>
        <w:rPr>
          <w:rStyle w:val="default"/>
          <w:rtl/>
        </w:rPr>
        <w:t>ו</w:t>
      </w:r>
      <w:r>
        <w:rPr>
          <w:rStyle w:val="default"/>
          <w:rFonts w:hint="cs"/>
          <w:rtl/>
        </w:rPr>
        <w:t>,</w:t>
      </w:r>
      <w:r>
        <w:rPr>
          <w:rStyle w:val="default"/>
          <w:rtl/>
        </w:rPr>
        <w:t xml:space="preserve"> </w:t>
      </w:r>
      <w:r>
        <w:rPr>
          <w:rStyle w:val="default"/>
          <w:rFonts w:hint="cs"/>
          <w:rtl/>
        </w:rPr>
        <w:t>"</w:t>
      </w:r>
      <w:r>
        <w:rPr>
          <w:rStyle w:val="default"/>
          <w:rtl/>
        </w:rPr>
        <w:t>שוכר</w:t>
      </w:r>
      <w:r>
        <w:rPr>
          <w:rStyle w:val="default"/>
          <w:rFonts w:hint="cs"/>
          <w:rtl/>
        </w:rPr>
        <w:t>"</w:t>
      </w:r>
      <w:r>
        <w:rPr>
          <w:rStyle w:val="default"/>
          <w:rtl/>
        </w:rPr>
        <w:t xml:space="preserve"> א</w:t>
      </w:r>
      <w:r>
        <w:rPr>
          <w:rStyle w:val="default"/>
          <w:rFonts w:hint="cs"/>
          <w:rtl/>
        </w:rPr>
        <w:t>ו</w:t>
      </w:r>
      <w:r>
        <w:rPr>
          <w:rStyle w:val="default"/>
          <w:rtl/>
        </w:rPr>
        <w:t xml:space="preserve"> </w:t>
      </w:r>
      <w:r>
        <w:rPr>
          <w:rStyle w:val="default"/>
          <w:rFonts w:hint="cs"/>
          <w:rtl/>
        </w:rPr>
        <w:t>"</w:t>
      </w:r>
      <w:r>
        <w:rPr>
          <w:rStyle w:val="default"/>
          <w:rtl/>
        </w:rPr>
        <w:t>שוכר משנה</w:t>
      </w:r>
      <w:r>
        <w:rPr>
          <w:rStyle w:val="default"/>
          <w:rFonts w:hint="cs"/>
          <w:rtl/>
        </w:rPr>
        <w:t>"</w:t>
      </w:r>
      <w:r>
        <w:rPr>
          <w:rStyle w:val="default"/>
          <w:rtl/>
        </w:rPr>
        <w:t xml:space="preserve"> </w:t>
      </w:r>
      <w:r>
        <w:rPr>
          <w:rStyle w:val="default"/>
          <w:rFonts w:hint="cs"/>
          <w:rtl/>
        </w:rPr>
        <w:t>–</w:t>
      </w:r>
      <w:r>
        <w:rPr>
          <w:rStyle w:val="default"/>
          <w:rtl/>
        </w:rPr>
        <w:t xml:space="preserve"> אדם המח</w:t>
      </w:r>
      <w:r>
        <w:rPr>
          <w:rStyle w:val="default"/>
          <w:rFonts w:hint="cs"/>
          <w:rtl/>
        </w:rPr>
        <w:t>זיק</w:t>
      </w:r>
      <w:r>
        <w:rPr>
          <w:rStyle w:val="default"/>
          <w:rtl/>
        </w:rPr>
        <w:t xml:space="preserve"> בק</w:t>
      </w:r>
      <w:r>
        <w:rPr>
          <w:rStyle w:val="default"/>
          <w:rFonts w:hint="cs"/>
          <w:rtl/>
        </w:rPr>
        <w:t>ר</w:t>
      </w:r>
      <w:r>
        <w:rPr>
          <w:rStyle w:val="default"/>
          <w:rtl/>
        </w:rPr>
        <w:t>קע שלא לצמיתות, בשכי</w:t>
      </w:r>
      <w:r>
        <w:rPr>
          <w:rStyle w:val="default"/>
          <w:rFonts w:hint="cs"/>
          <w:rtl/>
        </w:rPr>
        <w:t>ר</w:t>
      </w:r>
      <w:r>
        <w:rPr>
          <w:rStyle w:val="default"/>
          <w:rtl/>
        </w:rPr>
        <w:t>ות לתק</w:t>
      </w:r>
      <w:r>
        <w:rPr>
          <w:rStyle w:val="default"/>
          <w:rFonts w:hint="cs"/>
          <w:rtl/>
        </w:rPr>
        <w:t>ו</w:t>
      </w:r>
      <w:r>
        <w:rPr>
          <w:rStyle w:val="default"/>
          <w:rtl/>
        </w:rPr>
        <w:t>פה העולה על שלוש שנים</w:t>
      </w:r>
      <w:r>
        <w:rPr>
          <w:rStyle w:val="default"/>
          <w:rFonts w:hint="cs"/>
          <w:rtl/>
        </w:rPr>
        <w:t>;</w:t>
      </w:r>
    </w:p>
    <w:p w14:paraId="4F703DE9" w14:textId="77777777" w:rsidR="00CD6B3F" w:rsidRDefault="00CD6B3F" w:rsidP="000747E3">
      <w:pPr>
        <w:pStyle w:val="P00"/>
        <w:spacing w:before="72"/>
        <w:ind w:left="0" w:right="1134"/>
        <w:rPr>
          <w:rStyle w:val="default"/>
          <w:rFonts w:hint="cs"/>
          <w:rtl/>
        </w:rPr>
      </w:pPr>
      <w:r>
        <w:rPr>
          <w:rStyle w:val="default"/>
          <w:rFonts w:hint="cs"/>
          <w:rtl/>
        </w:rPr>
        <w:tab/>
        <w:t>"</w:t>
      </w:r>
      <w:r>
        <w:rPr>
          <w:rStyle w:val="default"/>
          <w:rtl/>
        </w:rPr>
        <w:t>דירה</w:t>
      </w:r>
      <w:r>
        <w:rPr>
          <w:rStyle w:val="default"/>
          <w:rFonts w:hint="cs"/>
          <w:rtl/>
        </w:rPr>
        <w:t xml:space="preserve">" </w:t>
      </w:r>
      <w:r>
        <w:rPr>
          <w:rStyle w:val="default"/>
          <w:rFonts w:hint="eastAsia"/>
          <w:rtl/>
        </w:rPr>
        <w:t xml:space="preserve">– </w:t>
      </w:r>
      <w:r w:rsidR="000747E3">
        <w:rPr>
          <w:rStyle w:val="default"/>
          <w:rtl/>
        </w:rPr>
        <w:t xml:space="preserve">חדר או תא או אולם </w:t>
      </w:r>
      <w:r w:rsidR="000747E3">
        <w:rPr>
          <w:rStyle w:val="default"/>
          <w:rFonts w:hint="cs"/>
          <w:rtl/>
        </w:rPr>
        <w:t>או</w:t>
      </w:r>
      <w:r>
        <w:rPr>
          <w:rStyle w:val="default"/>
          <w:rtl/>
        </w:rPr>
        <w:t xml:space="preserve"> מערכת חדרים א</w:t>
      </w:r>
      <w:r>
        <w:rPr>
          <w:rStyle w:val="default"/>
          <w:rFonts w:hint="cs"/>
          <w:rtl/>
        </w:rPr>
        <w:t>ו</w:t>
      </w:r>
      <w:r>
        <w:rPr>
          <w:rStyle w:val="default"/>
          <w:rtl/>
        </w:rPr>
        <w:t xml:space="preserve"> תאים או אולמות</w:t>
      </w:r>
      <w:r>
        <w:rPr>
          <w:rStyle w:val="default"/>
          <w:rFonts w:hint="cs"/>
          <w:rtl/>
        </w:rPr>
        <w:t>,</w:t>
      </w:r>
      <w:r>
        <w:rPr>
          <w:rStyle w:val="default"/>
          <w:rtl/>
        </w:rPr>
        <w:t xml:space="preserve"> שנועדו לשמש יחידה נפר</w:t>
      </w:r>
      <w:r>
        <w:rPr>
          <w:rStyle w:val="default"/>
          <w:rFonts w:hint="cs"/>
          <w:rtl/>
        </w:rPr>
        <w:t>ד</w:t>
      </w:r>
      <w:r>
        <w:rPr>
          <w:rStyle w:val="default"/>
          <w:rtl/>
        </w:rPr>
        <w:t xml:space="preserve">ת </w:t>
      </w:r>
      <w:r>
        <w:rPr>
          <w:rStyle w:val="default"/>
          <w:rFonts w:hint="cs"/>
          <w:rtl/>
        </w:rPr>
        <w:t>למגורים,</w:t>
      </w:r>
      <w:r>
        <w:rPr>
          <w:rStyle w:val="default"/>
          <w:rtl/>
        </w:rPr>
        <w:t xml:space="preserve"> לעסקים או לכל</w:t>
      </w:r>
      <w:r>
        <w:rPr>
          <w:rStyle w:val="default"/>
          <w:rFonts w:hint="cs"/>
          <w:rtl/>
        </w:rPr>
        <w:t xml:space="preserve"> צורך אחר;</w:t>
      </w:r>
    </w:p>
    <w:p w14:paraId="2003E9F7" w14:textId="77777777" w:rsidR="00CD6B3F" w:rsidRDefault="00CD6B3F">
      <w:pPr>
        <w:pStyle w:val="P00"/>
        <w:spacing w:before="72"/>
        <w:ind w:left="0" w:right="1134"/>
        <w:rPr>
          <w:rStyle w:val="default"/>
          <w:rFonts w:hint="cs"/>
          <w:rtl/>
        </w:rPr>
      </w:pPr>
      <w:r>
        <w:rPr>
          <w:rStyle w:val="default"/>
          <w:rFonts w:hint="cs"/>
          <w:rtl/>
        </w:rPr>
        <w:tab/>
        <w:t>"המועצה" –</w:t>
      </w:r>
      <w:r>
        <w:rPr>
          <w:rStyle w:val="default"/>
          <w:rtl/>
        </w:rPr>
        <w:t xml:space="preserve"> מועצת עיריית פתח-תק</w:t>
      </w:r>
      <w:r>
        <w:rPr>
          <w:rStyle w:val="default"/>
          <w:rFonts w:hint="cs"/>
          <w:rtl/>
        </w:rPr>
        <w:t>ו</w:t>
      </w:r>
      <w:r>
        <w:rPr>
          <w:rStyle w:val="default"/>
          <w:rtl/>
        </w:rPr>
        <w:t>ה</w:t>
      </w:r>
      <w:r>
        <w:rPr>
          <w:rStyle w:val="default"/>
          <w:rFonts w:hint="cs"/>
          <w:rtl/>
        </w:rPr>
        <w:t>;</w:t>
      </w:r>
    </w:p>
    <w:p w14:paraId="513365CC"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ראש העיריה</w:t>
      </w:r>
      <w:r>
        <w:rPr>
          <w:rStyle w:val="default"/>
          <w:rFonts w:hint="cs"/>
          <w:rtl/>
        </w:rPr>
        <w:t>"</w:t>
      </w:r>
      <w:r>
        <w:rPr>
          <w:rStyle w:val="default"/>
          <w:rtl/>
        </w:rPr>
        <w:t xml:space="preserve"> </w:t>
      </w:r>
      <w:r>
        <w:rPr>
          <w:rStyle w:val="default"/>
          <w:rFonts w:hint="cs"/>
          <w:rtl/>
        </w:rPr>
        <w:t>–</w:t>
      </w:r>
      <w:r>
        <w:rPr>
          <w:rStyle w:val="default"/>
          <w:rtl/>
        </w:rPr>
        <w:t xml:space="preserve"> לדבות מי שהוא הסמיך בכתב לענין </w:t>
      </w:r>
      <w:r>
        <w:rPr>
          <w:rStyle w:val="default"/>
          <w:rFonts w:hint="cs"/>
          <w:rtl/>
        </w:rPr>
        <w:t>הוראות</w:t>
      </w:r>
      <w:r>
        <w:rPr>
          <w:rStyle w:val="default"/>
        </w:rPr>
        <w:t xml:space="preserve"> </w:t>
      </w:r>
      <w:r>
        <w:rPr>
          <w:rStyle w:val="default"/>
          <w:rtl/>
        </w:rPr>
        <w:t>חוק עור זה</w:t>
      </w:r>
      <w:r>
        <w:rPr>
          <w:rStyle w:val="default"/>
          <w:rFonts w:hint="cs"/>
          <w:rtl/>
        </w:rPr>
        <w:t>,</w:t>
      </w:r>
      <w:r>
        <w:rPr>
          <w:rStyle w:val="default"/>
          <w:rtl/>
        </w:rPr>
        <w:t xml:space="preserve"> כולן או מקצתן</w:t>
      </w:r>
      <w:r>
        <w:rPr>
          <w:rStyle w:val="default"/>
          <w:rFonts w:hint="cs"/>
          <w:rtl/>
        </w:rPr>
        <w:t>;</w:t>
      </w:r>
    </w:p>
    <w:p w14:paraId="3BD51E5F"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היטל ביוב</w:t>
      </w:r>
      <w:r>
        <w:rPr>
          <w:rStyle w:val="default"/>
          <w:rFonts w:hint="cs"/>
          <w:rtl/>
        </w:rPr>
        <w:t>"</w:t>
      </w:r>
      <w:r>
        <w:rPr>
          <w:rStyle w:val="default"/>
          <w:rtl/>
        </w:rPr>
        <w:t xml:space="preserve"> </w:t>
      </w:r>
      <w:r>
        <w:rPr>
          <w:rStyle w:val="default"/>
          <w:rFonts w:hint="cs"/>
          <w:rtl/>
        </w:rPr>
        <w:t>–</w:t>
      </w:r>
      <w:r>
        <w:rPr>
          <w:rStyle w:val="default"/>
          <w:rtl/>
        </w:rPr>
        <w:t xml:space="preserve"> היטל המוטל לשם כיסוי הוצא</w:t>
      </w:r>
      <w:r>
        <w:rPr>
          <w:rStyle w:val="default"/>
          <w:rFonts w:hint="cs"/>
          <w:rtl/>
        </w:rPr>
        <w:t>ו</w:t>
      </w:r>
      <w:r>
        <w:rPr>
          <w:rStyle w:val="default"/>
          <w:rtl/>
        </w:rPr>
        <w:t>ת התקנת ביוב או קניית</w:t>
      </w:r>
      <w:r>
        <w:rPr>
          <w:rStyle w:val="default"/>
          <w:rFonts w:hint="cs"/>
          <w:rtl/>
        </w:rPr>
        <w:t>ו</w:t>
      </w:r>
      <w:r>
        <w:rPr>
          <w:rStyle w:val="default"/>
          <w:rtl/>
        </w:rPr>
        <w:t xml:space="preserve"> כאמ</w:t>
      </w:r>
      <w:r>
        <w:rPr>
          <w:rStyle w:val="default"/>
          <w:rFonts w:hint="cs"/>
          <w:rtl/>
        </w:rPr>
        <w:t>ור</w:t>
      </w:r>
      <w:r>
        <w:rPr>
          <w:rStyle w:val="default"/>
          <w:rtl/>
        </w:rPr>
        <w:t xml:space="preserve"> בסעיף </w:t>
      </w:r>
      <w:r>
        <w:rPr>
          <w:rStyle w:val="default"/>
          <w:rFonts w:hint="cs"/>
          <w:rtl/>
        </w:rPr>
        <w:t>17</w:t>
      </w:r>
      <w:r>
        <w:rPr>
          <w:rStyle w:val="default"/>
          <w:rtl/>
        </w:rPr>
        <w:t>לחוק</w:t>
      </w:r>
      <w:r>
        <w:rPr>
          <w:rStyle w:val="default"/>
          <w:rFonts w:hint="cs"/>
          <w:rtl/>
        </w:rPr>
        <w:t>;</w:t>
      </w:r>
    </w:p>
    <w:p w14:paraId="79FB057D"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מדד</w:t>
      </w:r>
      <w:r>
        <w:rPr>
          <w:rStyle w:val="default"/>
          <w:rFonts w:hint="cs"/>
          <w:rtl/>
        </w:rPr>
        <w:t xml:space="preserve">" </w:t>
      </w:r>
      <w:r>
        <w:rPr>
          <w:rStyle w:val="default"/>
          <w:rFonts w:hint="eastAsia"/>
          <w:rtl/>
        </w:rPr>
        <w:t>–</w:t>
      </w:r>
      <w:r>
        <w:rPr>
          <w:rStyle w:val="default"/>
          <w:rtl/>
        </w:rPr>
        <w:t xml:space="preserve"> מדד המחירים הכללי לצרכן שמפרסמת הלש</w:t>
      </w:r>
      <w:r>
        <w:rPr>
          <w:rStyle w:val="default"/>
          <w:rFonts w:hint="cs"/>
          <w:rtl/>
        </w:rPr>
        <w:t>כ</w:t>
      </w:r>
      <w:r>
        <w:rPr>
          <w:rStyle w:val="default"/>
          <w:rtl/>
        </w:rPr>
        <w:t>ה המרכזית לסטטיסטיקה או מדד רשמי אחר שיחליפ</w:t>
      </w:r>
      <w:r>
        <w:rPr>
          <w:rStyle w:val="default"/>
          <w:rFonts w:hint="cs"/>
          <w:rtl/>
        </w:rPr>
        <w:t>ו;</w:t>
      </w:r>
    </w:p>
    <w:p w14:paraId="2E0E8A97"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מחזיק</w:t>
      </w:r>
      <w:r>
        <w:rPr>
          <w:rStyle w:val="default"/>
          <w:rFonts w:hint="cs"/>
          <w:rtl/>
        </w:rPr>
        <w:t>"</w:t>
      </w:r>
      <w:r>
        <w:rPr>
          <w:rStyle w:val="default"/>
          <w:rtl/>
        </w:rPr>
        <w:t xml:space="preserve"> </w:t>
      </w:r>
      <w:r>
        <w:rPr>
          <w:rStyle w:val="default"/>
          <w:rFonts w:hint="cs"/>
          <w:rtl/>
        </w:rPr>
        <w:t>–</w:t>
      </w:r>
      <w:r>
        <w:rPr>
          <w:rStyle w:val="default"/>
          <w:rtl/>
        </w:rPr>
        <w:t xml:space="preserve"> המחזיק למעשה בנכס</w:t>
      </w:r>
      <w:r>
        <w:rPr>
          <w:rStyle w:val="default"/>
          <w:rFonts w:hint="cs"/>
          <w:rtl/>
        </w:rPr>
        <w:t>,</w:t>
      </w:r>
      <w:r>
        <w:rPr>
          <w:rStyle w:val="default"/>
          <w:rtl/>
        </w:rPr>
        <w:t xml:space="preserve"> כבעל או כשוכר או באופן אחר</w:t>
      </w:r>
      <w:r>
        <w:rPr>
          <w:rStyle w:val="default"/>
          <w:rFonts w:hint="cs"/>
          <w:rtl/>
        </w:rPr>
        <w:t>,</w:t>
      </w:r>
      <w:r>
        <w:rPr>
          <w:rStyle w:val="default"/>
          <w:rtl/>
        </w:rPr>
        <w:t xml:space="preserve"> למעט אדם הגר בבית מלון או בפנסיון</w:t>
      </w:r>
      <w:r>
        <w:rPr>
          <w:rStyle w:val="default"/>
          <w:rFonts w:hint="cs"/>
          <w:rtl/>
        </w:rPr>
        <w:t>,</w:t>
      </w:r>
      <w:r>
        <w:rPr>
          <w:rStyle w:val="default"/>
          <w:rtl/>
        </w:rPr>
        <w:t xml:space="preserve"> ובלבד שהנכס מחובר לרשת הביוב של העיריה</w:t>
      </w:r>
      <w:r>
        <w:rPr>
          <w:rStyle w:val="default"/>
          <w:rFonts w:hint="cs"/>
          <w:rtl/>
        </w:rPr>
        <w:t>;</w:t>
      </w:r>
    </w:p>
    <w:p w14:paraId="7EE79832" w14:textId="77777777" w:rsidR="00CD6B3F" w:rsidRDefault="00CD6B3F">
      <w:pPr>
        <w:pStyle w:val="P00"/>
        <w:spacing w:before="72"/>
        <w:ind w:left="0" w:right="1134"/>
        <w:rPr>
          <w:rStyle w:val="default"/>
          <w:rFonts w:hint="eastAsia"/>
          <w:rtl/>
        </w:rPr>
      </w:pPr>
      <w:r>
        <w:rPr>
          <w:rStyle w:val="default"/>
          <w:rFonts w:hint="cs"/>
          <w:rtl/>
        </w:rPr>
        <w:tab/>
        <w:t>"</w:t>
      </w:r>
      <w:r>
        <w:rPr>
          <w:rStyle w:val="default"/>
          <w:rtl/>
        </w:rPr>
        <w:t>נכס</w:t>
      </w:r>
      <w:r>
        <w:rPr>
          <w:rStyle w:val="default"/>
          <w:rFonts w:hint="cs"/>
          <w:rtl/>
        </w:rPr>
        <w:t xml:space="preserve">" </w:t>
      </w:r>
      <w:r>
        <w:rPr>
          <w:rStyle w:val="default"/>
          <w:rFonts w:hint="eastAsia"/>
          <w:rtl/>
        </w:rPr>
        <w:t>–</w:t>
      </w:r>
    </w:p>
    <w:p w14:paraId="15C6B219" w14:textId="77777777" w:rsidR="00CD6B3F" w:rsidRDefault="00CD6B3F">
      <w:pPr>
        <w:pStyle w:val="P00"/>
        <w:spacing w:before="72"/>
        <w:ind w:left="1021" w:right="1134"/>
        <w:rPr>
          <w:rStyle w:val="default"/>
          <w:rFonts w:hint="cs"/>
          <w:rtl/>
        </w:rPr>
      </w:pPr>
      <w:r>
        <w:rPr>
          <w:rStyle w:val="default"/>
          <w:rFonts w:hint="cs"/>
          <w:rtl/>
        </w:rPr>
        <w:t>(1)</w:t>
      </w:r>
      <w:r>
        <w:rPr>
          <w:rStyle w:val="default"/>
          <w:rFonts w:hint="cs"/>
          <w:rtl/>
        </w:rPr>
        <w:tab/>
      </w:r>
      <w:r>
        <w:rPr>
          <w:rStyle w:val="default"/>
          <w:rtl/>
        </w:rPr>
        <w:t>קרקע או חלק ממנה או בנין או חלק מבנין</w:t>
      </w:r>
      <w:r>
        <w:rPr>
          <w:rStyle w:val="default"/>
          <w:rFonts w:hint="cs"/>
          <w:rtl/>
        </w:rPr>
        <w:t>,</w:t>
      </w:r>
      <w:r>
        <w:rPr>
          <w:rStyle w:val="default"/>
          <w:rtl/>
        </w:rPr>
        <w:t xml:space="preserve"> המהווה יחידת רישום נפרדת בפנקסי המקרקעין המתנהלים לפי חיק</w:t>
      </w:r>
      <w:r>
        <w:rPr>
          <w:rStyle w:val="default"/>
          <w:rFonts w:hint="cs"/>
          <w:rtl/>
        </w:rPr>
        <w:t>וק,</w:t>
      </w:r>
      <w:r>
        <w:rPr>
          <w:rStyle w:val="default"/>
          <w:rtl/>
        </w:rPr>
        <w:t xml:space="preserve"> למעט רחוב</w:t>
      </w:r>
      <w:r>
        <w:rPr>
          <w:rStyle w:val="default"/>
          <w:rFonts w:hint="cs"/>
          <w:rtl/>
        </w:rPr>
        <w:t>;</w:t>
      </w:r>
    </w:p>
    <w:p w14:paraId="02AB2D59" w14:textId="77777777" w:rsidR="00CD6B3F" w:rsidRDefault="00CD6B3F">
      <w:pPr>
        <w:pStyle w:val="P00"/>
        <w:spacing w:before="72"/>
        <w:ind w:left="1021" w:right="1134"/>
        <w:rPr>
          <w:rStyle w:val="default"/>
          <w:rFonts w:hint="cs"/>
          <w:rtl/>
        </w:rPr>
      </w:pPr>
      <w:r>
        <w:rPr>
          <w:rStyle w:val="default"/>
          <w:rFonts w:hint="cs"/>
          <w:rtl/>
        </w:rPr>
        <w:t>(2)</w:t>
      </w:r>
      <w:r>
        <w:rPr>
          <w:rStyle w:val="default"/>
          <w:rFonts w:hint="cs"/>
          <w:rtl/>
        </w:rPr>
        <w:tab/>
      </w:r>
      <w:r>
        <w:rPr>
          <w:rStyle w:val="default"/>
          <w:rtl/>
        </w:rPr>
        <w:t xml:space="preserve">אם </w:t>
      </w:r>
      <w:r>
        <w:rPr>
          <w:rStyle w:val="default"/>
          <w:rFonts w:hint="cs"/>
          <w:rtl/>
        </w:rPr>
        <w:t>א</w:t>
      </w:r>
      <w:r>
        <w:rPr>
          <w:rStyle w:val="default"/>
          <w:rtl/>
        </w:rPr>
        <w:t>ין רישום חל</w:t>
      </w:r>
      <w:r>
        <w:rPr>
          <w:rStyle w:val="default"/>
          <w:rFonts w:hint="cs"/>
          <w:rtl/>
        </w:rPr>
        <w:t>וק</w:t>
      </w:r>
      <w:r>
        <w:rPr>
          <w:rStyle w:val="default"/>
          <w:rtl/>
        </w:rPr>
        <w:t>ה ליחידות נפרדות של נכס כאמו</w:t>
      </w:r>
      <w:r>
        <w:rPr>
          <w:rStyle w:val="default"/>
          <w:rFonts w:hint="cs"/>
          <w:rtl/>
        </w:rPr>
        <w:t>ר</w:t>
      </w:r>
      <w:r>
        <w:rPr>
          <w:rStyle w:val="default"/>
          <w:rtl/>
        </w:rPr>
        <w:t xml:space="preserve"> בפסקה (</w:t>
      </w:r>
      <w:r>
        <w:rPr>
          <w:rStyle w:val="default"/>
          <w:rFonts w:hint="cs"/>
          <w:rtl/>
        </w:rPr>
        <w:t>1)</w:t>
      </w:r>
      <w:r>
        <w:rPr>
          <w:rStyle w:val="default"/>
          <w:rtl/>
        </w:rPr>
        <w:t xml:space="preserve"> אך יש חלוקה </w:t>
      </w:r>
      <w:r>
        <w:rPr>
          <w:rStyle w:val="default"/>
          <w:rtl/>
        </w:rPr>
        <w:lastRenderedPageBreak/>
        <w:t>של ה</w:t>
      </w:r>
      <w:r>
        <w:rPr>
          <w:rStyle w:val="default"/>
          <w:rFonts w:hint="cs"/>
          <w:rtl/>
        </w:rPr>
        <w:t>נכ</w:t>
      </w:r>
      <w:r>
        <w:rPr>
          <w:rStyle w:val="default"/>
          <w:rtl/>
        </w:rPr>
        <w:t>ס</w:t>
      </w:r>
      <w:r>
        <w:rPr>
          <w:rStyle w:val="default"/>
          <w:rFonts w:hint="cs"/>
          <w:rtl/>
        </w:rPr>
        <w:t>,</w:t>
      </w:r>
      <w:r>
        <w:rPr>
          <w:rStyle w:val="default"/>
          <w:rtl/>
        </w:rPr>
        <w:t xml:space="preserve"> בין בפועל ובין מכו</w:t>
      </w:r>
      <w:r>
        <w:rPr>
          <w:rStyle w:val="default"/>
          <w:rFonts w:hint="cs"/>
          <w:rtl/>
        </w:rPr>
        <w:t>ח</w:t>
      </w:r>
      <w:r>
        <w:rPr>
          <w:rStyle w:val="default"/>
          <w:rtl/>
        </w:rPr>
        <w:t xml:space="preserve"> הסכם ב</w:t>
      </w:r>
      <w:r>
        <w:rPr>
          <w:rStyle w:val="default"/>
          <w:rFonts w:hint="cs"/>
          <w:rtl/>
        </w:rPr>
        <w:t>י</w:t>
      </w:r>
      <w:r>
        <w:rPr>
          <w:rStyle w:val="default"/>
          <w:rtl/>
        </w:rPr>
        <w:t>ן הבעלים</w:t>
      </w:r>
      <w:r>
        <w:rPr>
          <w:rStyle w:val="default"/>
          <w:rFonts w:hint="cs"/>
          <w:rtl/>
        </w:rPr>
        <w:t>,</w:t>
      </w:r>
      <w:r>
        <w:rPr>
          <w:rStyle w:val="default"/>
          <w:rtl/>
        </w:rPr>
        <w:t xml:space="preserve"> בין בה</w:t>
      </w:r>
      <w:r>
        <w:rPr>
          <w:rStyle w:val="default"/>
          <w:rFonts w:hint="cs"/>
          <w:rtl/>
        </w:rPr>
        <w:t>ת</w:t>
      </w:r>
      <w:r>
        <w:rPr>
          <w:rStyle w:val="default"/>
          <w:rtl/>
        </w:rPr>
        <w:t xml:space="preserve">אם לתכנית מאושרת לפי דין </w:t>
      </w:r>
      <w:r>
        <w:rPr>
          <w:rStyle w:val="default"/>
          <w:rFonts w:hint="cs"/>
          <w:rtl/>
        </w:rPr>
        <w:t>ו</w:t>
      </w:r>
      <w:r>
        <w:rPr>
          <w:rStyle w:val="default"/>
          <w:rtl/>
        </w:rPr>
        <w:t xml:space="preserve">בין בהתאם לפרק </w:t>
      </w:r>
      <w:r>
        <w:rPr>
          <w:rStyle w:val="default"/>
          <w:rFonts w:hint="cs"/>
          <w:rtl/>
        </w:rPr>
        <w:t>ו</w:t>
      </w:r>
      <w:r>
        <w:rPr>
          <w:rStyle w:val="default"/>
          <w:rtl/>
        </w:rPr>
        <w:t xml:space="preserve">'1 </w:t>
      </w:r>
      <w:r w:rsidR="00A22BFE">
        <w:rPr>
          <w:rStyle w:val="default"/>
          <w:rtl/>
        </w:rPr>
        <w:t>לחו</w:t>
      </w:r>
      <w:r w:rsidR="00A22BFE">
        <w:rPr>
          <w:rStyle w:val="default"/>
          <w:rFonts w:hint="cs"/>
          <w:rtl/>
        </w:rPr>
        <w:t>ק</w:t>
      </w:r>
      <w:r>
        <w:rPr>
          <w:rStyle w:val="default"/>
          <w:rtl/>
        </w:rPr>
        <w:t xml:space="preserve"> המקרקעין</w:t>
      </w:r>
      <w:r>
        <w:rPr>
          <w:rStyle w:val="default"/>
          <w:rFonts w:hint="cs"/>
          <w:rtl/>
        </w:rPr>
        <w:t>,</w:t>
      </w:r>
      <w:r>
        <w:rPr>
          <w:rStyle w:val="default"/>
          <w:rtl/>
        </w:rPr>
        <w:t xml:space="preserve"> התש</w:t>
      </w:r>
      <w:r>
        <w:rPr>
          <w:rStyle w:val="default"/>
          <w:rFonts w:hint="cs"/>
          <w:rtl/>
        </w:rPr>
        <w:t>כ"</w:t>
      </w:r>
      <w:r>
        <w:rPr>
          <w:rStyle w:val="default"/>
          <w:rtl/>
        </w:rPr>
        <w:t>ט-</w:t>
      </w:r>
      <w:r>
        <w:rPr>
          <w:rStyle w:val="default"/>
          <w:rFonts w:hint="cs"/>
          <w:rtl/>
        </w:rPr>
        <w:t>1969</w:t>
      </w:r>
      <w:r>
        <w:rPr>
          <w:rStyle w:val="default"/>
          <w:rtl/>
        </w:rPr>
        <w:t xml:space="preserve"> (להלן</w:t>
      </w:r>
      <w:r>
        <w:rPr>
          <w:rStyle w:val="default"/>
          <w:rFonts w:hint="cs"/>
          <w:rtl/>
        </w:rPr>
        <w:t xml:space="preserve"> </w:t>
      </w:r>
      <w:r>
        <w:rPr>
          <w:rStyle w:val="default"/>
          <w:rFonts w:hint="eastAsia"/>
          <w:rtl/>
        </w:rPr>
        <w:t>– ח</w:t>
      </w:r>
      <w:r>
        <w:rPr>
          <w:rStyle w:val="default"/>
          <w:rtl/>
        </w:rPr>
        <w:t>וק המקר</w:t>
      </w:r>
      <w:r>
        <w:rPr>
          <w:rStyle w:val="default"/>
          <w:rFonts w:hint="cs"/>
          <w:rtl/>
        </w:rPr>
        <w:t>ק</w:t>
      </w:r>
      <w:r>
        <w:rPr>
          <w:rStyle w:val="default"/>
          <w:rtl/>
        </w:rPr>
        <w:t>עין)</w:t>
      </w:r>
      <w:r>
        <w:rPr>
          <w:rStyle w:val="default"/>
          <w:rFonts w:hint="cs"/>
          <w:rtl/>
        </w:rPr>
        <w:t>,</w:t>
      </w:r>
      <w:r>
        <w:rPr>
          <w:rStyle w:val="default"/>
          <w:rtl/>
        </w:rPr>
        <w:t xml:space="preserve"> ידאו כל יחידה כאמור בנכס לענין ח</w:t>
      </w:r>
      <w:r>
        <w:rPr>
          <w:rStyle w:val="default"/>
          <w:rFonts w:hint="cs"/>
          <w:rtl/>
        </w:rPr>
        <w:t>ו</w:t>
      </w:r>
      <w:r>
        <w:rPr>
          <w:rStyle w:val="default"/>
          <w:rtl/>
        </w:rPr>
        <w:t>ק ע</w:t>
      </w:r>
      <w:r>
        <w:rPr>
          <w:rStyle w:val="default"/>
          <w:rFonts w:hint="cs"/>
          <w:rtl/>
        </w:rPr>
        <w:t>ז</w:t>
      </w:r>
      <w:r>
        <w:rPr>
          <w:rStyle w:val="default"/>
          <w:rtl/>
        </w:rPr>
        <w:t xml:space="preserve">ר </w:t>
      </w:r>
      <w:r>
        <w:rPr>
          <w:rStyle w:val="default"/>
          <w:rFonts w:hint="cs"/>
          <w:rtl/>
        </w:rPr>
        <w:t>זה;</w:t>
      </w:r>
      <w:r>
        <w:rPr>
          <w:rStyle w:val="default"/>
          <w:rtl/>
        </w:rPr>
        <w:t xml:space="preserve"> תעודת מה</w:t>
      </w:r>
      <w:r>
        <w:rPr>
          <w:rStyle w:val="default"/>
          <w:rFonts w:hint="cs"/>
          <w:rtl/>
        </w:rPr>
        <w:t>נד</w:t>
      </w:r>
      <w:r>
        <w:rPr>
          <w:rStyle w:val="default"/>
          <w:rtl/>
        </w:rPr>
        <w:t>ס העיריה ב</w:t>
      </w:r>
      <w:r>
        <w:rPr>
          <w:rStyle w:val="default"/>
          <w:rFonts w:hint="cs"/>
          <w:rtl/>
        </w:rPr>
        <w:t>ד</w:t>
      </w:r>
      <w:r>
        <w:rPr>
          <w:rStyle w:val="default"/>
          <w:rtl/>
        </w:rPr>
        <w:t xml:space="preserve">בר חלוקה </w:t>
      </w:r>
      <w:r>
        <w:rPr>
          <w:rStyle w:val="default"/>
          <w:rFonts w:hint="cs"/>
          <w:rtl/>
        </w:rPr>
        <w:t>כ</w:t>
      </w:r>
      <w:r>
        <w:rPr>
          <w:rStyle w:val="default"/>
          <w:rtl/>
        </w:rPr>
        <w:t>אמור תה</w:t>
      </w:r>
      <w:r>
        <w:rPr>
          <w:rStyle w:val="default"/>
          <w:rFonts w:hint="cs"/>
          <w:rtl/>
        </w:rPr>
        <w:t>ו</w:t>
      </w:r>
      <w:r>
        <w:rPr>
          <w:rStyle w:val="default"/>
          <w:rtl/>
        </w:rPr>
        <w:t>וה ראיה לדבר</w:t>
      </w:r>
      <w:r>
        <w:rPr>
          <w:rStyle w:val="default"/>
          <w:rFonts w:hint="cs"/>
          <w:rtl/>
        </w:rPr>
        <w:t>.</w:t>
      </w:r>
    </w:p>
    <w:p w14:paraId="7BF74EA6"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שטח דירה</w:t>
      </w:r>
      <w:r>
        <w:rPr>
          <w:rStyle w:val="default"/>
          <w:rFonts w:hint="cs"/>
          <w:rtl/>
        </w:rPr>
        <w:t>"</w:t>
      </w:r>
      <w:r>
        <w:rPr>
          <w:rStyle w:val="default"/>
          <w:rtl/>
        </w:rPr>
        <w:t xml:space="preserve"> </w:t>
      </w:r>
      <w:r>
        <w:rPr>
          <w:rStyle w:val="default"/>
          <w:rFonts w:hint="cs"/>
          <w:rtl/>
        </w:rPr>
        <w:t>–</w:t>
      </w:r>
      <w:r>
        <w:rPr>
          <w:rStyle w:val="default"/>
          <w:rtl/>
        </w:rPr>
        <w:t xml:space="preserve"> סך כל השטח במ</w:t>
      </w:r>
      <w:r>
        <w:rPr>
          <w:rStyle w:val="default"/>
          <w:rFonts w:hint="cs"/>
          <w:rtl/>
        </w:rPr>
        <w:t>"ר</w:t>
      </w:r>
      <w:r>
        <w:rPr>
          <w:rStyle w:val="default"/>
          <w:rtl/>
        </w:rPr>
        <w:t xml:space="preserve"> של כל הקומות בדירה</w:t>
      </w:r>
      <w:r>
        <w:rPr>
          <w:rStyle w:val="default"/>
          <w:rFonts w:hint="cs"/>
          <w:rtl/>
        </w:rPr>
        <w:t>,</w:t>
      </w:r>
      <w:r>
        <w:rPr>
          <w:rStyle w:val="default"/>
          <w:rtl/>
        </w:rPr>
        <w:t xml:space="preserve"> ובדירה הנמצאת בבית דירות </w:t>
      </w:r>
      <w:r>
        <w:rPr>
          <w:rStyle w:val="default"/>
          <w:rFonts w:hint="cs"/>
          <w:rtl/>
        </w:rPr>
        <w:t>–</w:t>
      </w:r>
      <w:r>
        <w:rPr>
          <w:rStyle w:val="default"/>
          <w:rtl/>
        </w:rPr>
        <w:t xml:space="preserve"> שטח הדירה </w:t>
      </w:r>
      <w:r>
        <w:rPr>
          <w:rStyle w:val="default"/>
          <w:rFonts w:hint="cs"/>
          <w:rtl/>
        </w:rPr>
        <w:t>כ</w:t>
      </w:r>
      <w:r>
        <w:rPr>
          <w:rStyle w:val="default"/>
          <w:rtl/>
        </w:rPr>
        <w:t>אמור, בתוספת חלק יחסי משטח הבנין המוגדר כרכ</w:t>
      </w:r>
      <w:r>
        <w:rPr>
          <w:rStyle w:val="default"/>
          <w:rFonts w:hint="cs"/>
          <w:rtl/>
        </w:rPr>
        <w:t>ו</w:t>
      </w:r>
      <w:r>
        <w:rPr>
          <w:rStyle w:val="default"/>
          <w:rtl/>
        </w:rPr>
        <w:t>ש משותף בח</w:t>
      </w:r>
      <w:r>
        <w:rPr>
          <w:rStyle w:val="default"/>
          <w:rFonts w:hint="cs"/>
          <w:rtl/>
        </w:rPr>
        <w:t>וק</w:t>
      </w:r>
      <w:r>
        <w:rPr>
          <w:rStyle w:val="default"/>
          <w:rtl/>
        </w:rPr>
        <w:t xml:space="preserve"> המקרקעין</w:t>
      </w:r>
      <w:r>
        <w:rPr>
          <w:rStyle w:val="default"/>
          <w:rFonts w:hint="cs"/>
          <w:rtl/>
        </w:rPr>
        <w:t>,</w:t>
      </w:r>
      <w:r>
        <w:rPr>
          <w:rStyle w:val="default"/>
          <w:rtl/>
        </w:rPr>
        <w:t xml:space="preserve"> בין אם הבית רשום כבית מש</w:t>
      </w:r>
      <w:r>
        <w:rPr>
          <w:rStyle w:val="default"/>
          <w:rFonts w:hint="cs"/>
          <w:rtl/>
        </w:rPr>
        <w:t>ו</w:t>
      </w:r>
      <w:r>
        <w:rPr>
          <w:rStyle w:val="default"/>
          <w:rtl/>
        </w:rPr>
        <w:t>תף ובין אם אינו רשום כך</w:t>
      </w:r>
      <w:r>
        <w:rPr>
          <w:rStyle w:val="default"/>
          <w:rFonts w:hint="cs"/>
          <w:rtl/>
        </w:rPr>
        <w:t>,</w:t>
      </w:r>
      <w:r>
        <w:rPr>
          <w:rStyle w:val="default"/>
          <w:rtl/>
        </w:rPr>
        <w:t xml:space="preserve"> </w:t>
      </w:r>
      <w:r>
        <w:rPr>
          <w:rStyle w:val="default"/>
          <w:rFonts w:hint="cs"/>
          <w:rtl/>
        </w:rPr>
        <w:t>ו</w:t>
      </w:r>
      <w:r>
        <w:rPr>
          <w:rStyle w:val="default"/>
          <w:rtl/>
        </w:rPr>
        <w:t>שיעורו כיחס בין שטח ה</w:t>
      </w:r>
      <w:r>
        <w:rPr>
          <w:rStyle w:val="default"/>
          <w:rFonts w:hint="cs"/>
          <w:rtl/>
        </w:rPr>
        <w:t>ד</w:t>
      </w:r>
      <w:r>
        <w:rPr>
          <w:rStyle w:val="default"/>
          <w:rtl/>
        </w:rPr>
        <w:t xml:space="preserve">ירה </w:t>
      </w:r>
      <w:r>
        <w:rPr>
          <w:rStyle w:val="default"/>
          <w:rFonts w:hint="cs"/>
          <w:rtl/>
        </w:rPr>
        <w:t>ו</w:t>
      </w:r>
      <w:r>
        <w:rPr>
          <w:rStyle w:val="default"/>
          <w:rtl/>
        </w:rPr>
        <w:t xml:space="preserve">בין השטח של כל הדירות </w:t>
      </w:r>
      <w:r>
        <w:rPr>
          <w:rStyle w:val="default"/>
          <w:rFonts w:hint="cs"/>
          <w:rtl/>
        </w:rPr>
        <w:t>בב</w:t>
      </w:r>
      <w:r>
        <w:rPr>
          <w:rStyle w:val="default"/>
          <w:rtl/>
        </w:rPr>
        <w:t>נין</w:t>
      </w:r>
      <w:r>
        <w:rPr>
          <w:rStyle w:val="default"/>
          <w:rFonts w:hint="cs"/>
          <w:rtl/>
        </w:rPr>
        <w:t>;</w:t>
      </w:r>
    </w:p>
    <w:p w14:paraId="599133A9" w14:textId="77777777" w:rsidR="00CD6B3F" w:rsidRDefault="00CD6B3F">
      <w:pPr>
        <w:pStyle w:val="P00"/>
        <w:spacing w:before="72"/>
        <w:ind w:left="0" w:right="1134"/>
        <w:rPr>
          <w:rStyle w:val="default"/>
          <w:rFonts w:hint="cs"/>
          <w:rtl/>
        </w:rPr>
      </w:pPr>
      <w:r>
        <w:rPr>
          <w:rStyle w:val="default"/>
          <w:rFonts w:hint="cs"/>
          <w:rtl/>
        </w:rPr>
        <w:tab/>
        <w:t>"</w:t>
      </w:r>
      <w:r>
        <w:rPr>
          <w:rStyle w:val="default"/>
          <w:rtl/>
        </w:rPr>
        <w:t>שטח קרקע</w:t>
      </w:r>
      <w:r>
        <w:rPr>
          <w:rStyle w:val="default"/>
          <w:rFonts w:hint="cs"/>
          <w:rtl/>
        </w:rPr>
        <w:t>"</w:t>
      </w:r>
      <w:r>
        <w:rPr>
          <w:rStyle w:val="default"/>
          <w:rtl/>
        </w:rPr>
        <w:t xml:space="preserve"> </w:t>
      </w:r>
      <w:r>
        <w:rPr>
          <w:rStyle w:val="default"/>
          <w:rFonts w:hint="cs"/>
          <w:rtl/>
        </w:rPr>
        <w:t>–</w:t>
      </w:r>
      <w:r>
        <w:rPr>
          <w:rStyle w:val="default"/>
          <w:rtl/>
        </w:rPr>
        <w:t xml:space="preserve"> שטח הקרקע שבנכס</w:t>
      </w:r>
      <w:r>
        <w:rPr>
          <w:rStyle w:val="default"/>
          <w:rFonts w:hint="cs"/>
          <w:rtl/>
        </w:rPr>
        <w:t>,</w:t>
      </w:r>
      <w:r>
        <w:rPr>
          <w:rStyle w:val="default"/>
          <w:rtl/>
        </w:rPr>
        <w:t xml:space="preserve"> לרב</w:t>
      </w:r>
      <w:r>
        <w:rPr>
          <w:rStyle w:val="default"/>
          <w:rFonts w:hint="cs"/>
          <w:rtl/>
        </w:rPr>
        <w:t>ו</w:t>
      </w:r>
      <w:r>
        <w:rPr>
          <w:rStyle w:val="default"/>
          <w:rtl/>
        </w:rPr>
        <w:t>ת השטח שמתחת לבנינים הנמצאים בנכס</w:t>
      </w:r>
      <w:r>
        <w:rPr>
          <w:rStyle w:val="default"/>
          <w:rFonts w:hint="cs"/>
          <w:rtl/>
        </w:rPr>
        <w:t>,</w:t>
      </w:r>
      <w:r>
        <w:rPr>
          <w:rStyle w:val="default"/>
          <w:rtl/>
        </w:rPr>
        <w:t xml:space="preserve"> ובדירה הנמצאת בבית </w:t>
      </w:r>
      <w:r>
        <w:rPr>
          <w:rStyle w:val="default"/>
          <w:rFonts w:hint="cs"/>
          <w:rtl/>
        </w:rPr>
        <w:t>ד</w:t>
      </w:r>
      <w:r>
        <w:rPr>
          <w:rStyle w:val="default"/>
          <w:rtl/>
        </w:rPr>
        <w:t xml:space="preserve">ירות </w:t>
      </w:r>
      <w:r>
        <w:rPr>
          <w:rStyle w:val="default"/>
          <w:rFonts w:hint="cs"/>
          <w:rtl/>
        </w:rPr>
        <w:t>–</w:t>
      </w:r>
      <w:r>
        <w:rPr>
          <w:rStyle w:val="default"/>
          <w:rtl/>
        </w:rPr>
        <w:t xml:space="preserve"> שטח הקרקע הצמוד לדירה כמשמעותו בחוק המקרקעין</w:t>
      </w:r>
      <w:r>
        <w:rPr>
          <w:rStyle w:val="default"/>
          <w:rFonts w:hint="cs"/>
          <w:rtl/>
        </w:rPr>
        <w:t>,</w:t>
      </w:r>
      <w:r>
        <w:rPr>
          <w:rStyle w:val="default"/>
          <w:rtl/>
        </w:rPr>
        <w:t xml:space="preserve"> בתוספת חלק יחסי משטח הקרקע שהוא רכוש משותף כמשמעות</w:t>
      </w:r>
      <w:r>
        <w:rPr>
          <w:rStyle w:val="default"/>
          <w:rFonts w:hint="cs"/>
          <w:rtl/>
        </w:rPr>
        <w:t>ו</w:t>
      </w:r>
      <w:r>
        <w:rPr>
          <w:rStyle w:val="default"/>
          <w:rtl/>
        </w:rPr>
        <w:t xml:space="preserve"> בחוק המקרקעין</w:t>
      </w:r>
      <w:r>
        <w:rPr>
          <w:rStyle w:val="default"/>
          <w:rFonts w:hint="cs"/>
          <w:rtl/>
        </w:rPr>
        <w:t>,</w:t>
      </w:r>
      <w:r>
        <w:rPr>
          <w:rStyle w:val="default"/>
          <w:rtl/>
        </w:rPr>
        <w:t xml:space="preserve"> בין אם הבית רש</w:t>
      </w:r>
      <w:r>
        <w:rPr>
          <w:rStyle w:val="default"/>
          <w:rFonts w:hint="cs"/>
          <w:rtl/>
        </w:rPr>
        <w:t>ו</w:t>
      </w:r>
      <w:r>
        <w:rPr>
          <w:rStyle w:val="default"/>
          <w:rtl/>
        </w:rPr>
        <w:t>ם כבית משותף וב</w:t>
      </w:r>
      <w:r>
        <w:rPr>
          <w:rStyle w:val="default"/>
          <w:rFonts w:hint="cs"/>
          <w:rtl/>
        </w:rPr>
        <w:t>י</w:t>
      </w:r>
      <w:r>
        <w:rPr>
          <w:rStyle w:val="default"/>
          <w:rtl/>
        </w:rPr>
        <w:t>ן אם א</w:t>
      </w:r>
      <w:r>
        <w:rPr>
          <w:rStyle w:val="default"/>
          <w:rFonts w:hint="cs"/>
          <w:rtl/>
        </w:rPr>
        <w:t>י</w:t>
      </w:r>
      <w:r>
        <w:rPr>
          <w:rStyle w:val="default"/>
          <w:rtl/>
        </w:rPr>
        <w:t>נ</w:t>
      </w:r>
      <w:r>
        <w:rPr>
          <w:rStyle w:val="default"/>
          <w:rFonts w:hint="cs"/>
          <w:rtl/>
        </w:rPr>
        <w:t>ו</w:t>
      </w:r>
      <w:r>
        <w:rPr>
          <w:rStyle w:val="default"/>
          <w:rtl/>
        </w:rPr>
        <w:t xml:space="preserve"> רשום כך</w:t>
      </w:r>
      <w:r>
        <w:rPr>
          <w:rStyle w:val="default"/>
          <w:rFonts w:hint="cs"/>
          <w:rtl/>
        </w:rPr>
        <w:t>,</w:t>
      </w:r>
      <w:r>
        <w:rPr>
          <w:rStyle w:val="default"/>
          <w:rtl/>
        </w:rPr>
        <w:t xml:space="preserve"> ושיעו</w:t>
      </w:r>
      <w:r>
        <w:rPr>
          <w:rStyle w:val="default"/>
          <w:rFonts w:hint="cs"/>
          <w:rtl/>
        </w:rPr>
        <w:t>ר</w:t>
      </w:r>
      <w:r>
        <w:rPr>
          <w:rStyle w:val="default"/>
          <w:rtl/>
        </w:rPr>
        <w:t>ו כ</w:t>
      </w:r>
      <w:r>
        <w:rPr>
          <w:rStyle w:val="default"/>
          <w:rFonts w:hint="cs"/>
          <w:rtl/>
        </w:rPr>
        <w:t>י</w:t>
      </w:r>
      <w:r>
        <w:rPr>
          <w:rStyle w:val="default"/>
          <w:rtl/>
        </w:rPr>
        <w:t>חס שבין שטח הדירה והשטח של כל הדיר</w:t>
      </w:r>
      <w:r>
        <w:rPr>
          <w:rStyle w:val="default"/>
          <w:rFonts w:hint="cs"/>
          <w:rtl/>
        </w:rPr>
        <w:t>ו</w:t>
      </w:r>
      <w:r>
        <w:rPr>
          <w:rStyle w:val="default"/>
          <w:rtl/>
        </w:rPr>
        <w:t>ת בבנין</w:t>
      </w:r>
      <w:r>
        <w:rPr>
          <w:rStyle w:val="default"/>
          <w:rFonts w:hint="cs"/>
          <w:rtl/>
        </w:rPr>
        <w:t>;</w:t>
      </w:r>
    </w:p>
    <w:p w14:paraId="3277C6D1" w14:textId="77777777" w:rsidR="00CD6B3F" w:rsidRDefault="00CD6B3F">
      <w:pPr>
        <w:pStyle w:val="P00"/>
        <w:spacing w:before="72"/>
        <w:ind w:left="0" w:right="1134"/>
        <w:rPr>
          <w:rStyle w:val="default"/>
          <w:rFonts w:hint="cs"/>
          <w:rtl/>
        </w:rPr>
      </w:pPr>
      <w:bookmarkStart w:id="1" w:name="Seif1"/>
      <w:bookmarkEnd w:id="1"/>
      <w:r>
        <w:rPr>
          <w:lang w:val="he-IL"/>
        </w:rPr>
        <w:pict w14:anchorId="04C1CC68">
          <v:rect id="_x0000_s1027" style="position:absolute;left:0;text-align:left;margin-left:464.5pt;margin-top:8.05pt;width:75.05pt;height:10.6pt;z-index:251652096" o:allowincell="f" filled="f" stroked="f" strokecolor="lime" strokeweight=".25pt">
            <v:textbox style="mso-next-textbox:#_x0000_s1027" inset="0,0,0,0">
              <w:txbxContent>
                <w:p w14:paraId="583AD7B7" w14:textId="77777777" w:rsidR="00CD6B3F" w:rsidRDefault="00CD6B3F">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Style w:val="default"/>
          <w:rFonts w:hint="cs"/>
          <w:rtl/>
        </w:rPr>
        <w:t>בעלו של נכס שנמסרה לו הודעה כדין על התקנתו או קנייתו של ביוב שישמש אותו נכס, ישלם היטל בשיעורים שנקבעו בתוספת, לכל שלב, כאמור בסעיף 16 לחוק; הותקן או נקנה הביוב שלבים שלבים, רשאית העיריה לגבות מכל אחד מבעלי נכס מיד עם השלמת כל שלב, את ההיטל  בעד אותו שלב או שלבים שהושלמו לפניו, בשיעור שנקבע בתוספת, לכל שלב, כאמור בסעיף 16 לחוק. היטל ביוב יחושב כלהלן:</w:t>
      </w:r>
    </w:p>
    <w:p w14:paraId="38131366" w14:textId="77777777" w:rsidR="00CD6B3F" w:rsidRDefault="00CD6B3F" w:rsidP="00A22BFE">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לפי שט</w:t>
      </w:r>
      <w:r>
        <w:rPr>
          <w:rFonts w:cs="FrankRuehl" w:hint="cs"/>
          <w:rtl/>
          <w:lang w:eastAsia="en-US"/>
        </w:rPr>
        <w:t>ח</w:t>
      </w:r>
      <w:r>
        <w:rPr>
          <w:rFonts w:cs="FrankRuehl"/>
          <w:rtl/>
          <w:lang w:eastAsia="en-US"/>
        </w:rPr>
        <w:t xml:space="preserve"> הקרקע</w:t>
      </w:r>
      <w:r>
        <w:rPr>
          <w:rFonts w:cs="FrankRuehl" w:hint="cs"/>
          <w:rtl/>
          <w:lang w:eastAsia="en-US"/>
        </w:rPr>
        <w:t>,</w:t>
      </w:r>
      <w:r>
        <w:rPr>
          <w:rFonts w:cs="FrankRuehl"/>
          <w:rtl/>
          <w:lang w:eastAsia="en-US"/>
        </w:rPr>
        <w:t xml:space="preserve"> כולל הקרקע שעליה עומד בנין</w:t>
      </w:r>
      <w:r>
        <w:rPr>
          <w:rFonts w:cs="FrankRuehl" w:hint="cs"/>
          <w:rtl/>
          <w:lang w:eastAsia="en-US"/>
        </w:rPr>
        <w:t>,</w:t>
      </w:r>
      <w:r>
        <w:rPr>
          <w:rFonts w:cs="FrankRuehl"/>
          <w:rtl/>
          <w:lang w:eastAsia="en-US"/>
        </w:rPr>
        <w:t xml:space="preserve"> </w:t>
      </w:r>
      <w:r>
        <w:rPr>
          <w:rFonts w:cs="FrankRuehl" w:hint="cs"/>
          <w:rtl/>
          <w:lang w:eastAsia="en-US"/>
        </w:rPr>
        <w:t>ו</w:t>
      </w:r>
      <w:r>
        <w:rPr>
          <w:rFonts w:cs="FrankRuehl"/>
          <w:rtl/>
          <w:lang w:eastAsia="en-US"/>
        </w:rPr>
        <w:t xml:space="preserve">בנכס שהוא דירה בבית דירות </w:t>
      </w:r>
      <w:r>
        <w:rPr>
          <w:rFonts w:cs="FrankRuehl" w:hint="cs"/>
          <w:rtl/>
          <w:lang w:eastAsia="en-US"/>
        </w:rPr>
        <w:t>–</w:t>
      </w:r>
      <w:r>
        <w:rPr>
          <w:rFonts w:cs="FrankRuehl"/>
          <w:rtl/>
          <w:lang w:eastAsia="en-US"/>
        </w:rPr>
        <w:t xml:space="preserve"> לפי שטח הקרקע לדירה; </w:t>
      </w:r>
      <w:r>
        <w:rPr>
          <w:rFonts w:cs="FrankRuehl" w:hint="cs"/>
          <w:rtl/>
          <w:lang w:eastAsia="en-US"/>
        </w:rPr>
        <w:t>ו</w:t>
      </w:r>
      <w:r>
        <w:rPr>
          <w:rFonts w:cs="FrankRuehl"/>
          <w:rtl/>
          <w:lang w:eastAsia="en-US"/>
        </w:rPr>
        <w:t>כן</w:t>
      </w:r>
    </w:p>
    <w:p w14:paraId="4EDBF0DE" w14:textId="77777777" w:rsidR="00CD6B3F" w:rsidRDefault="00CD6B3F" w:rsidP="00A22BFE">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Pr>
          <w:rFonts w:cs="FrankRuehl"/>
          <w:rtl/>
          <w:lang w:eastAsia="en-US"/>
        </w:rPr>
        <w:t>לפי ממדי הבנ</w:t>
      </w:r>
      <w:r>
        <w:rPr>
          <w:rFonts w:cs="FrankRuehl" w:hint="cs"/>
          <w:rtl/>
          <w:lang w:eastAsia="en-US"/>
        </w:rPr>
        <w:t>י</w:t>
      </w:r>
      <w:r>
        <w:rPr>
          <w:rFonts w:cs="FrankRuehl"/>
          <w:rtl/>
          <w:lang w:eastAsia="en-US"/>
        </w:rPr>
        <w:t>ן, כלהלן</w:t>
      </w:r>
      <w:r>
        <w:rPr>
          <w:rFonts w:cs="FrankRuehl" w:hint="cs"/>
          <w:rtl/>
          <w:lang w:eastAsia="en-US"/>
        </w:rPr>
        <w:t>:</w:t>
      </w:r>
    </w:p>
    <w:p w14:paraId="66B4530E" w14:textId="77777777" w:rsidR="00CD6B3F" w:rsidRDefault="00CD6B3F">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r>
      <w:r>
        <w:rPr>
          <w:rFonts w:cs="FrankRuehl"/>
          <w:rtl/>
          <w:lang w:eastAsia="en-US"/>
        </w:rPr>
        <w:t>בנכס המשמש לשורים - לפי שטח הדידה</w:t>
      </w:r>
      <w:r>
        <w:rPr>
          <w:rFonts w:cs="FrankRuehl" w:hint="cs"/>
          <w:rtl/>
          <w:lang w:eastAsia="en-US"/>
        </w:rPr>
        <w:t>;</w:t>
      </w:r>
    </w:p>
    <w:p w14:paraId="2EE33B32" w14:textId="77777777" w:rsidR="00CD6B3F" w:rsidRDefault="00CD6B3F">
      <w:pPr>
        <w:pStyle w:val="P00"/>
        <w:spacing w:before="72"/>
        <w:ind w:left="1021" w:right="1134"/>
        <w:rPr>
          <w:rFonts w:cs="FrankRuehl" w:hint="eastAsia"/>
          <w:rtl/>
          <w:lang w:eastAsia="en-US"/>
        </w:rPr>
      </w:pPr>
      <w:r>
        <w:rPr>
          <w:rFonts w:cs="FrankRuehl" w:hint="cs"/>
          <w:rtl/>
          <w:lang w:eastAsia="en-US"/>
        </w:rPr>
        <w:t>(ב)</w:t>
      </w:r>
      <w:r>
        <w:rPr>
          <w:rFonts w:cs="FrankRuehl" w:hint="cs"/>
          <w:rtl/>
          <w:lang w:eastAsia="en-US"/>
        </w:rPr>
        <w:tab/>
        <w:t xml:space="preserve">בנכס שאינו משמש למגורים </w:t>
      </w:r>
      <w:r>
        <w:rPr>
          <w:rFonts w:cs="FrankRuehl" w:hint="eastAsia"/>
          <w:rtl/>
          <w:lang w:eastAsia="en-US"/>
        </w:rPr>
        <w:t>– לפי שטח הדירה;</w:t>
      </w:r>
    </w:p>
    <w:p w14:paraId="5E62B159" w14:textId="77777777" w:rsidR="00CD6B3F" w:rsidRDefault="00CD6B3F">
      <w:pPr>
        <w:pStyle w:val="P00"/>
        <w:spacing w:before="72"/>
        <w:ind w:left="1021" w:right="1134"/>
        <w:rPr>
          <w:rFonts w:cs="FrankRuehl" w:hint="cs"/>
          <w:rtl/>
          <w:lang w:eastAsia="en-US"/>
        </w:rPr>
      </w:pPr>
      <w:r>
        <w:rPr>
          <w:rFonts w:cs="FrankRuehl" w:hint="cs"/>
          <w:rtl/>
          <w:lang w:eastAsia="en-US"/>
        </w:rPr>
        <w:t>(ג)</w:t>
      </w:r>
      <w:r>
        <w:rPr>
          <w:rFonts w:cs="FrankRuehl" w:hint="cs"/>
          <w:rtl/>
          <w:lang w:eastAsia="en-US"/>
        </w:rPr>
        <w:tab/>
        <w:t xml:space="preserve">בנכס המשמש לתעשיה </w:t>
      </w:r>
      <w:r>
        <w:rPr>
          <w:rFonts w:cs="FrankRuehl" w:hint="eastAsia"/>
          <w:rtl/>
          <w:lang w:eastAsia="en-US"/>
        </w:rPr>
        <w:t>– לפי נפח הדירה;</w:t>
      </w:r>
    </w:p>
    <w:p w14:paraId="0B3A886A" w14:textId="77777777" w:rsidR="00CD6B3F" w:rsidRDefault="00CD6B3F">
      <w:pPr>
        <w:pStyle w:val="P00"/>
        <w:spacing w:before="72"/>
        <w:ind w:left="1021" w:right="1134"/>
        <w:rPr>
          <w:rFonts w:cs="FrankRuehl" w:hint="cs"/>
          <w:rtl/>
          <w:lang w:eastAsia="en-US"/>
        </w:rPr>
      </w:pPr>
      <w:r>
        <w:rPr>
          <w:rFonts w:cs="FrankRuehl" w:hint="cs"/>
          <w:rtl/>
          <w:lang w:eastAsia="en-US"/>
        </w:rPr>
        <w:t>(ד)</w:t>
      </w:r>
      <w:r>
        <w:rPr>
          <w:rFonts w:cs="FrankRuehl" w:hint="cs"/>
          <w:rtl/>
          <w:lang w:eastAsia="en-US"/>
        </w:rPr>
        <w:tab/>
        <w:t xml:space="preserve">על אף האמור בפסקת משנה (ג), במרתף המשמש לחניה באזור תעשיה </w:t>
      </w:r>
      <w:r>
        <w:rPr>
          <w:rFonts w:cs="FrankRuehl" w:hint="eastAsia"/>
          <w:rtl/>
          <w:lang w:eastAsia="en-US"/>
        </w:rPr>
        <w:t xml:space="preserve">– </w:t>
      </w:r>
      <w:r>
        <w:rPr>
          <w:rFonts w:cs="FrankRuehl" w:hint="cs"/>
          <w:rtl/>
          <w:lang w:eastAsia="en-US"/>
        </w:rPr>
        <w:t>לפי 50 אחוזים מנפח המרתף.</w:t>
      </w:r>
    </w:p>
    <w:p w14:paraId="5F8FFF41" w14:textId="77777777" w:rsidR="00CD6B3F" w:rsidRDefault="00CD6B3F">
      <w:pPr>
        <w:pStyle w:val="P00"/>
        <w:spacing w:before="72"/>
        <w:ind w:left="0" w:right="1134"/>
        <w:rPr>
          <w:rStyle w:val="default"/>
          <w:rFonts w:hint="cs"/>
          <w:rtl/>
        </w:rPr>
      </w:pPr>
      <w:bookmarkStart w:id="2" w:name="Seif2"/>
      <w:bookmarkEnd w:id="2"/>
      <w:r>
        <w:rPr>
          <w:lang w:val="he-IL"/>
        </w:rPr>
        <w:pict w14:anchorId="19CB6CD4">
          <v:rect id="_x0000_s1028" style="position:absolute;left:0;text-align:left;margin-left:464.5pt;margin-top:8.05pt;width:75.05pt;height:16pt;z-index:251653120" o:allowincell="f" filled="f" stroked="f" strokecolor="lime" strokeweight=".25pt">
            <v:textbox style="mso-next-textbox:#_x0000_s1028" inset="0,0,0,0">
              <w:txbxContent>
                <w:p w14:paraId="130698B9" w14:textId="77777777" w:rsidR="00CD6B3F" w:rsidRDefault="00CD6B3F">
                  <w:pPr>
                    <w:spacing w:line="160" w:lineRule="exact"/>
                    <w:jc w:val="left"/>
                    <w:rPr>
                      <w:rFonts w:cs="Miriam" w:hint="cs"/>
                      <w:noProof/>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Pr>
          <w:rFonts w:cs="FrankRuehl" w:hint="cs"/>
          <w:rtl/>
          <w:lang w:eastAsia="en-US"/>
        </w:rPr>
        <w:t>הוגשה בקשה לקבלת היתר בניה לגבי נכס, ישלם בעל הנכס, בעת מתן היתר בניה, היטל ביוב כאמור בסעיף 2; שולם בעבר לגבי הנכס או לגבי נכס אחר שבתחומו נמצא אותו נכס, היטל ביוב לפי הוראות חוק עזר זה או תשלום הוצאות לקניה או להתקנה של ביוב לפי חוקי עזר קודמים, ישלם בעל הנכס היטל ביוב לכל מ"ר של שטח בניה שניתוסף או לכל מ"ק של נפחחבניה שניתוסף לפי הענין, בשיעורים שנקבעו בתוספת הראשונה והשניה.</w:t>
      </w:r>
    </w:p>
    <w:p w14:paraId="32405C05" w14:textId="77777777" w:rsidR="00CD6B3F" w:rsidRDefault="00CD6B3F">
      <w:pPr>
        <w:pStyle w:val="P00"/>
        <w:spacing w:before="72"/>
        <w:ind w:left="0" w:right="1134"/>
        <w:rPr>
          <w:rStyle w:val="default"/>
          <w:rFonts w:hint="cs"/>
          <w:rtl/>
        </w:rPr>
      </w:pPr>
      <w:bookmarkStart w:id="3" w:name="Seif3"/>
      <w:bookmarkEnd w:id="3"/>
      <w:r>
        <w:rPr>
          <w:lang w:val="he-IL"/>
        </w:rPr>
        <w:pict w14:anchorId="2C1AB997">
          <v:rect id="_x0000_s1029" style="position:absolute;left:0;text-align:left;margin-left:464.5pt;margin-top:8.05pt;width:75.05pt;height:19.2pt;z-index:251654144" o:allowincell="f" filled="f" stroked="f" strokecolor="lime" strokeweight=".25pt">
            <v:textbox style="mso-next-textbox:#_x0000_s1029" inset="0,0,0,0">
              <w:txbxContent>
                <w:p w14:paraId="306E91CC" w14:textId="77777777" w:rsidR="00CD6B3F" w:rsidRDefault="00CD6B3F">
                  <w:pPr>
                    <w:spacing w:line="160" w:lineRule="exact"/>
                    <w:jc w:val="left"/>
                    <w:rPr>
                      <w:rFonts w:cs="Miriam" w:hint="cs"/>
                      <w:sz w:val="18"/>
                      <w:szCs w:val="18"/>
                      <w:rtl/>
                    </w:rPr>
                  </w:pPr>
                  <w:r>
                    <w:rPr>
                      <w:rFonts w:cs="Miriam" w:hint="cs"/>
                      <w:sz w:val="18"/>
                      <w:szCs w:val="18"/>
                      <w:rtl/>
                    </w:rPr>
                    <w:t>התקנת ביוב בידי בעל הנכס</w:t>
                  </w:r>
                </w:p>
              </w:txbxContent>
            </v:textbox>
            <w10:anchorlock/>
          </v:rect>
        </w:pict>
      </w:r>
      <w:r>
        <w:rPr>
          <w:rStyle w:val="big-number"/>
          <w:rFonts w:cs="Miriam"/>
          <w:rtl/>
        </w:rPr>
        <w:t>4.</w:t>
      </w:r>
      <w:r>
        <w:rPr>
          <w:rStyle w:val="big-number"/>
          <w:rFonts w:cs="Miriam"/>
          <w:rtl/>
        </w:rPr>
        <w:tab/>
      </w:r>
      <w:r>
        <w:rPr>
          <w:rStyle w:val="default"/>
          <w:rFonts w:hint="cs"/>
          <w:rtl/>
        </w:rPr>
        <w:t>הוראות חוק עזר זה אינן באות למנוע ממהנדס העיריה לדרוש מבעל נכס התקנתו או קנייתו של ביוב, מכוח תכנית על פי חוק התכנון והבניה, התשכ"ה-1965, או על פי היתר בניה שניתן בדין</w:t>
      </w:r>
      <w:r>
        <w:rPr>
          <w:rFonts w:cs="FrankRuehl" w:hint="cs"/>
          <w:rtl/>
          <w:lang w:eastAsia="en-US"/>
        </w:rPr>
        <w:t>.</w:t>
      </w:r>
    </w:p>
    <w:p w14:paraId="6A170BDF" w14:textId="77777777" w:rsidR="00CD6B3F" w:rsidRDefault="00CD6B3F">
      <w:pPr>
        <w:pStyle w:val="P00"/>
        <w:spacing w:before="72"/>
        <w:ind w:left="0" w:right="1134"/>
        <w:rPr>
          <w:rFonts w:cs="FrankRuehl" w:hint="cs"/>
          <w:rtl/>
          <w:lang w:eastAsia="en-US"/>
        </w:rPr>
      </w:pPr>
      <w:bookmarkStart w:id="4" w:name="Seif4"/>
      <w:bookmarkEnd w:id="4"/>
      <w:r>
        <w:rPr>
          <w:lang w:val="he-IL"/>
        </w:rPr>
        <w:pict w14:anchorId="184E8EA7">
          <v:rect id="_x0000_s1030" style="position:absolute;left:0;text-align:left;margin-left:464.5pt;margin-top:8.05pt;width:75.05pt;height:14.45pt;z-index:251655168" o:allowincell="f" filled="f" stroked="f" strokecolor="lime" strokeweight=".25pt">
            <v:textbox style="mso-next-textbox:#_x0000_s1030" inset="0,0,0,0">
              <w:txbxContent>
                <w:p w14:paraId="41AD7FD9" w14:textId="77777777" w:rsidR="00CD6B3F" w:rsidRDefault="00CD6B3F" w:rsidP="00A22BFE">
                  <w:pPr>
                    <w:spacing w:line="160" w:lineRule="exact"/>
                    <w:jc w:val="left"/>
                    <w:rPr>
                      <w:rFonts w:cs="Miriam" w:hint="cs"/>
                      <w:noProof/>
                      <w:sz w:val="18"/>
                      <w:szCs w:val="18"/>
                      <w:rtl/>
                    </w:rPr>
                  </w:pPr>
                  <w:r>
                    <w:rPr>
                      <w:rFonts w:cs="Miriam" w:hint="cs"/>
                      <w:sz w:val="18"/>
                      <w:szCs w:val="18"/>
                      <w:rtl/>
                    </w:rPr>
                    <w:t>חיוב ביב</w:t>
                  </w:r>
                  <w:r w:rsidR="00A22BFE">
                    <w:rPr>
                      <w:rFonts w:cs="Miriam" w:hint="cs"/>
                      <w:sz w:val="18"/>
                      <w:szCs w:val="18"/>
                      <w:rtl/>
                    </w:rPr>
                    <w:t xml:space="preserve"> </w:t>
                  </w:r>
                  <w:r>
                    <w:rPr>
                      <w:rFonts w:cs="Miriam" w:hint="cs"/>
                      <w:sz w:val="18"/>
                      <w:szCs w:val="18"/>
                      <w:rtl/>
                    </w:rPr>
                    <w:t>פרטי לביוב</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חיבור ביב פרטי לביוב לא ייעשה אלא בידי ראש העיריה.</w:t>
      </w:r>
    </w:p>
    <w:p w14:paraId="112F64F9" w14:textId="77777777" w:rsidR="00CD6B3F" w:rsidRDefault="00CD6B3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בעל נכס או מחזיקו הרוצה בחיבור ביב פרטי לביוב, יגיש למהנדס העיריה בקשה בכתב ואת תכנית החיבור; היה הביב בתחומה של רשות מקומית אחרת, יצרף גם את הסכמת אותה הרשות המקומית לכך</w:t>
      </w:r>
      <w:r>
        <w:rPr>
          <w:rFonts w:cs="FrankRuehl"/>
          <w:rtl/>
          <w:lang w:eastAsia="en-US"/>
        </w:rPr>
        <w:t>.</w:t>
      </w:r>
    </w:p>
    <w:p w14:paraId="62415AB4" w14:textId="77777777" w:rsidR="00CD6B3F" w:rsidRDefault="00CD6B3F">
      <w:pPr>
        <w:pStyle w:val="P00"/>
        <w:spacing w:before="72"/>
        <w:ind w:left="0" w:right="1134"/>
        <w:rPr>
          <w:rFonts w:cs="FrankRuehl" w:hint="cs"/>
          <w:rtl/>
          <w:lang w:eastAsia="en-US"/>
        </w:rPr>
      </w:pPr>
      <w:bookmarkStart w:id="5" w:name="Seif5"/>
      <w:bookmarkEnd w:id="5"/>
      <w:r>
        <w:rPr>
          <w:lang w:val="he-IL"/>
        </w:rPr>
        <w:pict w14:anchorId="18C36A5F">
          <v:rect id="_x0000_s1031" style="position:absolute;left:0;text-align:left;margin-left:464.5pt;margin-top:8.05pt;width:75.05pt;height:13.5pt;z-index:251656192" o:allowincell="f" filled="f" stroked="f" strokecolor="lime" strokeweight=".25pt">
            <v:textbox style="mso-next-textbox:#_x0000_s1031" inset="0,0,0,0">
              <w:txbxContent>
                <w:p w14:paraId="1ED3BDB2" w14:textId="77777777" w:rsidR="00CD6B3F" w:rsidRDefault="00CD6B3F" w:rsidP="00A22BFE">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6.</w:t>
      </w:r>
      <w:r>
        <w:rPr>
          <w:rStyle w:val="big-number"/>
          <w:rFonts w:cs="Miriam"/>
          <w:rtl/>
        </w:rPr>
        <w:tab/>
      </w:r>
      <w:r>
        <w:rPr>
          <w:rStyle w:val="default"/>
          <w:rFonts w:hint="cs"/>
          <w:rtl/>
        </w:rPr>
        <w:t>לא יפגע אדם, לא יזיק ולא יפגום בביוב השייך לעיריה.</w:t>
      </w:r>
    </w:p>
    <w:p w14:paraId="004198B7" w14:textId="77777777" w:rsidR="00CD6B3F" w:rsidRDefault="00CD6B3F">
      <w:pPr>
        <w:pStyle w:val="P00"/>
        <w:spacing w:before="72"/>
        <w:ind w:left="0" w:right="1134"/>
        <w:rPr>
          <w:rStyle w:val="default"/>
          <w:rFonts w:hint="cs"/>
          <w:rtl/>
        </w:rPr>
      </w:pPr>
      <w:bookmarkStart w:id="6" w:name="Seif6"/>
      <w:bookmarkEnd w:id="6"/>
      <w:r>
        <w:rPr>
          <w:lang w:val="he-IL"/>
        </w:rPr>
        <w:pict w14:anchorId="1BD47FDA">
          <v:rect id="_x0000_s1032" style="position:absolute;left:0;text-align:left;margin-left:464.5pt;margin-top:8.05pt;width:75.05pt;height:10.4pt;z-index:251657216" o:allowincell="f" filled="f" stroked="f" strokecolor="lime" strokeweight=".25pt">
            <v:textbox inset="0,0,0,0">
              <w:txbxContent>
                <w:p w14:paraId="5ADB7693" w14:textId="77777777" w:rsidR="00CD6B3F" w:rsidRDefault="00CD6B3F">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rtl/>
        </w:rPr>
        <w:t>7.</w:t>
      </w:r>
      <w:r>
        <w:rPr>
          <w:rStyle w:val="big-number"/>
          <w:rFonts w:cs="Miriam"/>
          <w:rtl/>
        </w:rPr>
        <w:tab/>
      </w:r>
      <w:r>
        <w:rPr>
          <w:rStyle w:val="default"/>
          <w:rFonts w:hint="cs"/>
          <w:rtl/>
        </w:rPr>
        <w:t>מחזיק ישלם אגרת ביוב בשיעור שנקבע בתוספת.</w:t>
      </w:r>
    </w:p>
    <w:p w14:paraId="6F8C587A" w14:textId="77777777" w:rsidR="00CD6B3F" w:rsidRDefault="00CD6B3F">
      <w:pPr>
        <w:pStyle w:val="P00"/>
        <w:spacing w:before="72"/>
        <w:ind w:left="0" w:right="1134"/>
        <w:rPr>
          <w:rFonts w:cs="FrankRuehl" w:hint="cs"/>
          <w:rtl/>
          <w:lang w:eastAsia="en-US"/>
        </w:rPr>
      </w:pPr>
      <w:bookmarkStart w:id="7" w:name="Seif7"/>
      <w:bookmarkEnd w:id="7"/>
      <w:r>
        <w:rPr>
          <w:lang w:val="he-IL"/>
        </w:rPr>
        <w:pict w14:anchorId="423990A8">
          <v:rect id="_x0000_s1033" style="position:absolute;left:0;text-align:left;margin-left:464.5pt;margin-top:8.05pt;width:75.05pt;height:16pt;z-index:251658240" o:allowincell="f" filled="f" stroked="f" strokecolor="lime" strokeweight=".25pt">
            <v:textbox inset="0,0,0,0">
              <w:txbxContent>
                <w:p w14:paraId="0E8F116B" w14:textId="77777777" w:rsidR="00CD6B3F" w:rsidRDefault="00CD6B3F" w:rsidP="00A22BFE">
                  <w:pPr>
                    <w:spacing w:line="160" w:lineRule="exact"/>
                    <w:jc w:val="left"/>
                    <w:rPr>
                      <w:rFonts w:cs="Miriam" w:hint="cs"/>
                      <w:noProof/>
                      <w:sz w:val="18"/>
                      <w:szCs w:val="18"/>
                      <w:rtl/>
                    </w:rPr>
                  </w:pPr>
                  <w:r>
                    <w:rPr>
                      <w:rFonts w:cs="Miriam" w:hint="cs"/>
                      <w:sz w:val="18"/>
                      <w:szCs w:val="18"/>
                      <w:rtl/>
                    </w:rPr>
                    <w:t>תשלום אגרת</w:t>
                  </w:r>
                  <w:r w:rsidR="00A22BFE">
                    <w:rPr>
                      <w:rFonts w:cs="Miriam" w:hint="cs"/>
                      <w:sz w:val="18"/>
                      <w:szCs w:val="18"/>
                      <w:rtl/>
                    </w:rPr>
                    <w:t xml:space="preserve"> </w:t>
                  </w:r>
                  <w:r>
                    <w:rPr>
                      <w:rFonts w:cs="Miriam" w:hint="cs"/>
                      <w:sz w:val="18"/>
                      <w:szCs w:val="18"/>
                      <w:rtl/>
                    </w:rPr>
                    <w:t>ביוב</w:t>
                  </w:r>
                </w:p>
              </w:txbxContent>
            </v:textbox>
            <w10:anchorlock/>
          </v:rect>
        </w:pict>
      </w:r>
      <w:r>
        <w:rPr>
          <w:rStyle w:val="big-number"/>
          <w:rFonts w:cs="Miriam"/>
          <w:rtl/>
        </w:rPr>
        <w:t>8.</w:t>
      </w:r>
      <w:r>
        <w:rPr>
          <w:rStyle w:val="big-number"/>
          <w:rFonts w:cs="Miriam"/>
          <w:rtl/>
        </w:rPr>
        <w:tab/>
      </w:r>
      <w:r>
        <w:rPr>
          <w:rStyle w:val="default"/>
          <w:rFonts w:hint="cs"/>
          <w:rtl/>
        </w:rPr>
        <w:t>אגרת ביוב תשולם יחד אם אגרת מים המשולמת לפי חוק עזר לפתח-תקוה (אספקת מים), התשכ"ב-1962 או חוק עזר שיחליפו</w:t>
      </w:r>
      <w:r>
        <w:rPr>
          <w:rFonts w:cs="FrankRuehl"/>
          <w:rtl/>
          <w:lang w:eastAsia="en-US"/>
        </w:rPr>
        <w:t xml:space="preserve">. </w:t>
      </w:r>
    </w:p>
    <w:p w14:paraId="762B42C5" w14:textId="77777777" w:rsidR="00CD6B3F" w:rsidRDefault="00CD6B3F">
      <w:pPr>
        <w:pStyle w:val="P00"/>
        <w:spacing w:before="72"/>
        <w:ind w:left="0" w:right="1134"/>
        <w:rPr>
          <w:rFonts w:cs="FrankRuehl" w:hint="cs"/>
          <w:rtl/>
          <w:lang w:eastAsia="en-US"/>
        </w:rPr>
      </w:pPr>
      <w:bookmarkStart w:id="8" w:name="Seif13"/>
      <w:bookmarkStart w:id="9" w:name="Seif10"/>
      <w:bookmarkEnd w:id="8"/>
      <w:bookmarkEnd w:id="9"/>
      <w:r>
        <w:rPr>
          <w:lang w:val="he-IL"/>
        </w:rPr>
        <w:pict w14:anchorId="356F5B4B">
          <v:rect id="_x0000_s1055" style="position:absolute;left:0;text-align:left;margin-left:464.5pt;margin-top:8.05pt;width:75.05pt;height:13.7pt;z-index:251661312" o:allowincell="f" filled="f" stroked="f" strokecolor="lime" strokeweight=".25pt">
            <v:textbox style="mso-next-textbox:#_x0000_s1055" inset="0,0,0,0">
              <w:txbxContent>
                <w:p w14:paraId="4FA6FD8F" w14:textId="77777777" w:rsidR="00CD6B3F" w:rsidRDefault="00CD6B3F">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מסירת הודעה לפ</w:t>
      </w:r>
      <w:r>
        <w:rPr>
          <w:rFonts w:cs="FrankRuehl" w:hint="cs"/>
          <w:rtl/>
          <w:lang w:eastAsia="en-US"/>
        </w:rPr>
        <w:t>י</w:t>
      </w:r>
      <w:r>
        <w:rPr>
          <w:rFonts w:cs="FrankRuehl"/>
          <w:rtl/>
          <w:lang w:eastAsia="en-US"/>
        </w:rPr>
        <w:t xml:space="preserve"> חוק עזר זה תהא כדין אם נמסרה לידי האדם שאליו היתה מכוונת או נמסרה במקום מגור</w:t>
      </w:r>
      <w:r>
        <w:rPr>
          <w:rFonts w:cs="FrankRuehl" w:hint="cs"/>
          <w:rtl/>
          <w:lang w:eastAsia="en-US"/>
        </w:rPr>
        <w:t>י</w:t>
      </w:r>
      <w:r>
        <w:rPr>
          <w:rFonts w:cs="FrankRuehl"/>
          <w:rtl/>
          <w:lang w:eastAsia="en-US"/>
        </w:rPr>
        <w:t>ו או במקום עסקיו הרגילים או הידועים לאחרונה, לידי</w:t>
      </w:r>
      <w:r>
        <w:rPr>
          <w:rFonts w:cs="FrankRuehl" w:hint="cs"/>
          <w:rtl/>
          <w:lang w:eastAsia="en-US"/>
        </w:rPr>
        <w:t xml:space="preserve"> </w:t>
      </w:r>
      <w:r>
        <w:rPr>
          <w:rFonts w:cs="FrankRuehl"/>
          <w:rtl/>
          <w:lang w:eastAsia="en-US"/>
        </w:rPr>
        <w:t>אחד מבני משפחתו המבוגר</w:t>
      </w:r>
      <w:r>
        <w:rPr>
          <w:rFonts w:cs="FrankRuehl" w:hint="cs"/>
          <w:rtl/>
          <w:lang w:eastAsia="en-US"/>
        </w:rPr>
        <w:t>ים</w:t>
      </w:r>
      <w:r>
        <w:rPr>
          <w:rFonts w:cs="FrankRuehl"/>
          <w:rtl/>
          <w:lang w:eastAsia="en-US"/>
        </w:rPr>
        <w:t xml:space="preserve"> או לידי אדם בוגר </w:t>
      </w:r>
      <w:r>
        <w:rPr>
          <w:rFonts w:cs="FrankRuehl" w:hint="cs"/>
          <w:rtl/>
          <w:lang w:eastAsia="en-US"/>
        </w:rPr>
        <w:t>ה</w:t>
      </w:r>
      <w:r>
        <w:rPr>
          <w:rFonts w:cs="FrankRuehl"/>
          <w:rtl/>
          <w:lang w:eastAsia="en-US"/>
        </w:rPr>
        <w:t xml:space="preserve">עובד או המועסק שם או </w:t>
      </w:r>
      <w:r>
        <w:rPr>
          <w:rFonts w:cs="FrankRuehl" w:hint="cs"/>
          <w:rtl/>
          <w:lang w:eastAsia="en-US"/>
        </w:rPr>
        <w:t>נ</w:t>
      </w:r>
      <w:r>
        <w:rPr>
          <w:rFonts w:cs="FrankRuehl"/>
          <w:rtl/>
          <w:lang w:eastAsia="en-US"/>
        </w:rPr>
        <w:t>שלחה</w:t>
      </w:r>
      <w:r>
        <w:rPr>
          <w:rFonts w:cs="FrankRuehl" w:hint="cs"/>
          <w:rtl/>
          <w:lang w:eastAsia="en-US"/>
        </w:rPr>
        <w:t xml:space="preserve"> </w:t>
      </w:r>
      <w:r>
        <w:rPr>
          <w:rFonts w:cs="FrankRuehl"/>
          <w:rtl/>
          <w:lang w:eastAsia="en-US"/>
        </w:rPr>
        <w:t>בדואר במכתב רשום אל אותו אדם לפי מען מקום מגו</w:t>
      </w:r>
      <w:r>
        <w:rPr>
          <w:rFonts w:cs="FrankRuehl" w:hint="cs"/>
          <w:rtl/>
          <w:lang w:eastAsia="en-US"/>
        </w:rPr>
        <w:t>ר</w:t>
      </w:r>
      <w:r>
        <w:rPr>
          <w:rFonts w:cs="FrankRuehl"/>
          <w:rtl/>
          <w:lang w:eastAsia="en-US"/>
        </w:rPr>
        <w:t>יו או מקום עסק</w:t>
      </w:r>
      <w:r>
        <w:rPr>
          <w:rFonts w:cs="FrankRuehl" w:hint="cs"/>
          <w:rtl/>
          <w:lang w:eastAsia="en-US"/>
        </w:rPr>
        <w:t>י</w:t>
      </w:r>
      <w:r>
        <w:rPr>
          <w:rFonts w:cs="FrankRuehl"/>
          <w:rtl/>
          <w:lang w:eastAsia="en-US"/>
        </w:rPr>
        <w:t>ו הרגילים</w:t>
      </w:r>
      <w:r>
        <w:rPr>
          <w:rFonts w:cs="FrankRuehl" w:hint="cs"/>
          <w:rtl/>
          <w:lang w:eastAsia="en-US"/>
        </w:rPr>
        <w:t xml:space="preserve"> </w:t>
      </w:r>
      <w:r>
        <w:rPr>
          <w:rFonts w:cs="FrankRuehl"/>
          <w:rtl/>
          <w:lang w:eastAsia="en-US"/>
        </w:rPr>
        <w:t>או הידועי</w:t>
      </w:r>
      <w:r>
        <w:rPr>
          <w:rFonts w:cs="FrankRuehl" w:hint="cs"/>
          <w:rtl/>
          <w:lang w:eastAsia="en-US"/>
        </w:rPr>
        <w:t>ם</w:t>
      </w:r>
      <w:r>
        <w:rPr>
          <w:rFonts w:cs="FrankRuehl"/>
          <w:rtl/>
          <w:lang w:eastAsia="en-US"/>
        </w:rPr>
        <w:t xml:space="preserve"> לאחרו</w:t>
      </w:r>
      <w:r>
        <w:rPr>
          <w:rFonts w:cs="FrankRuehl" w:hint="cs"/>
          <w:rtl/>
          <w:lang w:eastAsia="en-US"/>
        </w:rPr>
        <w:t>נ</w:t>
      </w:r>
      <w:r>
        <w:rPr>
          <w:rFonts w:cs="FrankRuehl"/>
          <w:rtl/>
          <w:lang w:eastAsia="en-US"/>
        </w:rPr>
        <w:t>ה</w:t>
      </w:r>
      <w:r>
        <w:rPr>
          <w:rFonts w:cs="FrankRuehl" w:hint="cs"/>
          <w:rtl/>
          <w:lang w:eastAsia="en-US"/>
        </w:rPr>
        <w:t>;</w:t>
      </w:r>
      <w:r>
        <w:rPr>
          <w:rFonts w:cs="FrankRuehl"/>
          <w:rtl/>
          <w:lang w:eastAsia="en-US"/>
        </w:rPr>
        <w:t xml:space="preserve"> </w:t>
      </w:r>
      <w:r>
        <w:rPr>
          <w:rFonts w:cs="FrankRuehl" w:hint="cs"/>
          <w:rtl/>
          <w:lang w:eastAsia="en-US"/>
        </w:rPr>
        <w:t xml:space="preserve">אם אי אפשר לקיים את המסירה כאמור, תהא המסירה כדין </w:t>
      </w:r>
      <w:r>
        <w:rPr>
          <w:rFonts w:cs="FrankRuehl"/>
          <w:rtl/>
          <w:lang w:eastAsia="en-US"/>
        </w:rPr>
        <w:t>א</w:t>
      </w:r>
      <w:r>
        <w:rPr>
          <w:rFonts w:cs="FrankRuehl" w:hint="cs"/>
          <w:rtl/>
          <w:lang w:eastAsia="en-US"/>
        </w:rPr>
        <w:t>ם</w:t>
      </w:r>
      <w:r>
        <w:rPr>
          <w:rFonts w:cs="FrankRuehl"/>
          <w:rtl/>
          <w:lang w:eastAsia="en-US"/>
        </w:rPr>
        <w:t xml:space="preserve"> הוצגה </w:t>
      </w:r>
      <w:r>
        <w:rPr>
          <w:rFonts w:cs="FrankRuehl" w:hint="cs"/>
          <w:rtl/>
          <w:lang w:eastAsia="en-US"/>
        </w:rPr>
        <w:t xml:space="preserve">ההודעה </w:t>
      </w:r>
      <w:r>
        <w:rPr>
          <w:rFonts w:cs="FrankRuehl"/>
          <w:rtl/>
          <w:lang w:eastAsia="en-US"/>
        </w:rPr>
        <w:t xml:space="preserve">במקום בולט </w:t>
      </w:r>
      <w:r>
        <w:rPr>
          <w:rFonts w:cs="FrankRuehl" w:hint="cs"/>
          <w:rtl/>
          <w:lang w:eastAsia="en-US"/>
        </w:rPr>
        <w:t xml:space="preserve">באחד המקומות האמורים או אם נתפרסמה בשני עיתונים לפחות </w:t>
      </w:r>
      <w:r>
        <w:rPr>
          <w:rFonts w:cs="FrankRuehl"/>
          <w:rtl/>
          <w:lang w:eastAsia="en-US"/>
        </w:rPr>
        <w:t>הנפוצ</w:t>
      </w:r>
      <w:r>
        <w:rPr>
          <w:rFonts w:cs="FrankRuehl" w:hint="cs"/>
          <w:rtl/>
          <w:lang w:eastAsia="en-US"/>
        </w:rPr>
        <w:t>ים</w:t>
      </w:r>
      <w:r>
        <w:rPr>
          <w:rFonts w:cs="FrankRuehl"/>
          <w:rtl/>
          <w:lang w:eastAsia="en-US"/>
        </w:rPr>
        <w:t xml:space="preserve"> בתחום העיר</w:t>
      </w:r>
      <w:r>
        <w:rPr>
          <w:rFonts w:cs="FrankRuehl" w:hint="cs"/>
          <w:rtl/>
          <w:lang w:eastAsia="en-US"/>
        </w:rPr>
        <w:t>י</w:t>
      </w:r>
      <w:r>
        <w:rPr>
          <w:rFonts w:cs="FrankRuehl"/>
          <w:rtl/>
          <w:lang w:eastAsia="en-US"/>
        </w:rPr>
        <w:t xml:space="preserve">ה שאחד מהם </w:t>
      </w:r>
      <w:r>
        <w:rPr>
          <w:rFonts w:cs="FrankRuehl" w:hint="cs"/>
          <w:rtl/>
          <w:lang w:eastAsia="en-US"/>
        </w:rPr>
        <w:t xml:space="preserve">לפחות </w:t>
      </w:r>
      <w:r>
        <w:rPr>
          <w:rFonts w:cs="FrankRuehl"/>
          <w:rtl/>
          <w:lang w:eastAsia="en-US"/>
        </w:rPr>
        <w:t>הוא בשפה העברית.</w:t>
      </w:r>
    </w:p>
    <w:p w14:paraId="74AD70EE" w14:textId="77777777" w:rsidR="00CD6B3F" w:rsidRDefault="00CD6B3F">
      <w:pPr>
        <w:pStyle w:val="P00"/>
        <w:spacing w:before="72"/>
        <w:ind w:left="0" w:right="1134"/>
        <w:rPr>
          <w:rStyle w:val="default"/>
          <w:rFonts w:hint="cs"/>
          <w:rtl/>
        </w:rPr>
      </w:pPr>
      <w:bookmarkStart w:id="10" w:name="Seif15"/>
      <w:bookmarkStart w:id="11" w:name="Seif16"/>
      <w:bookmarkStart w:id="12" w:name="Seif8"/>
      <w:bookmarkEnd w:id="10"/>
      <w:bookmarkEnd w:id="11"/>
      <w:bookmarkEnd w:id="12"/>
      <w:r>
        <w:rPr>
          <w:lang w:val="he-IL"/>
        </w:rPr>
        <w:pict w14:anchorId="0C0E130F">
          <v:rect id="_x0000_s1042" style="position:absolute;left:0;text-align:left;margin-left:464.5pt;margin-top:8.05pt;width:75.05pt;height:22.8pt;z-index:251659264" o:allowincell="f" filled="f" stroked="f" strokecolor="lime" strokeweight=".25pt">
            <v:textbox style="mso-next-textbox:#_x0000_s1042" inset="0,0,0,0">
              <w:txbxContent>
                <w:p w14:paraId="14E75BB7" w14:textId="77777777" w:rsidR="00CD6B3F" w:rsidRDefault="00CD6B3F" w:rsidP="00A22BFE">
                  <w:pPr>
                    <w:spacing w:line="160" w:lineRule="exact"/>
                    <w:jc w:val="left"/>
                    <w:rPr>
                      <w:rFonts w:cs="Miriam" w:hint="cs"/>
                      <w:noProof/>
                      <w:sz w:val="18"/>
                      <w:szCs w:val="18"/>
                      <w:rtl/>
                    </w:rPr>
                  </w:pPr>
                  <w:r>
                    <w:rPr>
                      <w:rFonts w:cs="Miriam" w:hint="cs"/>
                      <w:sz w:val="18"/>
                      <w:szCs w:val="18"/>
                      <w:rtl/>
                    </w:rPr>
                    <w:t>תיקון חוק עזר</w:t>
                  </w:r>
                  <w:r w:rsidR="00A22BFE">
                    <w:rPr>
                      <w:rFonts w:cs="Miriam" w:hint="cs"/>
                      <w:sz w:val="18"/>
                      <w:szCs w:val="18"/>
                      <w:rtl/>
                    </w:rPr>
                    <w:t xml:space="preserve"> </w:t>
                  </w:r>
                  <w:r>
                    <w:rPr>
                      <w:rFonts w:cs="Miriam" w:hint="cs"/>
                      <w:sz w:val="18"/>
                      <w:szCs w:val="18"/>
                      <w:rtl/>
                    </w:rPr>
                    <w:t>ההצמדה למדד</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rtl/>
          <w:lang w:eastAsia="en-US"/>
        </w:rPr>
        <w:t>בתוספת ל</w:t>
      </w:r>
      <w:r>
        <w:rPr>
          <w:rFonts w:cs="FrankRuehl" w:hint="cs"/>
          <w:rtl/>
          <w:lang w:eastAsia="en-US"/>
        </w:rPr>
        <w:t>ח</w:t>
      </w:r>
      <w:r>
        <w:rPr>
          <w:rFonts w:cs="FrankRuehl"/>
          <w:rtl/>
          <w:lang w:eastAsia="en-US"/>
        </w:rPr>
        <w:t xml:space="preserve">וק עזר </w:t>
      </w:r>
      <w:r>
        <w:rPr>
          <w:rFonts w:cs="FrankRuehl" w:hint="cs"/>
          <w:rtl/>
          <w:lang w:eastAsia="en-US"/>
        </w:rPr>
        <w:t>לפתח תקוה</w:t>
      </w:r>
      <w:r>
        <w:rPr>
          <w:rFonts w:cs="FrankRuehl"/>
          <w:rtl/>
          <w:lang w:eastAsia="en-US"/>
        </w:rPr>
        <w:t xml:space="preserve"> (הצמ</w:t>
      </w:r>
      <w:r>
        <w:rPr>
          <w:rFonts w:cs="FrankRuehl" w:hint="cs"/>
          <w:rtl/>
          <w:lang w:eastAsia="en-US"/>
        </w:rPr>
        <w:t>ד</w:t>
      </w:r>
      <w:r>
        <w:rPr>
          <w:rFonts w:cs="FrankRuehl"/>
          <w:rtl/>
          <w:lang w:eastAsia="en-US"/>
        </w:rPr>
        <w:t>ה למדד), ה</w:t>
      </w:r>
      <w:r>
        <w:rPr>
          <w:rFonts w:cs="FrankRuehl" w:hint="cs"/>
          <w:rtl/>
          <w:lang w:eastAsia="en-US"/>
        </w:rPr>
        <w:t>ת</w:t>
      </w:r>
      <w:r>
        <w:rPr>
          <w:rFonts w:cs="FrankRuehl"/>
          <w:rtl/>
          <w:lang w:eastAsia="en-US"/>
        </w:rPr>
        <w:t>שמ"</w:t>
      </w:r>
      <w:r>
        <w:rPr>
          <w:rFonts w:cs="FrankRuehl" w:hint="cs"/>
          <w:rtl/>
          <w:lang w:eastAsia="en-US"/>
        </w:rPr>
        <w:t>ד</w:t>
      </w:r>
      <w:r>
        <w:rPr>
          <w:rFonts w:cs="FrankRuehl"/>
          <w:rtl/>
          <w:lang w:eastAsia="en-US"/>
        </w:rPr>
        <w:t>-</w:t>
      </w:r>
      <w:r>
        <w:rPr>
          <w:rFonts w:cs="FrankRuehl" w:hint="cs"/>
          <w:rtl/>
          <w:lang w:eastAsia="en-US"/>
        </w:rPr>
        <w:t>1984,</w:t>
      </w:r>
      <w:r>
        <w:rPr>
          <w:rFonts w:cs="FrankRuehl"/>
          <w:rtl/>
          <w:lang w:eastAsia="en-US"/>
        </w:rPr>
        <w:t xml:space="preserve"> </w:t>
      </w:r>
      <w:r>
        <w:rPr>
          <w:rFonts w:cs="FrankRuehl" w:hint="cs"/>
          <w:rtl/>
          <w:lang w:eastAsia="en-US"/>
        </w:rPr>
        <w:t>בתוספת, בסופה</w:t>
      </w:r>
      <w:r w:rsidR="00A22BFE">
        <w:rPr>
          <w:rFonts w:cs="FrankRuehl" w:hint="cs"/>
          <w:rtl/>
          <w:lang w:eastAsia="en-US"/>
        </w:rPr>
        <w:t xml:space="preserve"> יבוא: "חוק עזר לפתח-תקוה (ביוב)</w:t>
      </w:r>
      <w:r>
        <w:rPr>
          <w:rFonts w:cs="FrankRuehl" w:hint="cs"/>
          <w:rtl/>
          <w:lang w:eastAsia="en-US"/>
        </w:rPr>
        <w:t>, התשנ"ו-1996"</w:t>
      </w:r>
      <w:r w:rsidR="00A22BFE">
        <w:rPr>
          <w:rFonts w:cs="FrankRuehl" w:hint="cs"/>
          <w:rtl/>
          <w:lang w:eastAsia="en-US"/>
        </w:rPr>
        <w:t>.</w:t>
      </w:r>
    </w:p>
    <w:p w14:paraId="3CD253EC" w14:textId="77777777" w:rsidR="00CD6B3F" w:rsidRDefault="00CD6B3F">
      <w:pPr>
        <w:pStyle w:val="P00"/>
        <w:spacing w:before="72"/>
        <w:ind w:left="0" w:right="1134"/>
        <w:rPr>
          <w:rFonts w:cs="FrankRuehl" w:hint="eastAsia"/>
          <w:rtl/>
          <w:lang w:eastAsia="en-US"/>
        </w:rPr>
      </w:pPr>
      <w:bookmarkStart w:id="13" w:name="Seif17"/>
      <w:bookmarkStart w:id="14" w:name="Seif20"/>
      <w:bookmarkStart w:id="15" w:name="Seif9"/>
      <w:bookmarkEnd w:id="13"/>
      <w:bookmarkEnd w:id="14"/>
      <w:bookmarkEnd w:id="15"/>
      <w:r>
        <w:rPr>
          <w:lang w:val="he-IL"/>
        </w:rPr>
        <w:pict w14:anchorId="12FDCC84">
          <v:rect id="_x0000_s1046" style="position:absolute;left:0;text-align:left;margin-left:464.5pt;margin-top:8.05pt;width:75.05pt;height:12.3pt;z-index:251660288" o:allowincell="f" filled="f" stroked="f" strokecolor="lime" strokeweight=".25pt">
            <v:textbox inset="0,0,0,0">
              <w:txbxContent>
                <w:p w14:paraId="4F1EBB20" w14:textId="77777777" w:rsidR="00CD6B3F" w:rsidRDefault="00CD6B3F">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hint="cs"/>
          <w:rtl/>
        </w:rPr>
        <w:t xml:space="preserve">שיעורי ההיטל והאגרה שנקבעו בתוספת יעלו ב-1 בחודש שלאחר פרסומו של חוק עזר זה ברשומות (להלן </w:t>
      </w:r>
      <w:r>
        <w:rPr>
          <w:rStyle w:val="default"/>
          <w:rFonts w:hint="eastAsia"/>
          <w:rtl/>
        </w:rPr>
        <w:t>– יום ההעלאה הראשון</w:t>
      </w:r>
      <w:r>
        <w:rPr>
          <w:rStyle w:val="default"/>
          <w:rFonts w:hint="cs"/>
          <w:rtl/>
        </w:rPr>
        <w:t>), בשיעור עליית המדד שפורסם לאחרונה לפי יום ההעלאה הראשון לעומת המדד ספורסם בחודש מרס 1995</w:t>
      </w:r>
      <w:r>
        <w:rPr>
          <w:rFonts w:cs="FrankRuehl" w:hint="eastAsia"/>
          <w:rtl/>
          <w:lang w:eastAsia="en-US"/>
        </w:rPr>
        <w:t>.</w:t>
      </w:r>
    </w:p>
    <w:p w14:paraId="6BEA4924" w14:textId="77777777" w:rsidR="00CD6B3F" w:rsidRDefault="00CD6B3F">
      <w:pPr>
        <w:pStyle w:val="P00"/>
        <w:spacing w:before="72"/>
        <w:ind w:left="0" w:right="1134"/>
        <w:rPr>
          <w:rStyle w:val="default"/>
          <w:rFonts w:hint="eastAsia"/>
          <w:rtl/>
        </w:rPr>
      </w:pPr>
      <w:bookmarkStart w:id="16" w:name="Seif11"/>
      <w:bookmarkEnd w:id="16"/>
      <w:r>
        <w:rPr>
          <w:lang w:val="he-IL"/>
        </w:rPr>
        <w:pict w14:anchorId="2D9BA1EC">
          <v:rect id="_x0000_s1056" style="position:absolute;left:0;text-align:left;margin-left:464.5pt;margin-top:8.05pt;width:75.05pt;height:11.15pt;z-index:251662336" o:allowincell="f" filled="f" stroked="f" strokecolor="lime" strokeweight=".25pt">
            <v:textbox style="mso-next-textbox:#_x0000_s1056" inset="0,0,0,0">
              <w:txbxContent>
                <w:p w14:paraId="41EB9F1C" w14:textId="77777777" w:rsidR="00CD6B3F" w:rsidRDefault="00CD6B3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hint="cs"/>
          <w:rtl/>
        </w:rPr>
        <w:t xml:space="preserve">בטלים </w:t>
      </w:r>
      <w:r>
        <w:rPr>
          <w:rStyle w:val="default"/>
          <w:rFonts w:hint="eastAsia"/>
          <w:rtl/>
        </w:rPr>
        <w:t>–</w:t>
      </w:r>
    </w:p>
    <w:p w14:paraId="1604E410" w14:textId="77777777" w:rsidR="00CD6B3F" w:rsidRDefault="00CD6B3F" w:rsidP="00A22BFE">
      <w:pPr>
        <w:pStyle w:val="P00"/>
        <w:spacing w:before="72"/>
        <w:ind w:left="624" w:right="1134"/>
        <w:rPr>
          <w:rFonts w:cs="FrankRuehl" w:hint="cs"/>
          <w:rtl/>
          <w:lang w:eastAsia="en-US"/>
        </w:rPr>
      </w:pPr>
      <w:r>
        <w:rPr>
          <w:rFonts w:cs="FrankRuehl" w:hint="cs"/>
          <w:rtl/>
          <w:lang w:eastAsia="en-US"/>
        </w:rPr>
        <w:t xml:space="preserve">חוק עזר לפתח-תקוה (ביוב), התש"ל-1969 (להלן </w:t>
      </w:r>
      <w:r>
        <w:rPr>
          <w:rFonts w:cs="FrankRuehl" w:hint="eastAsia"/>
          <w:rtl/>
          <w:lang w:eastAsia="en-US"/>
        </w:rPr>
        <w:t>– חוק עזר לביוב</w:t>
      </w:r>
      <w:r>
        <w:rPr>
          <w:rFonts w:cs="FrankRuehl" w:hint="cs"/>
          <w:rtl/>
          <w:lang w:eastAsia="en-US"/>
        </w:rPr>
        <w:t>);</w:t>
      </w:r>
    </w:p>
    <w:p w14:paraId="54AE0890" w14:textId="77777777" w:rsidR="00CD6B3F" w:rsidRDefault="00CD6B3F" w:rsidP="00A22BFE">
      <w:pPr>
        <w:pStyle w:val="P00"/>
        <w:spacing w:before="72"/>
        <w:ind w:left="624" w:right="1134"/>
        <w:rPr>
          <w:rFonts w:cs="FrankRuehl" w:hint="eastAsia"/>
          <w:rtl/>
          <w:lang w:eastAsia="en-US"/>
        </w:rPr>
      </w:pPr>
      <w:r>
        <w:rPr>
          <w:rFonts w:cs="FrankRuehl" w:hint="cs"/>
          <w:rtl/>
          <w:lang w:eastAsia="en-US"/>
        </w:rPr>
        <w:t xml:space="preserve">חוק עזר לפתח-תקוה (אגרת ביוב), התשל"ה-1974 (להלן </w:t>
      </w:r>
      <w:r>
        <w:rPr>
          <w:rFonts w:cs="FrankRuehl" w:hint="eastAsia"/>
          <w:rtl/>
          <w:lang w:eastAsia="en-US"/>
        </w:rPr>
        <w:t>– חוק עזר לאגרת ביוב</w:t>
      </w:r>
      <w:r>
        <w:rPr>
          <w:rFonts w:cs="FrankRuehl" w:hint="cs"/>
          <w:rtl/>
          <w:lang w:eastAsia="en-US"/>
        </w:rPr>
        <w:t>)</w:t>
      </w:r>
      <w:r>
        <w:rPr>
          <w:rFonts w:cs="FrankRuehl" w:hint="eastAsia"/>
          <w:rtl/>
          <w:lang w:eastAsia="en-US"/>
        </w:rPr>
        <w:t>.</w:t>
      </w:r>
    </w:p>
    <w:p w14:paraId="338B527B" w14:textId="77777777" w:rsidR="00CD6B3F" w:rsidRDefault="00CD6B3F">
      <w:pPr>
        <w:pStyle w:val="P00"/>
        <w:spacing w:before="72"/>
        <w:ind w:left="0" w:right="1134"/>
        <w:rPr>
          <w:rFonts w:cs="FrankRuehl" w:hint="eastAsia"/>
          <w:rtl/>
          <w:lang w:eastAsia="en-US"/>
        </w:rPr>
      </w:pPr>
      <w:bookmarkStart w:id="17" w:name="Seif12"/>
      <w:bookmarkEnd w:id="17"/>
      <w:r>
        <w:rPr>
          <w:lang w:val="he-IL"/>
        </w:rPr>
        <w:pict w14:anchorId="469F9687">
          <v:rect id="_x0000_s1057" style="position:absolute;left:0;text-align:left;margin-left:464.5pt;margin-top:8.05pt;width:75.05pt;height:14.05pt;z-index:251663360" o:allowincell="f" filled="f" stroked="f" strokecolor="lime" strokeweight=".25pt">
            <v:textbox inset="0,0,0,0">
              <w:txbxContent>
                <w:p w14:paraId="23F936F1" w14:textId="77777777" w:rsidR="00CD6B3F" w:rsidRDefault="00CD6B3F">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hint="cs"/>
          <w:rtl/>
        </w:rPr>
        <w:t>נמסרו או ניתנו לבעל נכס דרישות, הודעות או היתרי בניה, לפני תחילתו של חוק עזר זה, יחולו, על ההודעות, הדרישות והיתרי בניה, הוראות חוק עזר לביוב או חוק עזר לאגרת ביוב, לפי הענין, אף אם עבודות התקנת הביוב הושלמו לאחר תחילתו של חוק עזר זה</w:t>
      </w:r>
      <w:r>
        <w:rPr>
          <w:rFonts w:cs="FrankRuehl" w:hint="eastAsia"/>
          <w:rtl/>
          <w:lang w:eastAsia="en-US"/>
        </w:rPr>
        <w:t>.</w:t>
      </w:r>
    </w:p>
    <w:p w14:paraId="02E80E2E" w14:textId="77777777" w:rsidR="00CD6B3F" w:rsidRDefault="00CD6B3F" w:rsidP="00A22BFE">
      <w:pPr>
        <w:pStyle w:val="P00"/>
        <w:spacing w:before="72"/>
        <w:ind w:left="0" w:right="1134"/>
        <w:rPr>
          <w:rStyle w:val="default"/>
          <w:rFonts w:hint="cs"/>
          <w:rtl/>
        </w:rPr>
      </w:pPr>
    </w:p>
    <w:p w14:paraId="1B74B7DB" w14:textId="77777777" w:rsidR="00CD6B3F" w:rsidRPr="00A22BFE" w:rsidRDefault="00CD6B3F">
      <w:pPr>
        <w:pStyle w:val="medium2-header"/>
        <w:keepLines w:val="0"/>
        <w:spacing w:before="72"/>
        <w:ind w:left="0" w:right="1134"/>
        <w:rPr>
          <w:rFonts w:cs="FrankRuehl" w:hint="cs"/>
          <w:noProof/>
          <w:sz w:val="26"/>
          <w:szCs w:val="26"/>
          <w:rtl/>
        </w:rPr>
      </w:pPr>
      <w:bookmarkStart w:id="18" w:name="med0"/>
      <w:bookmarkEnd w:id="18"/>
      <w:r w:rsidRPr="00A22BFE">
        <w:rPr>
          <w:rFonts w:cs="FrankRuehl" w:hint="cs"/>
          <w:noProof/>
          <w:sz w:val="26"/>
          <w:szCs w:val="26"/>
          <w:rtl/>
        </w:rPr>
        <w:t>תוספת ראשונה</w:t>
      </w:r>
    </w:p>
    <w:p w14:paraId="67BE086D" w14:textId="77777777" w:rsidR="00A22BFE" w:rsidRPr="00A22BFE" w:rsidRDefault="007A16FC" w:rsidP="007A16FC">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r>
      <w:r w:rsidR="00CD6B3F" w:rsidRPr="00A22BFE">
        <w:rPr>
          <w:rStyle w:val="default"/>
          <w:rFonts w:hint="cs"/>
          <w:sz w:val="22"/>
          <w:szCs w:val="22"/>
          <w:rtl/>
        </w:rPr>
        <w:t>שיעור ההיטל</w:t>
      </w:r>
    </w:p>
    <w:p w14:paraId="00563377" w14:textId="77777777" w:rsidR="00CD6B3F" w:rsidRPr="00A22BFE" w:rsidRDefault="007A16FC" w:rsidP="007A16FC">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7A16FC">
        <w:rPr>
          <w:rStyle w:val="default"/>
          <w:rFonts w:hint="cs"/>
          <w:sz w:val="22"/>
          <w:szCs w:val="22"/>
          <w:rtl/>
        </w:rPr>
        <w:tab/>
      </w:r>
      <w:r w:rsidR="00CD6B3F" w:rsidRPr="00A22BFE">
        <w:rPr>
          <w:rStyle w:val="default"/>
          <w:rFonts w:hint="cs"/>
          <w:sz w:val="22"/>
          <w:szCs w:val="22"/>
          <w:u w:val="single"/>
          <w:rtl/>
        </w:rPr>
        <w:t>בשקלים חדשים</w:t>
      </w:r>
    </w:p>
    <w:p w14:paraId="060104FF" w14:textId="77777777" w:rsidR="00CD6B3F" w:rsidRPr="00A22BFE" w:rsidRDefault="00CD6B3F" w:rsidP="00A22BFE">
      <w:pPr>
        <w:pStyle w:val="P00"/>
        <w:tabs>
          <w:tab w:val="clear" w:pos="2381"/>
          <w:tab w:val="clear" w:pos="2835"/>
          <w:tab w:val="clear" w:pos="6259"/>
          <w:tab w:val="left" w:pos="6804"/>
        </w:tabs>
        <w:spacing w:before="72"/>
        <w:ind w:left="0" w:right="1134"/>
        <w:rPr>
          <w:rStyle w:val="default"/>
          <w:rFonts w:hint="cs"/>
          <w:rtl/>
        </w:rPr>
      </w:pPr>
      <w:r>
        <w:rPr>
          <w:rStyle w:val="default"/>
          <w:rFonts w:hint="cs"/>
          <w:rtl/>
        </w:rPr>
        <w:t>1.</w:t>
      </w:r>
      <w:r w:rsidR="00A22BFE">
        <w:rPr>
          <w:rStyle w:val="default"/>
          <w:rFonts w:hint="cs"/>
          <w:rtl/>
        </w:rPr>
        <w:tab/>
      </w:r>
      <w:r>
        <w:rPr>
          <w:rStyle w:val="default"/>
          <w:rFonts w:hint="cs"/>
          <w:rtl/>
        </w:rPr>
        <w:t>היטל ביוב</w:t>
      </w:r>
    </w:p>
    <w:p w14:paraId="702956EB" w14:textId="77777777" w:rsidR="00CD6B3F" w:rsidRDefault="00CD6B3F" w:rsidP="00A22BFE">
      <w:pPr>
        <w:pStyle w:val="P00"/>
        <w:tabs>
          <w:tab w:val="clear" w:pos="2381"/>
          <w:tab w:val="clear" w:pos="2835"/>
          <w:tab w:val="clear" w:pos="6259"/>
          <w:tab w:val="left" w:pos="6804"/>
        </w:tabs>
        <w:spacing w:before="72"/>
        <w:ind w:left="1021" w:right="2552" w:hanging="397"/>
        <w:jc w:val="left"/>
        <w:rPr>
          <w:rStyle w:val="default"/>
          <w:rFonts w:hint="cs"/>
          <w:rtl/>
        </w:rPr>
      </w:pPr>
      <w:r>
        <w:rPr>
          <w:rStyle w:val="default"/>
          <w:rFonts w:hint="cs"/>
          <w:rtl/>
        </w:rPr>
        <w:t>(1)</w:t>
      </w:r>
      <w:r>
        <w:rPr>
          <w:rStyle w:val="default"/>
          <w:rFonts w:hint="cs"/>
          <w:rtl/>
        </w:rPr>
        <w:tab/>
        <w:t>לכל מטר רבוע של קרקע (כולל קרקע שעליה עומד בנין), בכל האזורים</w:t>
      </w:r>
      <w:r w:rsidR="00A22BFE">
        <w:rPr>
          <w:rStyle w:val="default"/>
          <w:rFonts w:hint="cs"/>
          <w:rtl/>
        </w:rPr>
        <w:tab/>
      </w:r>
      <w:r>
        <w:rPr>
          <w:rStyle w:val="default"/>
          <w:rFonts w:hint="cs"/>
          <w:rtl/>
        </w:rPr>
        <w:tab/>
        <w:t>21.85</w:t>
      </w:r>
    </w:p>
    <w:p w14:paraId="7CF86AFE" w14:textId="77777777" w:rsidR="00CD6B3F" w:rsidRDefault="00CD6B3F" w:rsidP="00A22BFE">
      <w:pPr>
        <w:pStyle w:val="P00"/>
        <w:tabs>
          <w:tab w:val="clear" w:pos="2381"/>
          <w:tab w:val="clear" w:pos="2835"/>
          <w:tab w:val="clear" w:pos="6259"/>
          <w:tab w:val="left" w:pos="6804"/>
        </w:tabs>
        <w:spacing w:before="72"/>
        <w:ind w:left="1475" w:right="2552" w:hanging="851"/>
        <w:jc w:val="left"/>
        <w:rPr>
          <w:rStyle w:val="default"/>
          <w:rFonts w:hint="cs"/>
          <w:rtl/>
        </w:rPr>
      </w:pPr>
      <w:r>
        <w:rPr>
          <w:rStyle w:val="default"/>
          <w:rFonts w:hint="cs"/>
          <w:rtl/>
        </w:rPr>
        <w:t>(2)</w:t>
      </w:r>
      <w:r>
        <w:rPr>
          <w:rStyle w:val="default"/>
          <w:rFonts w:hint="cs"/>
          <w:rtl/>
        </w:rPr>
        <w:tab/>
        <w:t>(א)</w:t>
      </w:r>
      <w:r>
        <w:rPr>
          <w:rStyle w:val="default"/>
          <w:rFonts w:hint="cs"/>
          <w:rtl/>
        </w:rPr>
        <w:tab/>
        <w:t xml:space="preserve">לכך נכס, למעט מבנה תעשיה, לכל מטר רבוע של בנין או </w:t>
      </w:r>
      <w:r>
        <w:rPr>
          <w:rStyle w:val="default"/>
          <w:rtl/>
        </w:rPr>
        <w:br/>
      </w:r>
      <w:r>
        <w:rPr>
          <w:rStyle w:val="default"/>
          <w:rFonts w:hint="cs"/>
          <w:rtl/>
        </w:rPr>
        <w:t>תוספת לבנין קיים, בכל קומותיו של הבנין, לפי מידות חוץ</w:t>
      </w:r>
      <w:r>
        <w:rPr>
          <w:rStyle w:val="default"/>
          <w:rFonts w:hint="cs"/>
          <w:rtl/>
        </w:rPr>
        <w:tab/>
        <w:t>31.87</w:t>
      </w:r>
    </w:p>
    <w:p w14:paraId="612D8270" w14:textId="77777777" w:rsidR="00CD6B3F" w:rsidRDefault="00CD6B3F" w:rsidP="00A22BFE">
      <w:pPr>
        <w:pStyle w:val="P00"/>
        <w:tabs>
          <w:tab w:val="clear" w:pos="2381"/>
          <w:tab w:val="clear" w:pos="2835"/>
          <w:tab w:val="clear" w:pos="6259"/>
          <w:tab w:val="left" w:pos="6804"/>
        </w:tabs>
        <w:spacing w:before="72"/>
        <w:ind w:left="1475" w:right="2552" w:hanging="454"/>
        <w:jc w:val="left"/>
        <w:rPr>
          <w:rStyle w:val="default"/>
          <w:rFonts w:hint="cs"/>
          <w:rtl/>
        </w:rPr>
      </w:pPr>
      <w:r>
        <w:rPr>
          <w:rStyle w:val="default"/>
          <w:rFonts w:hint="cs"/>
          <w:rtl/>
        </w:rPr>
        <w:t>(ב)</w:t>
      </w:r>
      <w:r>
        <w:rPr>
          <w:rStyle w:val="default"/>
          <w:rFonts w:hint="cs"/>
          <w:rtl/>
        </w:rPr>
        <w:tab/>
        <w:t>למבנה תעשיה, לכל מטר מעוקב של בנין או תוספת לבנין קיים, בכל קומותיו של הבנין, לפי מידות חוץ</w:t>
      </w:r>
      <w:r>
        <w:rPr>
          <w:rStyle w:val="default"/>
          <w:rFonts w:hint="cs"/>
          <w:rtl/>
        </w:rPr>
        <w:tab/>
        <w:t>10.54</w:t>
      </w:r>
    </w:p>
    <w:p w14:paraId="29F1FFBF" w14:textId="77777777" w:rsidR="00CD6B3F" w:rsidRPr="00A22BFE" w:rsidRDefault="00A22BFE" w:rsidP="00A22BFE">
      <w:pPr>
        <w:pStyle w:val="P00"/>
        <w:tabs>
          <w:tab w:val="clear" w:pos="2381"/>
          <w:tab w:val="clear" w:pos="2835"/>
          <w:tab w:val="clear" w:pos="6259"/>
          <w:tab w:val="left" w:pos="6804"/>
        </w:tabs>
        <w:spacing w:before="72"/>
        <w:ind w:left="0" w:right="1134"/>
        <w:rPr>
          <w:rStyle w:val="default"/>
          <w:rFonts w:hint="cs"/>
          <w:rtl/>
        </w:rPr>
      </w:pPr>
      <w:r>
        <w:rPr>
          <w:rStyle w:val="default"/>
          <w:rFonts w:hint="cs"/>
          <w:rtl/>
        </w:rPr>
        <w:t>2.</w:t>
      </w:r>
      <w:r>
        <w:rPr>
          <w:rStyle w:val="default"/>
          <w:rFonts w:hint="cs"/>
          <w:rtl/>
        </w:rPr>
        <w:tab/>
      </w:r>
      <w:r w:rsidR="00CD6B3F">
        <w:rPr>
          <w:rStyle w:val="default"/>
          <w:rFonts w:hint="cs"/>
          <w:rtl/>
        </w:rPr>
        <w:t>אגרת ביוב</w:t>
      </w:r>
    </w:p>
    <w:p w14:paraId="43ECFBEF" w14:textId="77777777" w:rsidR="00CD6B3F" w:rsidRDefault="00CD6B3F" w:rsidP="00A22BFE">
      <w:pPr>
        <w:pStyle w:val="P00"/>
        <w:tabs>
          <w:tab w:val="clear" w:pos="2381"/>
          <w:tab w:val="clear" w:pos="2835"/>
          <w:tab w:val="clear" w:pos="6259"/>
          <w:tab w:val="left" w:pos="6804"/>
        </w:tabs>
        <w:spacing w:before="72"/>
        <w:ind w:left="1021" w:right="2552" w:hanging="397"/>
        <w:jc w:val="left"/>
        <w:rPr>
          <w:rStyle w:val="default"/>
          <w:rFonts w:hint="cs"/>
          <w:rtl/>
        </w:rPr>
      </w:pPr>
      <w:r w:rsidRPr="00A22BFE">
        <w:rPr>
          <w:rStyle w:val="default"/>
          <w:rtl/>
        </w:rPr>
        <w:pict w14:anchorId="735E90EE">
          <v:rect id="_x0000_s1058" style="position:absolute;left:0;text-align:left;margin-left:462pt;margin-top:-7.85pt;width:75.05pt;height:12.2pt;z-index:251664384" filled="f" stroked="f" strokecolor="lime" strokeweight=".25pt">
            <v:textbox inset="0,0,0,0">
              <w:txbxContent>
                <w:p w14:paraId="0C7324D0" w14:textId="77777777" w:rsidR="00CD6B3F" w:rsidRDefault="00A22BFE" w:rsidP="00A22BFE">
                  <w:pPr>
                    <w:spacing w:line="160" w:lineRule="exact"/>
                    <w:jc w:val="left"/>
                    <w:rPr>
                      <w:rFonts w:cs="Miriam" w:hint="cs"/>
                      <w:noProof/>
                      <w:sz w:val="18"/>
                      <w:szCs w:val="18"/>
                      <w:rtl/>
                    </w:rPr>
                  </w:pPr>
                  <w:r>
                    <w:rPr>
                      <w:rFonts w:cs="Miriam" w:hint="cs"/>
                      <w:sz w:val="18"/>
                      <w:szCs w:val="18"/>
                      <w:rtl/>
                    </w:rPr>
                    <w:t xml:space="preserve">ת"ט </w:t>
                  </w:r>
                  <w:r w:rsidR="00CD6B3F">
                    <w:rPr>
                      <w:rFonts w:cs="Miriam" w:hint="cs"/>
                      <w:sz w:val="18"/>
                      <w:szCs w:val="18"/>
                      <w:rtl/>
                    </w:rPr>
                    <w:t>תשנ"ו-1996</w:t>
                  </w:r>
                </w:p>
              </w:txbxContent>
            </v:textbox>
            <w10:anchorlock/>
          </v:rect>
        </w:pict>
      </w:r>
      <w:r>
        <w:rPr>
          <w:rStyle w:val="default"/>
          <w:rFonts w:hint="cs"/>
          <w:rtl/>
        </w:rPr>
        <w:t>(1)</w:t>
      </w:r>
      <w:r>
        <w:rPr>
          <w:rStyle w:val="default"/>
          <w:rFonts w:hint="cs"/>
          <w:rtl/>
        </w:rPr>
        <w:tab/>
        <w:t>לכל מ"ק של מים הנצרכים בנכס לצריכה כלשהי, למעט מים להשקיית</w:t>
      </w:r>
      <w:r w:rsidR="00A22BFE">
        <w:rPr>
          <w:rStyle w:val="default"/>
          <w:rFonts w:hint="cs"/>
          <w:rtl/>
        </w:rPr>
        <w:t xml:space="preserve"> </w:t>
      </w:r>
      <w:r>
        <w:rPr>
          <w:rStyle w:val="default"/>
          <w:rFonts w:hint="cs"/>
          <w:rtl/>
        </w:rPr>
        <w:t>גינות נוי מעובדות, שאינם נכנסים לרשת הביוב</w:t>
      </w:r>
      <w:r>
        <w:rPr>
          <w:rStyle w:val="default"/>
          <w:rFonts w:hint="cs"/>
          <w:rtl/>
        </w:rPr>
        <w:tab/>
        <w:t>0.53</w:t>
      </w:r>
    </w:p>
    <w:p w14:paraId="7589C67B" w14:textId="77777777" w:rsidR="00CD6B3F" w:rsidRDefault="00CD6B3F" w:rsidP="00A22BFE">
      <w:pPr>
        <w:pStyle w:val="P00"/>
        <w:spacing w:before="72"/>
        <w:ind w:left="0" w:right="1134"/>
        <w:rPr>
          <w:rStyle w:val="default"/>
          <w:rFonts w:hint="cs"/>
          <w:rtl/>
        </w:rPr>
      </w:pPr>
    </w:p>
    <w:p w14:paraId="4190418A" w14:textId="77777777" w:rsidR="00A22BFE" w:rsidRDefault="00A22BFE" w:rsidP="00A22BFE">
      <w:pPr>
        <w:pStyle w:val="P00"/>
        <w:spacing w:before="72"/>
        <w:ind w:left="0" w:right="1134"/>
        <w:rPr>
          <w:rStyle w:val="default"/>
          <w:rFonts w:hint="cs"/>
          <w:rtl/>
        </w:rPr>
      </w:pPr>
    </w:p>
    <w:p w14:paraId="562F117D" w14:textId="77777777" w:rsidR="00CD6B3F" w:rsidRPr="00A22BFE" w:rsidRDefault="00CD6B3F" w:rsidP="00A22BFE">
      <w:pPr>
        <w:pStyle w:val="sig-1"/>
        <w:widowControl/>
        <w:tabs>
          <w:tab w:val="clear" w:pos="851"/>
          <w:tab w:val="clear" w:pos="2835"/>
          <w:tab w:val="clear" w:pos="4820"/>
          <w:tab w:val="center" w:pos="5103"/>
        </w:tabs>
        <w:spacing w:before="72"/>
        <w:ind w:left="0" w:right="1134"/>
        <w:rPr>
          <w:rFonts w:cs="FrankRuehl" w:hint="cs"/>
          <w:sz w:val="26"/>
          <w:szCs w:val="26"/>
          <w:rtl/>
        </w:rPr>
      </w:pPr>
      <w:r w:rsidRPr="00A22BFE">
        <w:rPr>
          <w:rFonts w:cs="FrankRuehl" w:hint="cs"/>
          <w:sz w:val="26"/>
          <w:szCs w:val="26"/>
          <w:rtl/>
        </w:rPr>
        <w:t>כ"ב בטבת התשנ"ו (14 בינואר 1996)</w:t>
      </w:r>
      <w:r w:rsidRPr="00A22BFE">
        <w:rPr>
          <w:rFonts w:cs="FrankRuehl"/>
          <w:sz w:val="26"/>
          <w:szCs w:val="26"/>
          <w:rtl/>
        </w:rPr>
        <w:tab/>
      </w:r>
      <w:r w:rsidRPr="00A22BFE">
        <w:rPr>
          <w:rFonts w:cs="FrankRuehl" w:hint="cs"/>
          <w:sz w:val="26"/>
          <w:szCs w:val="26"/>
          <w:rtl/>
        </w:rPr>
        <w:t>גיורא לב</w:t>
      </w:r>
    </w:p>
    <w:p w14:paraId="66BED7C0" w14:textId="77777777" w:rsidR="00CD6B3F" w:rsidRPr="00A22BFE" w:rsidRDefault="00CD6B3F" w:rsidP="00A22BFE">
      <w:pPr>
        <w:pStyle w:val="sig-1"/>
        <w:widowControl/>
        <w:tabs>
          <w:tab w:val="clear" w:pos="851"/>
          <w:tab w:val="clear" w:pos="2835"/>
          <w:tab w:val="clear" w:pos="4820"/>
          <w:tab w:val="center" w:pos="5103"/>
        </w:tabs>
        <w:ind w:left="0" w:right="1134"/>
        <w:rPr>
          <w:rFonts w:cs="FrankRuehl" w:hint="cs"/>
          <w:sz w:val="22"/>
          <w:rtl/>
        </w:rPr>
      </w:pPr>
      <w:r w:rsidRPr="00A22BFE">
        <w:rPr>
          <w:rFonts w:cs="FrankRuehl" w:hint="cs"/>
          <w:sz w:val="22"/>
          <w:rtl/>
        </w:rPr>
        <w:tab/>
        <w:t>ראש עיריית פתח-תקוה</w:t>
      </w:r>
    </w:p>
    <w:p w14:paraId="4267DDCE" w14:textId="77777777" w:rsidR="00CD6B3F" w:rsidRPr="00A22BFE" w:rsidRDefault="00CD6B3F" w:rsidP="00A22BFE">
      <w:pPr>
        <w:pStyle w:val="P00"/>
        <w:spacing w:before="72"/>
        <w:ind w:left="0" w:right="1134"/>
        <w:rPr>
          <w:rStyle w:val="default"/>
          <w:rtl/>
        </w:rPr>
      </w:pPr>
    </w:p>
    <w:p w14:paraId="25B507BF" w14:textId="77777777" w:rsidR="00CD6B3F" w:rsidRPr="00A22BFE" w:rsidRDefault="00CD6B3F" w:rsidP="00A22BFE">
      <w:pPr>
        <w:pStyle w:val="P00"/>
        <w:spacing w:before="72"/>
        <w:ind w:left="0" w:right="1134"/>
        <w:rPr>
          <w:rStyle w:val="default"/>
          <w:rtl/>
        </w:rPr>
      </w:pPr>
    </w:p>
    <w:p w14:paraId="2CF6F10C" w14:textId="77777777" w:rsidR="00CD6B3F" w:rsidRPr="00A22BFE" w:rsidRDefault="00CD6B3F" w:rsidP="00A22BFE">
      <w:pPr>
        <w:pStyle w:val="P00"/>
        <w:spacing w:before="72"/>
        <w:ind w:left="0" w:right="1134"/>
        <w:rPr>
          <w:rStyle w:val="default"/>
          <w:rtl/>
        </w:rPr>
      </w:pPr>
    </w:p>
    <w:sectPr w:rsidR="00CD6B3F" w:rsidRPr="00A22BFE">
      <w:headerReference w:type="default" r:id="rId6"/>
      <w:footerReference w:type="even" r:id="rId7"/>
      <w:footerReference w:type="default" r:id="rId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1CA9" w14:textId="77777777" w:rsidR="0069183C" w:rsidRDefault="0069183C">
      <w:r>
        <w:separator/>
      </w:r>
    </w:p>
  </w:endnote>
  <w:endnote w:type="continuationSeparator" w:id="0">
    <w:p w14:paraId="036E6806" w14:textId="77777777" w:rsidR="0069183C" w:rsidRDefault="0069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E37F" w14:textId="77777777" w:rsidR="00CD6B3F" w:rsidRDefault="00CD6B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224977" w14:textId="77777777" w:rsidR="00CD6B3F" w:rsidRDefault="00CD6B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693B43" w14:textId="77777777" w:rsidR="00CD6B3F" w:rsidRDefault="00CD6B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BFE">
      <w:rPr>
        <w:rFonts w:cs="TopType Jerushalmi"/>
        <w:noProof/>
        <w:color w:val="000000"/>
        <w:sz w:val="14"/>
        <w:szCs w:val="14"/>
      </w:rPr>
      <w:t>D:\Yael\hakika\mekomi\mek_008_001.doc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4E75" w14:textId="77777777" w:rsidR="00CD6B3F" w:rsidRDefault="00CD6B3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08BB">
      <w:rPr>
        <w:rFonts w:hAnsi="FrankRuehl" w:cs="FrankRuehl"/>
        <w:noProof/>
        <w:sz w:val="24"/>
        <w:szCs w:val="24"/>
        <w:rtl/>
      </w:rPr>
      <w:t>2</w:t>
    </w:r>
    <w:r>
      <w:rPr>
        <w:rFonts w:hAnsi="FrankRuehl" w:cs="FrankRuehl"/>
        <w:sz w:val="24"/>
        <w:szCs w:val="24"/>
        <w:rtl/>
      </w:rPr>
      <w:fldChar w:fldCharType="end"/>
    </w:r>
  </w:p>
  <w:p w14:paraId="1CA6AD2E" w14:textId="77777777" w:rsidR="00CD6B3F" w:rsidRDefault="00CD6B3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4E8CE9" w14:textId="77777777" w:rsidR="00CD6B3F" w:rsidRDefault="00CD6B3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2BFE">
      <w:rPr>
        <w:rFonts w:cs="TopType Jerushalmi"/>
        <w:noProof/>
        <w:color w:val="000000"/>
        <w:sz w:val="14"/>
        <w:szCs w:val="14"/>
      </w:rPr>
      <w:t>D:\Yael\hakika\mekomi\mek_008_001.doc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FD24" w14:textId="77777777" w:rsidR="0069183C" w:rsidRDefault="0069183C" w:rsidP="00A22BFE">
      <w:pPr>
        <w:spacing w:before="60" w:line="240" w:lineRule="auto"/>
        <w:ind w:right="1134"/>
      </w:pPr>
      <w:r>
        <w:separator/>
      </w:r>
    </w:p>
  </w:footnote>
  <w:footnote w:type="continuationSeparator" w:id="0">
    <w:p w14:paraId="4C4C84BE" w14:textId="77777777" w:rsidR="0069183C" w:rsidRDefault="0069183C">
      <w:r>
        <w:continuationSeparator/>
      </w:r>
    </w:p>
  </w:footnote>
  <w:footnote w:id="1">
    <w:p w14:paraId="33FEDCA3" w14:textId="77777777" w:rsidR="00CD6B3F" w:rsidRDefault="00CD6B3F" w:rsidP="00A22B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sidR="00A22BFE">
        <w:rPr>
          <w:rFonts w:cs="FrankRuehl" w:hint="cs"/>
          <w:rtl/>
        </w:rPr>
        <w:t xml:space="preserve"> </w:t>
      </w:r>
      <w:r>
        <w:rPr>
          <w:rFonts w:cs="FrankRuehl"/>
          <w:rtl/>
        </w:rPr>
        <w:t>פ</w:t>
      </w:r>
      <w:r w:rsidR="00E908BB">
        <w:rPr>
          <w:rFonts w:cs="FrankRuehl" w:hint="cs"/>
          <w:rtl/>
        </w:rPr>
        <w:t>ורסם</w:t>
      </w:r>
      <w:r>
        <w:rPr>
          <w:rFonts w:cs="FrankRuehl" w:hint="cs"/>
          <w:rtl/>
        </w:rPr>
        <w:t xml:space="preserve"> </w:t>
      </w:r>
      <w:hyperlink r:id="rId1" w:history="1">
        <w:r>
          <w:rPr>
            <w:rStyle w:val="Hyperlink"/>
            <w:rFonts w:cs="FrankRuehl"/>
            <w:rtl/>
          </w:rPr>
          <w:t>ק"ת חש"ם תשנ"ו מס' 555</w:t>
        </w:r>
      </w:hyperlink>
      <w:r>
        <w:rPr>
          <w:rFonts w:cs="FrankRuehl" w:hint="cs"/>
          <w:rtl/>
        </w:rPr>
        <w:t xml:space="preserve"> </w:t>
      </w:r>
      <w:r w:rsidRPr="00A22BFE">
        <w:rPr>
          <w:rFonts w:cs="FrankRuehl" w:hint="cs"/>
          <w:sz w:val="24"/>
          <w:rtl/>
          <w:lang w:eastAsia="en-US"/>
        </w:rPr>
        <w:t>מיום</w:t>
      </w:r>
      <w:r>
        <w:rPr>
          <w:rFonts w:cs="FrankRuehl" w:hint="cs"/>
          <w:rtl/>
        </w:rPr>
        <w:t xml:space="preserve"> 2.5.1996 עמ' 358.</w:t>
      </w:r>
    </w:p>
    <w:p w14:paraId="53632D49" w14:textId="77777777" w:rsidR="00CD6B3F" w:rsidRDefault="00CD6B3F" w:rsidP="00A22B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rtl/>
          </w:rPr>
          <w:t>ק"ת חש"ם תשנ"ו מס' 561</w:t>
        </w:r>
      </w:hyperlink>
      <w:r>
        <w:rPr>
          <w:rFonts w:cs="FrankRuehl" w:hint="cs"/>
          <w:rtl/>
        </w:rPr>
        <w:t xml:space="preserve"> </w:t>
      </w:r>
      <w:r w:rsidRPr="00A22BFE">
        <w:rPr>
          <w:rFonts w:cs="FrankRuehl" w:hint="cs"/>
          <w:sz w:val="24"/>
          <w:rtl/>
          <w:lang w:eastAsia="en-US"/>
        </w:rPr>
        <w:t>מיום</w:t>
      </w:r>
      <w:r>
        <w:rPr>
          <w:rFonts w:cs="FrankRuehl" w:hint="cs"/>
          <w:rtl/>
        </w:rPr>
        <w:t xml:space="preserve"> 30.7.1996 עמ' 566.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BE28F" w14:textId="77777777" w:rsidR="00CD6B3F" w:rsidRDefault="00CD6B3F" w:rsidP="00A22BF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לפתח-תקוה (ביוב), תשנ"ו-1996</w:t>
    </w:r>
  </w:p>
  <w:p w14:paraId="401F5593" w14:textId="77777777" w:rsidR="00CD6B3F" w:rsidRDefault="00CD6B3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22C923" w14:textId="77777777" w:rsidR="00CD6B3F" w:rsidRDefault="00CD6B3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6B3F"/>
    <w:rsid w:val="0001012C"/>
    <w:rsid w:val="000747E3"/>
    <w:rsid w:val="000D4BAC"/>
    <w:rsid w:val="005D3A3B"/>
    <w:rsid w:val="0069183C"/>
    <w:rsid w:val="007A16FC"/>
    <w:rsid w:val="0095444C"/>
    <w:rsid w:val="00A22BFE"/>
    <w:rsid w:val="00BD7824"/>
    <w:rsid w:val="00CA6430"/>
    <w:rsid w:val="00CD6B3F"/>
    <w:rsid w:val="00E908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C1DA2C"/>
  <w15:chartTrackingRefBased/>
  <w15:docId w15:val="{39166D98-1D50-4AEF-9A09-D963E55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561.pdf" TargetMode="External"/><Relationship Id="rId1" Type="http://schemas.openxmlformats.org/officeDocument/2006/relationships/hyperlink" Target="http://www.nevo.co.il/Law_word/law07/mekomi-05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6380</Characters>
  <Application>Microsoft Office Word</Application>
  <DocSecurity>0</DocSecurity>
  <Lines>53</Lines>
  <Paragraphs>14</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7485</CharactersWithSpaces>
  <SharedDoc>false</SharedDoc>
  <HLinks>
    <vt:vector size="96" baseType="variant">
      <vt:variant>
        <vt:i4>5570569</vt:i4>
      </vt:variant>
      <vt:variant>
        <vt:i4>39</vt:i4>
      </vt:variant>
      <vt:variant>
        <vt:i4>0</vt:i4>
      </vt:variant>
      <vt:variant>
        <vt:i4>5</vt:i4>
      </vt:variant>
      <vt:variant>
        <vt:lpwstr/>
      </vt:variant>
      <vt:variant>
        <vt:lpwstr>med0</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Seif9</vt:lpwstr>
      </vt:variant>
      <vt:variant>
        <vt:i4>196634</vt:i4>
      </vt:variant>
      <vt:variant>
        <vt:i4>27</vt:i4>
      </vt:variant>
      <vt:variant>
        <vt:i4>0</vt:i4>
      </vt:variant>
      <vt:variant>
        <vt:i4>5</vt:i4>
      </vt:variant>
      <vt:variant>
        <vt:lpwstr/>
      </vt:variant>
      <vt:variant>
        <vt:lpwstr>Seif8</vt:lpwstr>
      </vt:variant>
      <vt:variant>
        <vt:i4>3342379</vt:i4>
      </vt:variant>
      <vt:variant>
        <vt:i4>24</vt:i4>
      </vt:variant>
      <vt:variant>
        <vt:i4>0</vt:i4>
      </vt:variant>
      <vt:variant>
        <vt:i4>5</vt:i4>
      </vt:variant>
      <vt:variant>
        <vt:lpwstr/>
      </vt:variant>
      <vt:variant>
        <vt:lpwstr>Seif10</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7929883</vt:i4>
      </vt:variant>
      <vt:variant>
        <vt:i4>3</vt:i4>
      </vt:variant>
      <vt:variant>
        <vt:i4>0</vt:i4>
      </vt:variant>
      <vt:variant>
        <vt:i4>5</vt:i4>
      </vt:variant>
      <vt:variant>
        <vt:lpwstr>http://www.nevo.co.il/Law_word/law07/mekomi-0561.pdf</vt:lpwstr>
      </vt:variant>
      <vt:variant>
        <vt:lpwstr/>
      </vt:variant>
      <vt:variant>
        <vt:i4>8192024</vt:i4>
      </vt:variant>
      <vt:variant>
        <vt:i4>0</vt:i4>
      </vt:variant>
      <vt:variant>
        <vt:i4>0</vt:i4>
      </vt:variant>
      <vt:variant>
        <vt:i4>5</vt:i4>
      </vt:variant>
      <vt:variant>
        <vt:lpwstr>http://www.nevo.co.il/Law_word/law07/mekomi-0555.pdf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לפתח-תקוה (ביוב), תשנ"ו-1996</vt:lpwstr>
  </property>
  <property fmtid="{D5CDD505-2E9C-101B-9397-08002B2CF9AE}" pid="5" name="LAWNUMBER">
    <vt:lpwstr>008_001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17X;37X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ביוב</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חוקי עזר</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