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39E" w:rsidRDefault="009D339E" w:rsidP="005B1380">
      <w:pPr>
        <w:pStyle w:val="big-header"/>
        <w:ind w:left="0" w:right="1134"/>
        <w:rPr>
          <w:rFonts w:cs="FrankRuehl"/>
          <w:sz w:val="32"/>
        </w:rPr>
      </w:pPr>
      <w:r>
        <w:rPr>
          <w:rFonts w:cs="FrankRuehl" w:hint="cs"/>
          <w:sz w:val="32"/>
          <w:rtl/>
        </w:rPr>
        <w:t>חוק עזר לראשון לציון (ביוב), תשנ"ה-1995</w:t>
      </w:r>
    </w:p>
    <w:p w:rsidR="00764042" w:rsidRPr="00764042" w:rsidRDefault="00764042" w:rsidP="00764042">
      <w:pPr>
        <w:spacing w:line="320" w:lineRule="auto"/>
        <w:jc w:val="left"/>
        <w:rPr>
          <w:rFonts w:cs="FrankRuehl"/>
          <w:szCs w:val="26"/>
          <w:rtl/>
        </w:rPr>
      </w:pPr>
    </w:p>
    <w:p w:rsidR="00764042" w:rsidRDefault="00764042" w:rsidP="00764042">
      <w:pPr>
        <w:spacing w:line="320" w:lineRule="auto"/>
        <w:jc w:val="left"/>
        <w:rPr>
          <w:rtl/>
        </w:rPr>
      </w:pPr>
    </w:p>
    <w:p w:rsidR="00764042" w:rsidRDefault="00764042" w:rsidP="00764042">
      <w:pPr>
        <w:spacing w:line="320" w:lineRule="auto"/>
        <w:jc w:val="left"/>
        <w:rPr>
          <w:rFonts w:cs="FrankRuehl"/>
          <w:szCs w:val="26"/>
          <w:rtl/>
        </w:rPr>
      </w:pPr>
      <w:r w:rsidRPr="00764042">
        <w:rPr>
          <w:rFonts w:cs="Miriam"/>
          <w:szCs w:val="22"/>
          <w:rtl/>
        </w:rPr>
        <w:t>רשויות ומשפט מנהלי</w:t>
      </w:r>
      <w:r w:rsidRPr="00764042">
        <w:rPr>
          <w:rFonts w:cs="FrankRuehl"/>
          <w:szCs w:val="26"/>
          <w:rtl/>
        </w:rPr>
        <w:t xml:space="preserve"> – רשויות מקומיות – ביוב</w:t>
      </w:r>
    </w:p>
    <w:p w:rsidR="00764042" w:rsidRPr="00764042" w:rsidRDefault="00764042" w:rsidP="00764042">
      <w:pPr>
        <w:spacing w:line="320" w:lineRule="auto"/>
        <w:jc w:val="left"/>
        <w:rPr>
          <w:rFonts w:cs="Miriam"/>
          <w:szCs w:val="22"/>
          <w:rtl/>
        </w:rPr>
      </w:pPr>
      <w:r w:rsidRPr="00764042">
        <w:rPr>
          <w:rFonts w:cs="Miriam"/>
          <w:szCs w:val="22"/>
          <w:rtl/>
        </w:rPr>
        <w:t>רשויות ומשפט מנהלי</w:t>
      </w:r>
      <w:r w:rsidRPr="00764042">
        <w:rPr>
          <w:rFonts w:cs="FrankRuehl"/>
          <w:szCs w:val="26"/>
          <w:rtl/>
        </w:rPr>
        <w:t xml:space="preserve"> – רשויות מקומיות – חוקי עזר</w:t>
      </w:r>
    </w:p>
    <w:p w:rsidR="009D339E" w:rsidRDefault="009D339E">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2</w:t>
            </w:r>
          </w:p>
        </w:tc>
        <w:tc>
          <w:tcPr>
            <w:tcW w:w="567" w:type="dxa"/>
          </w:tcPr>
          <w:p w:rsidR="009D339E" w:rsidRDefault="009D339E">
            <w:pPr>
              <w:spacing w:line="240" w:lineRule="auto"/>
              <w:jc w:val="left"/>
              <w:rPr>
                <w:rFonts w:cs="Frankruhel"/>
                <w:sz w:val="24"/>
              </w:rPr>
            </w:pPr>
            <w:hyperlink w:anchor="Seif0" w:tooltip="הגדרות"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הגדרות</w:t>
            </w:r>
          </w:p>
        </w:tc>
        <w:tc>
          <w:tcPr>
            <w:tcW w:w="1247" w:type="dxa"/>
          </w:tcPr>
          <w:p w:rsidR="009D339E" w:rsidRDefault="009D339E">
            <w:pPr>
              <w:spacing w:line="240" w:lineRule="auto"/>
              <w:jc w:val="left"/>
              <w:rPr>
                <w:rFonts w:cs="Frankruhel"/>
                <w:sz w:val="24"/>
              </w:rPr>
            </w:pPr>
            <w:r>
              <w:rPr>
                <w:rFonts w:cs="Frankruhel"/>
                <w:sz w:val="24"/>
                <w:rtl/>
              </w:rPr>
              <w:t xml:space="preserve">סעיף 1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3</w:t>
            </w:r>
          </w:p>
        </w:tc>
        <w:tc>
          <w:tcPr>
            <w:tcW w:w="567" w:type="dxa"/>
          </w:tcPr>
          <w:p w:rsidR="009D339E" w:rsidRDefault="009D339E">
            <w:pPr>
              <w:spacing w:line="240" w:lineRule="auto"/>
              <w:jc w:val="left"/>
              <w:rPr>
                <w:rFonts w:cs="Frankruhel"/>
                <w:sz w:val="24"/>
              </w:rPr>
            </w:pPr>
            <w:hyperlink w:anchor="Seif1" w:tooltip="היטל ביוב"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היטל ביוב</w:t>
            </w:r>
          </w:p>
        </w:tc>
        <w:tc>
          <w:tcPr>
            <w:tcW w:w="1247" w:type="dxa"/>
          </w:tcPr>
          <w:p w:rsidR="009D339E" w:rsidRDefault="009D339E">
            <w:pPr>
              <w:spacing w:line="240" w:lineRule="auto"/>
              <w:jc w:val="left"/>
              <w:rPr>
                <w:rFonts w:cs="Frankruhel"/>
                <w:sz w:val="24"/>
              </w:rPr>
            </w:pPr>
            <w:r>
              <w:rPr>
                <w:rFonts w:cs="Frankruhel"/>
                <w:sz w:val="24"/>
                <w:rtl/>
              </w:rPr>
              <w:t xml:space="preserve">סעיף 2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3</w:t>
            </w:r>
          </w:p>
        </w:tc>
        <w:tc>
          <w:tcPr>
            <w:tcW w:w="567" w:type="dxa"/>
          </w:tcPr>
          <w:p w:rsidR="009D339E" w:rsidRDefault="009D339E">
            <w:pPr>
              <w:spacing w:line="240" w:lineRule="auto"/>
              <w:jc w:val="left"/>
              <w:rPr>
                <w:rFonts w:cs="Frankruhel"/>
                <w:sz w:val="24"/>
              </w:rPr>
            </w:pPr>
            <w:hyperlink w:anchor="Seif2" w:tooltip="חישוב ההיטל לנכס"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חישוב ההיטל לנכס</w:t>
            </w:r>
          </w:p>
        </w:tc>
        <w:tc>
          <w:tcPr>
            <w:tcW w:w="1247" w:type="dxa"/>
          </w:tcPr>
          <w:p w:rsidR="009D339E" w:rsidRDefault="009D339E">
            <w:pPr>
              <w:spacing w:line="240" w:lineRule="auto"/>
              <w:jc w:val="left"/>
              <w:rPr>
                <w:rFonts w:cs="Frankruhel"/>
                <w:sz w:val="24"/>
              </w:rPr>
            </w:pPr>
            <w:r>
              <w:rPr>
                <w:rFonts w:cs="Frankruhel"/>
                <w:sz w:val="24"/>
                <w:rtl/>
              </w:rPr>
              <w:t xml:space="preserve">סעיף 3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4</w:t>
            </w:r>
          </w:p>
        </w:tc>
        <w:tc>
          <w:tcPr>
            <w:tcW w:w="567" w:type="dxa"/>
          </w:tcPr>
          <w:p w:rsidR="009D339E" w:rsidRDefault="009D339E">
            <w:pPr>
              <w:spacing w:line="240" w:lineRule="auto"/>
              <w:jc w:val="left"/>
              <w:rPr>
                <w:rFonts w:cs="Frankruhel"/>
                <w:sz w:val="24"/>
              </w:rPr>
            </w:pPr>
            <w:hyperlink w:anchor="Seif3" w:tooltip="חישוב ההיטל לנכס לתעשיה או לבית עסק"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חישוב ההיטל לנכס לתעשיה או לבית עסק</w:t>
            </w:r>
          </w:p>
        </w:tc>
        <w:tc>
          <w:tcPr>
            <w:tcW w:w="1247" w:type="dxa"/>
          </w:tcPr>
          <w:p w:rsidR="009D339E" w:rsidRDefault="009D339E">
            <w:pPr>
              <w:spacing w:line="240" w:lineRule="auto"/>
              <w:jc w:val="left"/>
              <w:rPr>
                <w:rFonts w:cs="Frankruhel"/>
                <w:sz w:val="24"/>
              </w:rPr>
            </w:pPr>
            <w:r>
              <w:rPr>
                <w:rFonts w:cs="Frankruhel"/>
                <w:sz w:val="24"/>
                <w:rtl/>
              </w:rPr>
              <w:t xml:space="preserve">סעיף 4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4</w:t>
            </w:r>
          </w:p>
        </w:tc>
        <w:tc>
          <w:tcPr>
            <w:tcW w:w="567" w:type="dxa"/>
          </w:tcPr>
          <w:p w:rsidR="009D339E" w:rsidRDefault="009D339E">
            <w:pPr>
              <w:spacing w:line="240" w:lineRule="auto"/>
              <w:jc w:val="left"/>
              <w:rPr>
                <w:rFonts w:cs="Frankruhel"/>
                <w:sz w:val="24"/>
              </w:rPr>
            </w:pPr>
            <w:hyperlink w:anchor="Seif4" w:tooltip="תוספת היטל  לנכס לתעשיה או לבית עסק"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תוספת היטל  לנכס לתעשיה או לבית עסק</w:t>
            </w:r>
          </w:p>
        </w:tc>
        <w:tc>
          <w:tcPr>
            <w:tcW w:w="1247" w:type="dxa"/>
          </w:tcPr>
          <w:p w:rsidR="009D339E" w:rsidRDefault="009D339E">
            <w:pPr>
              <w:spacing w:line="240" w:lineRule="auto"/>
              <w:jc w:val="left"/>
              <w:rPr>
                <w:rFonts w:cs="Frankruhel"/>
                <w:sz w:val="24"/>
              </w:rPr>
            </w:pPr>
            <w:r>
              <w:rPr>
                <w:rFonts w:cs="Frankruhel"/>
                <w:sz w:val="24"/>
                <w:rtl/>
              </w:rPr>
              <w:t xml:space="preserve">סעיף 5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4</w:t>
            </w:r>
          </w:p>
        </w:tc>
        <w:tc>
          <w:tcPr>
            <w:tcW w:w="567" w:type="dxa"/>
          </w:tcPr>
          <w:p w:rsidR="009D339E" w:rsidRDefault="009D339E">
            <w:pPr>
              <w:spacing w:line="240" w:lineRule="auto"/>
              <w:jc w:val="left"/>
              <w:rPr>
                <w:rFonts w:cs="Frankruhel"/>
                <w:sz w:val="24"/>
              </w:rPr>
            </w:pPr>
            <w:hyperlink w:anchor="Seif8" w:tooltip="פטור למטע"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פטור למטע</w:t>
            </w:r>
          </w:p>
        </w:tc>
        <w:tc>
          <w:tcPr>
            <w:tcW w:w="1247" w:type="dxa"/>
          </w:tcPr>
          <w:p w:rsidR="009D339E" w:rsidRDefault="009D339E">
            <w:pPr>
              <w:spacing w:line="240" w:lineRule="auto"/>
              <w:jc w:val="left"/>
              <w:rPr>
                <w:rFonts w:cs="Frankruhel"/>
                <w:sz w:val="24"/>
              </w:rPr>
            </w:pPr>
            <w:r>
              <w:rPr>
                <w:rFonts w:cs="Frankruhel"/>
                <w:sz w:val="24"/>
                <w:rtl/>
              </w:rPr>
              <w:t xml:space="preserve">סעיף 6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4</w:t>
            </w:r>
          </w:p>
        </w:tc>
        <w:tc>
          <w:tcPr>
            <w:tcW w:w="567" w:type="dxa"/>
          </w:tcPr>
          <w:p w:rsidR="009D339E" w:rsidRDefault="009D339E">
            <w:pPr>
              <w:spacing w:line="240" w:lineRule="auto"/>
              <w:jc w:val="left"/>
              <w:rPr>
                <w:rFonts w:cs="Frankruhel"/>
                <w:sz w:val="24"/>
              </w:rPr>
            </w:pPr>
            <w:hyperlink w:anchor="Seif9" w:tooltip="חיבור ביב פרטי"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חיבור ביב פרטי</w:t>
            </w:r>
          </w:p>
        </w:tc>
        <w:tc>
          <w:tcPr>
            <w:tcW w:w="1247" w:type="dxa"/>
          </w:tcPr>
          <w:p w:rsidR="009D339E" w:rsidRDefault="009D339E">
            <w:pPr>
              <w:spacing w:line="240" w:lineRule="auto"/>
              <w:jc w:val="left"/>
              <w:rPr>
                <w:rFonts w:cs="Frankruhel"/>
                <w:sz w:val="24"/>
              </w:rPr>
            </w:pPr>
            <w:r>
              <w:rPr>
                <w:rFonts w:cs="Frankruhel"/>
                <w:sz w:val="24"/>
                <w:rtl/>
              </w:rPr>
              <w:t xml:space="preserve">סעיף 7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5</w:t>
            </w:r>
          </w:p>
        </w:tc>
        <w:tc>
          <w:tcPr>
            <w:tcW w:w="567" w:type="dxa"/>
          </w:tcPr>
          <w:p w:rsidR="009D339E" w:rsidRDefault="009D339E">
            <w:pPr>
              <w:spacing w:line="240" w:lineRule="auto"/>
              <w:jc w:val="left"/>
              <w:rPr>
                <w:rFonts w:cs="Frankruhel"/>
                <w:sz w:val="24"/>
              </w:rPr>
            </w:pPr>
            <w:hyperlink w:anchor="Seif10" w:tooltip="התקנת ביב ציבורי"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התקנת ביב ציבורי</w:t>
            </w:r>
          </w:p>
        </w:tc>
        <w:tc>
          <w:tcPr>
            <w:tcW w:w="1247" w:type="dxa"/>
          </w:tcPr>
          <w:p w:rsidR="009D339E" w:rsidRDefault="009D339E">
            <w:pPr>
              <w:spacing w:line="240" w:lineRule="auto"/>
              <w:jc w:val="left"/>
              <w:rPr>
                <w:rFonts w:cs="Frankruhel"/>
                <w:sz w:val="24"/>
              </w:rPr>
            </w:pPr>
            <w:r>
              <w:rPr>
                <w:rFonts w:cs="Frankruhel"/>
                <w:sz w:val="24"/>
                <w:rtl/>
              </w:rPr>
              <w:t xml:space="preserve">סעיף 8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5</w:t>
            </w:r>
          </w:p>
        </w:tc>
        <w:tc>
          <w:tcPr>
            <w:tcW w:w="567" w:type="dxa"/>
          </w:tcPr>
          <w:p w:rsidR="009D339E" w:rsidRDefault="009D339E">
            <w:pPr>
              <w:spacing w:line="240" w:lineRule="auto"/>
              <w:jc w:val="left"/>
              <w:rPr>
                <w:rFonts w:cs="Frankruhel"/>
                <w:sz w:val="24"/>
              </w:rPr>
            </w:pPr>
            <w:hyperlink w:anchor="Seif11" w:tooltip="אגרת ביוב"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אגרת ביוב</w:t>
            </w:r>
          </w:p>
        </w:tc>
        <w:tc>
          <w:tcPr>
            <w:tcW w:w="1247" w:type="dxa"/>
          </w:tcPr>
          <w:p w:rsidR="009D339E" w:rsidRDefault="009D339E">
            <w:pPr>
              <w:spacing w:line="240" w:lineRule="auto"/>
              <w:jc w:val="left"/>
              <w:rPr>
                <w:rFonts w:cs="Frankruhel"/>
                <w:sz w:val="24"/>
              </w:rPr>
            </w:pPr>
            <w:r>
              <w:rPr>
                <w:rFonts w:cs="Frankruhel"/>
                <w:sz w:val="24"/>
                <w:rtl/>
              </w:rPr>
              <w:t xml:space="preserve">סעיף 9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5</w:t>
            </w:r>
          </w:p>
        </w:tc>
        <w:tc>
          <w:tcPr>
            <w:tcW w:w="567" w:type="dxa"/>
          </w:tcPr>
          <w:p w:rsidR="009D339E" w:rsidRDefault="009D339E">
            <w:pPr>
              <w:spacing w:line="240" w:lineRule="auto"/>
              <w:jc w:val="left"/>
              <w:rPr>
                <w:rFonts w:cs="Frankruhel"/>
                <w:sz w:val="24"/>
              </w:rPr>
            </w:pPr>
            <w:hyperlink w:anchor="Seif13" w:tooltip="מועד תשלום האגרה"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מועד תשלום האגרה</w:t>
            </w:r>
          </w:p>
        </w:tc>
        <w:tc>
          <w:tcPr>
            <w:tcW w:w="1247" w:type="dxa"/>
          </w:tcPr>
          <w:p w:rsidR="009D339E" w:rsidRDefault="009D339E">
            <w:pPr>
              <w:spacing w:line="240" w:lineRule="auto"/>
              <w:jc w:val="left"/>
              <w:rPr>
                <w:rFonts w:cs="Frankruhel"/>
                <w:sz w:val="24"/>
              </w:rPr>
            </w:pPr>
            <w:r>
              <w:rPr>
                <w:rFonts w:cs="Frankruhel"/>
                <w:sz w:val="24"/>
                <w:rtl/>
              </w:rPr>
              <w:t xml:space="preserve">סעיף 10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12" w:tooltip="סכום ההיטל או האגרה והודעה לחייב"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סכום ההיטל או האגרה והודעה לחייב</w:t>
            </w:r>
          </w:p>
        </w:tc>
        <w:tc>
          <w:tcPr>
            <w:tcW w:w="1247" w:type="dxa"/>
          </w:tcPr>
          <w:p w:rsidR="009D339E" w:rsidRDefault="009D339E">
            <w:pPr>
              <w:spacing w:line="240" w:lineRule="auto"/>
              <w:jc w:val="left"/>
              <w:rPr>
                <w:rFonts w:cs="Frankruhel"/>
                <w:sz w:val="24"/>
              </w:rPr>
            </w:pPr>
            <w:r>
              <w:rPr>
                <w:rFonts w:cs="Frankruhel"/>
                <w:sz w:val="24"/>
                <w:rtl/>
              </w:rPr>
              <w:t xml:space="preserve">סעיף 11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14" w:tooltip="תנאי למתן מסמך"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תנאי למתן מסמך</w:t>
            </w:r>
          </w:p>
        </w:tc>
        <w:tc>
          <w:tcPr>
            <w:tcW w:w="1247" w:type="dxa"/>
          </w:tcPr>
          <w:p w:rsidR="009D339E" w:rsidRDefault="009D339E">
            <w:pPr>
              <w:spacing w:line="240" w:lineRule="auto"/>
              <w:jc w:val="left"/>
              <w:rPr>
                <w:rFonts w:cs="Frankruhel"/>
                <w:sz w:val="24"/>
              </w:rPr>
            </w:pPr>
            <w:r>
              <w:rPr>
                <w:rFonts w:cs="Frankruhel"/>
                <w:sz w:val="24"/>
                <w:rtl/>
              </w:rPr>
              <w:t xml:space="preserve">סעיף 12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15" w:tooltip="פגיעה בביוב"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פגיעה בביוב</w:t>
            </w:r>
          </w:p>
        </w:tc>
        <w:tc>
          <w:tcPr>
            <w:tcW w:w="1247" w:type="dxa"/>
          </w:tcPr>
          <w:p w:rsidR="009D339E" w:rsidRDefault="009D339E">
            <w:pPr>
              <w:spacing w:line="240" w:lineRule="auto"/>
              <w:jc w:val="left"/>
              <w:rPr>
                <w:rFonts w:cs="Frankruhel"/>
                <w:sz w:val="24"/>
              </w:rPr>
            </w:pPr>
            <w:r>
              <w:rPr>
                <w:rFonts w:cs="Frankruhel"/>
                <w:sz w:val="24"/>
                <w:rtl/>
              </w:rPr>
              <w:t xml:space="preserve">סעיף 13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5" w:tooltip="מסירת הודעה"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מסירת הודעה</w:t>
            </w:r>
          </w:p>
        </w:tc>
        <w:tc>
          <w:tcPr>
            <w:tcW w:w="1247" w:type="dxa"/>
          </w:tcPr>
          <w:p w:rsidR="009D339E" w:rsidRDefault="009D339E">
            <w:pPr>
              <w:spacing w:line="240" w:lineRule="auto"/>
              <w:jc w:val="left"/>
              <w:rPr>
                <w:rFonts w:cs="Frankruhel"/>
                <w:sz w:val="24"/>
              </w:rPr>
            </w:pPr>
            <w:r>
              <w:rPr>
                <w:rFonts w:cs="Frankruhel"/>
                <w:sz w:val="24"/>
                <w:rtl/>
              </w:rPr>
              <w:t xml:space="preserve">סעיף 14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16" w:tooltip="תחולת חוק עזר להצמדה"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תחולת חוק עזר להצמדה</w:t>
            </w:r>
          </w:p>
        </w:tc>
        <w:tc>
          <w:tcPr>
            <w:tcW w:w="1247" w:type="dxa"/>
          </w:tcPr>
          <w:p w:rsidR="009D339E" w:rsidRDefault="009D339E">
            <w:pPr>
              <w:spacing w:line="240" w:lineRule="auto"/>
              <w:jc w:val="left"/>
              <w:rPr>
                <w:rFonts w:cs="Frankruhel"/>
                <w:sz w:val="24"/>
              </w:rPr>
            </w:pPr>
            <w:r>
              <w:rPr>
                <w:rFonts w:cs="Frankruhel"/>
                <w:sz w:val="24"/>
                <w:rtl/>
              </w:rPr>
              <w:t xml:space="preserve">סעיף 15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17" w:tooltip="הוראות שעה"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הוראות שעה</w:t>
            </w:r>
          </w:p>
        </w:tc>
        <w:tc>
          <w:tcPr>
            <w:tcW w:w="1247" w:type="dxa"/>
          </w:tcPr>
          <w:p w:rsidR="009D339E" w:rsidRDefault="009D339E">
            <w:pPr>
              <w:spacing w:line="240" w:lineRule="auto"/>
              <w:jc w:val="left"/>
              <w:rPr>
                <w:rFonts w:cs="Frankruhel"/>
                <w:sz w:val="24"/>
              </w:rPr>
            </w:pPr>
            <w:r>
              <w:rPr>
                <w:rFonts w:cs="Frankruhel"/>
                <w:sz w:val="24"/>
                <w:rtl/>
              </w:rPr>
              <w:t xml:space="preserve">סעיף 16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7" w:tooltip="שמירת דינים"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שמירת דינים</w:t>
            </w:r>
          </w:p>
        </w:tc>
        <w:tc>
          <w:tcPr>
            <w:tcW w:w="1247" w:type="dxa"/>
          </w:tcPr>
          <w:p w:rsidR="009D339E" w:rsidRDefault="009D339E">
            <w:pPr>
              <w:spacing w:line="240" w:lineRule="auto"/>
              <w:jc w:val="left"/>
              <w:rPr>
                <w:rFonts w:cs="Frankruhel"/>
                <w:sz w:val="24"/>
              </w:rPr>
            </w:pPr>
            <w:r>
              <w:rPr>
                <w:rFonts w:cs="Frankruhel"/>
                <w:sz w:val="24"/>
                <w:rtl/>
              </w:rPr>
              <w:t xml:space="preserve">סעיף 17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Seif6" w:tooltip="ביטול" w:history="1">
              <w:r>
                <w:rPr>
                  <w:rStyle w:val="Hyperlink"/>
                </w:rPr>
                <w:t>Go</w:t>
              </w:r>
            </w:hyperlink>
          </w:p>
        </w:tc>
        <w:tc>
          <w:tcPr>
            <w:tcW w:w="5669" w:type="dxa"/>
          </w:tcPr>
          <w:p w:rsidR="009D339E" w:rsidRDefault="009D339E">
            <w:pPr>
              <w:spacing w:line="240" w:lineRule="auto"/>
              <w:jc w:val="left"/>
              <w:rPr>
                <w:rFonts w:cs="Frankruhel"/>
                <w:sz w:val="24"/>
                <w:rtl/>
              </w:rPr>
            </w:pPr>
            <w:r>
              <w:rPr>
                <w:rFonts w:cs="Frankruhel"/>
                <w:sz w:val="24"/>
                <w:rtl/>
              </w:rPr>
              <w:t>ביטול</w:t>
            </w:r>
          </w:p>
        </w:tc>
        <w:tc>
          <w:tcPr>
            <w:tcW w:w="1247" w:type="dxa"/>
          </w:tcPr>
          <w:p w:rsidR="009D339E" w:rsidRDefault="009D339E">
            <w:pPr>
              <w:spacing w:line="240" w:lineRule="auto"/>
              <w:jc w:val="left"/>
              <w:rPr>
                <w:rFonts w:cs="Frankruhel"/>
                <w:sz w:val="24"/>
              </w:rPr>
            </w:pPr>
            <w:r>
              <w:rPr>
                <w:rFonts w:cs="Frankruhel"/>
                <w:sz w:val="24"/>
                <w:rtl/>
              </w:rPr>
              <w:t xml:space="preserve">סעיף 18 </w:t>
            </w:r>
          </w:p>
        </w:tc>
      </w:tr>
      <w:tr w:rsidR="009D339E">
        <w:tblPrEx>
          <w:tblCellMar>
            <w:top w:w="0" w:type="dxa"/>
            <w:bottom w:w="0" w:type="dxa"/>
          </w:tblCellMar>
        </w:tblPrEx>
        <w:trPr>
          <w:jc w:val="right"/>
        </w:trPr>
        <w:tc>
          <w:tcPr>
            <w:tcW w:w="850" w:type="dxa"/>
          </w:tcPr>
          <w:p w:rsidR="009D339E" w:rsidRDefault="009D339E">
            <w:pPr>
              <w:spacing w:line="240" w:lineRule="auto"/>
              <w:jc w:val="left"/>
              <w:rPr>
                <w:rFonts w:cs="Frankruhel"/>
                <w:sz w:val="24"/>
              </w:rPr>
            </w:pPr>
            <w:r>
              <w:rPr>
                <w:rFonts w:cs="Frankruhel"/>
                <w:sz w:val="24"/>
                <w:rtl/>
              </w:rPr>
              <w:t>6</w:t>
            </w:r>
          </w:p>
        </w:tc>
        <w:tc>
          <w:tcPr>
            <w:tcW w:w="567" w:type="dxa"/>
          </w:tcPr>
          <w:p w:rsidR="009D339E" w:rsidRDefault="009D339E">
            <w:pPr>
              <w:spacing w:line="240" w:lineRule="auto"/>
              <w:jc w:val="left"/>
              <w:rPr>
                <w:rFonts w:cs="Frankruhel"/>
                <w:sz w:val="24"/>
              </w:rPr>
            </w:pPr>
            <w:hyperlink w:anchor="med0" w:tooltip="תוספת" w:history="1">
              <w:r>
                <w:rPr>
                  <w:rStyle w:val="Hyperlink"/>
                </w:rPr>
                <w:t>Go</w:t>
              </w:r>
            </w:hyperlink>
          </w:p>
        </w:tc>
        <w:tc>
          <w:tcPr>
            <w:tcW w:w="5669" w:type="dxa"/>
          </w:tcPr>
          <w:p w:rsidR="009D339E" w:rsidRDefault="009D339E">
            <w:pPr>
              <w:spacing w:line="240" w:lineRule="auto"/>
              <w:jc w:val="left"/>
              <w:rPr>
                <w:rFonts w:cs="Frankruhel"/>
                <w:sz w:val="24"/>
              </w:rPr>
            </w:pPr>
            <w:r>
              <w:rPr>
                <w:rFonts w:cs="Frankruhel"/>
                <w:sz w:val="24"/>
                <w:rtl/>
              </w:rPr>
              <w:t>תוספת</w:t>
            </w:r>
          </w:p>
        </w:tc>
        <w:tc>
          <w:tcPr>
            <w:tcW w:w="1247" w:type="dxa"/>
          </w:tcPr>
          <w:p w:rsidR="009D339E" w:rsidRDefault="009D339E">
            <w:pPr>
              <w:spacing w:line="240" w:lineRule="auto"/>
              <w:jc w:val="left"/>
              <w:rPr>
                <w:rFonts w:cs="Frankruhel"/>
                <w:sz w:val="24"/>
              </w:rPr>
            </w:pPr>
          </w:p>
        </w:tc>
      </w:tr>
    </w:tbl>
    <w:p w:rsidR="009D339E" w:rsidRDefault="009D339E">
      <w:pPr>
        <w:pStyle w:val="big-header"/>
        <w:ind w:left="0" w:right="1134"/>
        <w:rPr>
          <w:rFonts w:cs="FrankRuehl"/>
          <w:sz w:val="32"/>
          <w:rtl/>
        </w:rPr>
      </w:pPr>
    </w:p>
    <w:p w:rsidR="009D339E" w:rsidRDefault="009D339E" w:rsidP="005B1380">
      <w:pPr>
        <w:pStyle w:val="big-header"/>
        <w:ind w:left="0" w:right="1134"/>
        <w:rPr>
          <w:rFonts w:cs="FrankRuehl"/>
          <w:sz w:val="32"/>
        </w:rPr>
      </w:pPr>
      <w:r>
        <w:rPr>
          <w:rtl/>
        </w:rPr>
        <w:br w:type="page"/>
      </w:r>
      <w:r>
        <w:rPr>
          <w:rFonts w:cs="FrankRuehl" w:hint="cs"/>
          <w:sz w:val="32"/>
          <w:rtl/>
        </w:rPr>
        <w:lastRenderedPageBreak/>
        <w:t>חוק עזר לראשון לציון (ביוב), תשנ"ה-1995</w:t>
      </w:r>
      <w:r>
        <w:rPr>
          <w:rStyle w:val="a6"/>
          <w:rFonts w:cs="FrankRuehl"/>
          <w:sz w:val="32"/>
          <w:rtl/>
        </w:rPr>
        <w:footnoteReference w:customMarkFollows="1" w:id="1"/>
        <w:t>*</w:t>
      </w:r>
    </w:p>
    <w:p w:rsidR="009D339E" w:rsidRDefault="005B1380">
      <w:pPr>
        <w:pStyle w:val="P00"/>
        <w:spacing w:before="72"/>
        <w:ind w:left="0" w:right="1134"/>
        <w:rPr>
          <w:rFonts w:cs="FrankRuehl" w:hint="cs"/>
          <w:rtl/>
          <w:lang w:val="he-IL"/>
        </w:rPr>
      </w:pPr>
      <w:r>
        <w:rPr>
          <w:rFonts w:cs="FrankRuehl" w:hint="cs"/>
          <w:rtl/>
        </w:rPr>
        <w:tab/>
      </w:r>
      <w:r w:rsidR="009D339E">
        <w:rPr>
          <w:rFonts w:cs="FrankRuehl"/>
          <w:rtl/>
          <w:lang w:val="he-IL"/>
        </w:rPr>
        <w:t>בתוקף סמכותה לפי סעיפים 250</w:t>
      </w:r>
      <w:r w:rsidR="009D339E">
        <w:rPr>
          <w:rFonts w:cs="FrankRuehl" w:hint="cs"/>
          <w:rtl/>
          <w:lang w:val="he-IL"/>
        </w:rPr>
        <w:t xml:space="preserve"> </w:t>
      </w:r>
      <w:r w:rsidR="009D339E">
        <w:rPr>
          <w:rFonts w:cs="FrankRuehl"/>
          <w:rtl/>
          <w:lang w:val="he-IL"/>
        </w:rPr>
        <w:t>ו</w:t>
      </w:r>
      <w:r w:rsidR="009D339E">
        <w:rPr>
          <w:rFonts w:ascii="Arial" w:hAnsi="Arial" w:cs="FrankRuehl"/>
          <w:b/>
          <w:position w:val="4"/>
          <w:szCs w:val="24"/>
          <w:rtl/>
          <w:lang w:val="he-IL"/>
        </w:rPr>
        <w:t>-</w:t>
      </w:r>
      <w:r w:rsidR="009D339E">
        <w:rPr>
          <w:rFonts w:cs="FrankRuehl"/>
          <w:rtl/>
          <w:lang w:val="he-IL"/>
        </w:rPr>
        <w:t>25</w:t>
      </w:r>
      <w:r w:rsidR="009D339E">
        <w:rPr>
          <w:rFonts w:cs="FrankRuehl" w:hint="cs"/>
          <w:rtl/>
          <w:lang w:val="he-IL"/>
        </w:rPr>
        <w:t>1</w:t>
      </w:r>
      <w:r w:rsidR="009D339E">
        <w:rPr>
          <w:rFonts w:cs="FrankRuehl"/>
          <w:rtl/>
          <w:lang w:val="he-IL"/>
        </w:rPr>
        <w:t xml:space="preserve"> לפקודת העיר</w:t>
      </w:r>
      <w:r w:rsidR="009D339E">
        <w:rPr>
          <w:rFonts w:cs="FrankRuehl" w:hint="cs"/>
          <w:rtl/>
          <w:lang w:val="he-IL"/>
        </w:rPr>
        <w:t>י</w:t>
      </w:r>
      <w:r w:rsidR="009D339E">
        <w:rPr>
          <w:rFonts w:cs="FrankRuehl"/>
          <w:rtl/>
          <w:lang w:val="he-IL"/>
        </w:rPr>
        <w:t>ות</w:t>
      </w:r>
      <w:r w:rsidR="009D339E">
        <w:rPr>
          <w:rFonts w:cs="FrankRuehl" w:hint="cs"/>
          <w:rtl/>
          <w:lang w:val="he-IL"/>
        </w:rPr>
        <w:t xml:space="preserve"> (להלן </w:t>
      </w:r>
      <w:r w:rsidR="009D339E">
        <w:rPr>
          <w:rFonts w:cs="FrankRuehl" w:hint="eastAsia"/>
          <w:rtl/>
          <w:lang w:val="he-IL"/>
        </w:rPr>
        <w:t>– הפקודה</w:t>
      </w:r>
      <w:r w:rsidR="009D339E">
        <w:rPr>
          <w:rFonts w:cs="FrankRuehl" w:hint="cs"/>
          <w:rtl/>
          <w:lang w:val="he-IL"/>
        </w:rPr>
        <w:t>), ו</w:t>
      </w:r>
      <w:r w:rsidR="009D339E">
        <w:rPr>
          <w:rFonts w:cs="FrankRuehl"/>
          <w:rtl/>
          <w:lang w:val="he-IL"/>
        </w:rPr>
        <w:t>חוק הרש</w:t>
      </w:r>
      <w:r w:rsidR="009D339E">
        <w:rPr>
          <w:rFonts w:cs="FrankRuehl" w:hint="cs"/>
          <w:rtl/>
          <w:lang w:val="he-IL"/>
        </w:rPr>
        <w:t>וי</w:t>
      </w:r>
      <w:r w:rsidR="009D339E">
        <w:rPr>
          <w:rFonts w:cs="FrankRuehl"/>
          <w:rtl/>
          <w:lang w:val="he-IL"/>
        </w:rPr>
        <w:t>ות המקומיות (</w:t>
      </w:r>
      <w:r w:rsidR="009D339E">
        <w:rPr>
          <w:rFonts w:cs="FrankRuehl" w:hint="cs"/>
          <w:rtl/>
          <w:lang w:val="he-IL"/>
        </w:rPr>
        <w:t xml:space="preserve">ביוב), התשכ"ב-1962 (להלן </w:t>
      </w:r>
      <w:r w:rsidR="009D339E">
        <w:rPr>
          <w:rFonts w:cs="FrankRuehl" w:hint="eastAsia"/>
          <w:rtl/>
          <w:lang w:val="he-IL"/>
        </w:rPr>
        <w:t>– החוק</w:t>
      </w:r>
      <w:r w:rsidR="009D339E">
        <w:rPr>
          <w:rFonts w:cs="FrankRuehl" w:hint="cs"/>
          <w:rtl/>
          <w:lang w:val="he-IL"/>
        </w:rPr>
        <w:t>),</w:t>
      </w:r>
      <w:r w:rsidR="009D339E">
        <w:rPr>
          <w:rFonts w:cs="FrankRuehl"/>
          <w:rtl/>
          <w:lang w:val="he-IL"/>
        </w:rPr>
        <w:t xml:space="preserve"> מתקינה מועצת עי</w:t>
      </w:r>
      <w:r w:rsidR="009D339E">
        <w:rPr>
          <w:rFonts w:cs="FrankRuehl" w:hint="cs"/>
          <w:rtl/>
          <w:lang w:val="he-IL"/>
        </w:rPr>
        <w:t>רי</w:t>
      </w:r>
      <w:r w:rsidR="009D339E">
        <w:rPr>
          <w:rFonts w:cs="FrankRuehl"/>
          <w:rtl/>
          <w:lang w:val="he-IL"/>
        </w:rPr>
        <w:t xml:space="preserve">ית </w:t>
      </w:r>
      <w:r w:rsidR="009D339E">
        <w:rPr>
          <w:rFonts w:cs="FrankRuehl" w:hint="cs"/>
          <w:rtl/>
          <w:lang w:val="he-IL"/>
        </w:rPr>
        <w:t>ראשון-לציון</w:t>
      </w:r>
      <w:r w:rsidR="009D339E">
        <w:rPr>
          <w:rFonts w:cs="FrankRuehl"/>
          <w:rtl/>
          <w:lang w:val="he-IL"/>
        </w:rPr>
        <w:t xml:space="preserve"> חוק עזר</w:t>
      </w:r>
      <w:r w:rsidR="009D339E">
        <w:rPr>
          <w:rFonts w:cs="FrankRuehl" w:hint="cs"/>
          <w:rtl/>
          <w:lang w:val="he-IL"/>
        </w:rPr>
        <w:t xml:space="preserve"> זה:</w:t>
      </w:r>
    </w:p>
    <w:p w:rsidR="009D339E" w:rsidRDefault="009D339E">
      <w:pPr>
        <w:pStyle w:val="P00"/>
        <w:spacing w:before="72"/>
        <w:ind w:left="0" w:right="1134"/>
        <w:rPr>
          <w:rStyle w:val="default"/>
          <w:rFonts w:hint="cs"/>
          <w:rtl/>
        </w:rPr>
      </w:pPr>
      <w:bookmarkStart w:id="0" w:name="Seif0"/>
      <w:bookmarkEnd w:id="0"/>
      <w:r>
        <w:rPr>
          <w:lang w:val="he-IL"/>
        </w:rPr>
        <w:pict>
          <v:rect id="_x0000_s1026" style="position:absolute;left:0;text-align:left;margin-left:464.5pt;margin-top:8.05pt;width:75.05pt;height:15pt;z-index:251642880" o:allowincell="f" filled="f" stroked="f" strokecolor="lime" strokeweight=".25pt">
            <v:textbox style="mso-next-textbox:#_x0000_s1026" inset="0,0,0,0">
              <w:txbxContent>
                <w:p w:rsidR="009D339E" w:rsidRDefault="009D339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9D339E" w:rsidRDefault="009D339E">
      <w:pPr>
        <w:pStyle w:val="P00"/>
        <w:spacing w:before="72"/>
        <w:ind w:left="0" w:right="1134"/>
        <w:rPr>
          <w:rFonts w:cs="FrankRuehl" w:hint="cs"/>
          <w:rtl/>
          <w:lang w:eastAsia="en-US"/>
        </w:rPr>
      </w:pPr>
      <w:r>
        <w:rPr>
          <w:rFonts w:cs="FrankRuehl" w:hint="cs"/>
          <w:rtl/>
          <w:lang w:eastAsia="en-US"/>
        </w:rPr>
        <w:tab/>
        <w:t xml:space="preserve">"אגרת ביוב" או "אגרה" </w:t>
      </w:r>
      <w:r>
        <w:rPr>
          <w:rFonts w:cs="FrankRuehl" w:hint="eastAsia"/>
          <w:rtl/>
          <w:lang w:eastAsia="en-US"/>
        </w:rPr>
        <w:t>– אגרה המוטלת לסיכוי הוצאות החזקת ביוב כאמור בסעיף 37 לחוק</w:t>
      </w:r>
      <w:r>
        <w:rPr>
          <w:rFonts w:cs="FrankRuehl" w:hint="cs"/>
          <w:rtl/>
          <w:lang w:eastAsia="en-US"/>
        </w:rPr>
        <w:t>"</w:t>
      </w:r>
    </w:p>
    <w:p w:rsidR="009D339E" w:rsidRDefault="009D339E">
      <w:pPr>
        <w:pStyle w:val="P00"/>
        <w:spacing w:before="72"/>
        <w:ind w:left="0" w:right="1134"/>
        <w:rPr>
          <w:rFonts w:cs="FrankRuehl" w:hint="cs"/>
          <w:rtl/>
          <w:lang w:eastAsia="en-US"/>
        </w:rPr>
      </w:pPr>
      <w:r>
        <w:rPr>
          <w:rFonts w:cs="FrankRuehl" w:hint="cs"/>
          <w:rtl/>
          <w:lang w:eastAsia="en-US"/>
        </w:rPr>
        <w:tab/>
        <w:t xml:space="preserve">"אדמת מטע" </w:t>
      </w:r>
      <w:r>
        <w:rPr>
          <w:rFonts w:cs="FrankRuehl" w:hint="eastAsia"/>
          <w:rtl/>
          <w:lang w:eastAsia="en-US"/>
        </w:rPr>
        <w:t xml:space="preserve">– קרקע </w:t>
      </w:r>
      <w:r>
        <w:rPr>
          <w:rFonts w:cs="FrankRuehl" w:hint="cs"/>
          <w:rtl/>
          <w:lang w:eastAsia="en-US"/>
        </w:rPr>
        <w:t>בשטח רצוף של 3 דונמים לפחות, נטועה עצי פרי, ומעובדת עיבוד חקלאי;</w:t>
      </w:r>
    </w:p>
    <w:p w:rsidR="009D339E" w:rsidRDefault="009D339E">
      <w:pPr>
        <w:pStyle w:val="P00"/>
        <w:spacing w:before="72"/>
        <w:ind w:left="0" w:right="1134"/>
        <w:rPr>
          <w:rFonts w:cs="FrankRuehl" w:hint="cs"/>
          <w:rtl/>
          <w:lang w:eastAsia="en-US"/>
        </w:rPr>
      </w:pPr>
      <w:r>
        <w:rPr>
          <w:rFonts w:cs="FrankRuehl" w:hint="cs"/>
          <w:rtl/>
          <w:lang w:eastAsia="en-US"/>
        </w:rPr>
        <w:tab/>
      </w:r>
      <w:r>
        <w:rPr>
          <w:rFonts w:cs="FrankRuehl"/>
          <w:rtl/>
          <w:lang w:eastAsia="en-US"/>
        </w:rPr>
        <w:t>"ביוב"</w:t>
      </w:r>
      <w:r>
        <w:rPr>
          <w:rFonts w:cs="FrankRuehl" w:hint="cs"/>
          <w:rtl/>
          <w:lang w:eastAsia="en-US"/>
        </w:rPr>
        <w:t xml:space="preserve">, "ביב פרטי", "ביב ציבורי", "ביב מאסף", "נכס", "בעל", "מחזיק" של נכס </w:t>
      </w:r>
      <w:r>
        <w:rPr>
          <w:rFonts w:cs="FrankRuehl" w:hint="eastAsia"/>
          <w:rtl/>
          <w:lang w:eastAsia="en-US"/>
        </w:rPr>
        <w:t>– כהגדרתם בסעיף 1 לחוק</w:t>
      </w:r>
      <w:r>
        <w:rPr>
          <w:rFonts w:cs="FrankRuehl"/>
          <w:rtl/>
          <w:lang w:eastAsia="en-US"/>
        </w:rPr>
        <w:t>;</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"בנין" </w:t>
      </w:r>
      <w:r>
        <w:rPr>
          <w:rFonts w:cs="FrankRuehl" w:hint="eastAsia"/>
          <w:rtl/>
          <w:lang w:eastAsia="en-US"/>
        </w:rPr>
        <w:t>– כל מבנה בתחום שטח השיפוט של העיריה, בין שהוא ארעי ובין שהוא קבוע, בין שבנייתו הושלמה ובין אם לאו, הבנוי אבן, בטון, טיט, ברזל, עץ או כל חומר אחר, לרבות כל חלק של מבנה כאמור וכל דבר המחובר אליו חיבור קבע;</w:t>
      </w:r>
    </w:p>
    <w:p w:rsidR="009D339E" w:rsidRDefault="009D339E">
      <w:pPr>
        <w:pStyle w:val="P00"/>
        <w:spacing w:before="72"/>
        <w:ind w:left="0" w:right="1134"/>
        <w:rPr>
          <w:rFonts w:cs="FrankRuehl" w:hint="cs"/>
          <w:rtl/>
          <w:lang w:eastAsia="en-US"/>
        </w:rPr>
      </w:pPr>
      <w:r>
        <w:rPr>
          <w:rFonts w:cs="FrankRuehl" w:hint="cs"/>
          <w:rtl/>
          <w:lang w:eastAsia="en-US"/>
        </w:rPr>
        <w:tab/>
        <w:t xml:space="preserve">"היטל ביוב" או "היטל" </w:t>
      </w:r>
      <w:r>
        <w:rPr>
          <w:rFonts w:cs="FrankRuehl" w:hint="eastAsia"/>
          <w:rtl/>
          <w:lang w:eastAsia="en-US"/>
        </w:rPr>
        <w:t>– היטל</w:t>
      </w:r>
      <w:r>
        <w:rPr>
          <w:rFonts w:cs="FrankRuehl" w:hint="cs"/>
          <w:rtl/>
          <w:lang w:eastAsia="en-US"/>
        </w:rPr>
        <w:t xml:space="preserve"> המוטל לכיסוי הוצאות התקנת ביוב או קנייתו כאמור בסעיף 17 לחוק;</w:t>
      </w:r>
    </w:p>
    <w:p w:rsidR="009D339E" w:rsidRDefault="009D339E">
      <w:pPr>
        <w:pStyle w:val="P00"/>
        <w:spacing w:before="72"/>
        <w:ind w:left="0" w:right="1134"/>
        <w:rPr>
          <w:rFonts w:cs="FrankRuehl" w:hint="cs"/>
          <w:rtl/>
          <w:lang w:eastAsia="en-US"/>
        </w:rPr>
      </w:pPr>
      <w:r>
        <w:rPr>
          <w:rFonts w:cs="FrankRuehl" w:hint="cs"/>
          <w:rtl/>
          <w:lang w:eastAsia="en-US"/>
        </w:rPr>
        <w:tab/>
        <w:t xml:space="preserve">"היתר בניה", "סטיה מהיתר", "שימוש חורג", "הקלה", "תעודת גמר למבנה" </w:t>
      </w:r>
      <w:r>
        <w:rPr>
          <w:rFonts w:cs="FrankRuehl" w:hint="eastAsia"/>
          <w:rtl/>
          <w:lang w:eastAsia="en-US"/>
        </w:rPr>
        <w:t>– כמשמעותם בחוק התכנון והבניה, התשכ</w:t>
      </w:r>
      <w:r>
        <w:rPr>
          <w:rFonts w:cs="FrankRuehl" w:hint="cs"/>
          <w:rtl/>
          <w:lang w:eastAsia="en-US"/>
        </w:rPr>
        <w:t xml:space="preserve">"ה-1965, והתקנות שהותקנו מכוחו (להלן </w:t>
      </w:r>
      <w:r>
        <w:rPr>
          <w:rFonts w:cs="FrankRuehl" w:hint="eastAsia"/>
          <w:rtl/>
          <w:lang w:eastAsia="en-US"/>
        </w:rPr>
        <w:t>– חיקוקי בניה</w:t>
      </w:r>
      <w:r>
        <w:rPr>
          <w:rFonts w:cs="FrankRuehl" w:hint="cs"/>
          <w:rtl/>
          <w:lang w:eastAsia="en-US"/>
        </w:rPr>
        <w:t>);</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"המועצה" </w:t>
      </w:r>
      <w:r>
        <w:rPr>
          <w:rFonts w:cs="FrankRuehl" w:hint="eastAsia"/>
          <w:rtl/>
          <w:lang w:eastAsia="en-US"/>
        </w:rPr>
        <w:t>– מועצת העיריה, ולגבי תאגיד מטעם העיריה – מועצת המנהלים של התאגיד;</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"המנהל" </w:t>
      </w:r>
      <w:r>
        <w:rPr>
          <w:rFonts w:cs="FrankRuehl" w:hint="eastAsia"/>
          <w:rtl/>
          <w:lang w:eastAsia="en-US"/>
        </w:rPr>
        <w:t>– אדם שמינתה העיריה למלא תפקידים ולהפעיל סמכויות לענין הוראות חוק עזר זה, כולן או מקצתן;</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"העיריה" </w:t>
      </w:r>
      <w:r>
        <w:rPr>
          <w:rFonts w:cs="FrankRuehl" w:hint="eastAsia"/>
          <w:rtl/>
          <w:lang w:eastAsia="en-US"/>
        </w:rPr>
        <w:t>– עיריית ראשון לציון או תאגיד מטעמה, שהעיריה העניקה לו בכתב מסמכויותיה לפי חוק עזר זה, כולן או מקצתן;</w:t>
      </w:r>
    </w:p>
    <w:p w:rsidR="009D339E" w:rsidRDefault="009D339E">
      <w:pPr>
        <w:pStyle w:val="P00"/>
        <w:spacing w:before="72"/>
        <w:ind w:left="0" w:right="1134"/>
        <w:rPr>
          <w:rFonts w:cs="FrankRuehl" w:hint="cs"/>
          <w:rtl/>
          <w:lang w:eastAsia="en-US"/>
        </w:rPr>
      </w:pPr>
      <w:r>
        <w:rPr>
          <w:rFonts w:cs="FrankRuehl" w:hint="cs"/>
          <w:rtl/>
          <w:lang w:eastAsia="en-US"/>
        </w:rPr>
        <w:tab/>
        <w:t xml:space="preserve">"זכויות ביוב בסיסיות" </w:t>
      </w:r>
      <w:r>
        <w:rPr>
          <w:rFonts w:cs="FrankRuehl" w:hint="eastAsia"/>
          <w:rtl/>
          <w:lang w:eastAsia="en-US"/>
        </w:rPr>
        <w:t xml:space="preserve">– כמות שופכין שנתית, המוזרמת מנכס לתעשיה, </w:t>
      </w:r>
      <w:r>
        <w:rPr>
          <w:rFonts w:cs="FrankRuehl" w:hint="cs"/>
          <w:rtl/>
          <w:lang w:eastAsia="en-US"/>
        </w:rPr>
        <w:t>בשיעור של 1.46 מ"ק לכל מ"ר משטח הקרקע של אותו נכס, לרבות שטח הקרקע שעליו ניתב בנין;</w:t>
      </w:r>
    </w:p>
    <w:p w:rsidR="009D339E" w:rsidRDefault="009D339E">
      <w:pPr>
        <w:pStyle w:val="P00"/>
        <w:spacing w:before="72"/>
        <w:ind w:left="0" w:right="1134"/>
        <w:rPr>
          <w:rFonts w:cs="FrankRuehl" w:hint="cs"/>
          <w:rtl/>
          <w:lang w:eastAsia="en-US"/>
        </w:rPr>
      </w:pPr>
      <w:r>
        <w:rPr>
          <w:rFonts w:cs="FrankRuehl" w:hint="cs"/>
          <w:rtl/>
          <w:lang w:eastAsia="en-US"/>
        </w:rPr>
        <w:tab/>
        <w:t xml:space="preserve">"זכויות ביוב עודפות" </w:t>
      </w:r>
      <w:r>
        <w:rPr>
          <w:rFonts w:cs="FrankRuehl" w:hint="eastAsia"/>
          <w:rtl/>
          <w:lang w:eastAsia="en-US"/>
        </w:rPr>
        <w:t>– כמות השופכין השנתית המוזרמת מנכס לתעשיה, בניכוי זכויות הביוב הבסיסיות של הנכס או זכויות ביו</w:t>
      </w:r>
      <w:r>
        <w:rPr>
          <w:rFonts w:cs="FrankRuehl" w:hint="cs"/>
          <w:rtl/>
          <w:lang w:eastAsia="en-US"/>
        </w:rPr>
        <w:t>ב שלו נרכשו בעבר, לפי הכמות הגדולה מבניהן;</w:t>
      </w:r>
    </w:p>
    <w:p w:rsidR="009D339E" w:rsidRDefault="009D339E">
      <w:pPr>
        <w:pStyle w:val="P00"/>
        <w:spacing w:before="72"/>
        <w:ind w:left="0" w:right="1134"/>
        <w:rPr>
          <w:rFonts w:cs="FrankRuehl" w:hint="cs"/>
          <w:rtl/>
          <w:lang w:eastAsia="en-US"/>
        </w:rPr>
      </w:pPr>
      <w:r>
        <w:rPr>
          <w:rFonts w:cs="FrankRuehl" w:hint="cs"/>
          <w:rtl/>
          <w:lang w:eastAsia="en-US"/>
        </w:rPr>
        <w:tab/>
        <w:t xml:space="preserve">"זכויות ביוב שנרכשו בעבר" </w:t>
      </w:r>
      <w:r>
        <w:rPr>
          <w:rFonts w:cs="FrankRuehl" w:hint="eastAsia"/>
          <w:rtl/>
          <w:lang w:eastAsia="en-US"/>
        </w:rPr>
        <w:t>– כמות שופכין שנתית אחרונה שהוזרמה מנכס לתעשיה, שבעדה שולמה תוספת היטל;</w:t>
      </w:r>
      <w:r>
        <w:rPr>
          <w:rFonts w:cs="FrankRuehl" w:hint="cs"/>
          <w:rtl/>
          <w:lang w:eastAsia="en-US"/>
        </w:rPr>
        <w:tab/>
      </w:r>
    </w:p>
    <w:p w:rsidR="009D339E" w:rsidRDefault="009D339E">
      <w:pPr>
        <w:pStyle w:val="P00"/>
        <w:spacing w:before="72"/>
        <w:ind w:left="0" w:right="1134"/>
        <w:rPr>
          <w:rFonts w:cs="FrankRuehl" w:hint="cs"/>
          <w:rtl/>
          <w:lang w:eastAsia="en-US"/>
        </w:rPr>
      </w:pPr>
      <w:r>
        <w:rPr>
          <w:rFonts w:cs="FrankRuehl"/>
          <w:rtl/>
          <w:lang w:val="he-IL"/>
        </w:rPr>
        <w:pict>
          <v:rect id="_x0000_s1079" style="position:absolute;left:0;text-align:left;margin-left:464.35pt;margin-top:7.1pt;width:75.05pt;height:16pt;z-index:251664384" filled="f" stroked="f" strokecolor="lime" strokeweight=".25pt">
            <v:textbox style="mso-next-textbox:#_x0000_s1079"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תש"ס-1999</w:t>
                  </w:r>
                </w:p>
              </w:txbxContent>
            </v:textbox>
            <w10:anchorlock/>
          </v:rect>
        </w:pict>
      </w:r>
      <w:r>
        <w:rPr>
          <w:rFonts w:cs="FrankRuehl" w:hint="cs"/>
          <w:rtl/>
          <w:lang w:eastAsia="en-US"/>
        </w:rPr>
        <w:tab/>
        <w:t xml:space="preserve">"יציע, מרפסת, מרתף, עליית גג" </w:t>
      </w:r>
      <w:r>
        <w:rPr>
          <w:rFonts w:cs="FrankRuehl" w:hint="eastAsia"/>
          <w:rtl/>
          <w:lang w:eastAsia="en-US"/>
        </w:rPr>
        <w:t xml:space="preserve">– כמשמעותם בפרט 1.00.1 לסימן א' לתוספת השלישית לתקנות התכנון והבניה </w:t>
      </w:r>
      <w:r>
        <w:rPr>
          <w:rFonts w:cs="FrankRuehl" w:hint="cs"/>
          <w:rtl/>
          <w:lang w:eastAsia="en-US"/>
        </w:rPr>
        <w:t xml:space="preserve">(בקשה להיתר, תנאיו ואגרות), התש"ל-1970 (להלן </w:t>
      </w:r>
      <w:r>
        <w:rPr>
          <w:rFonts w:cs="FrankRuehl" w:hint="eastAsia"/>
          <w:rtl/>
          <w:lang w:eastAsia="en-US"/>
        </w:rPr>
        <w:t>– התקנות</w:t>
      </w:r>
      <w:r>
        <w:rPr>
          <w:rFonts w:cs="FrankRuehl" w:hint="cs"/>
          <w:rtl/>
          <w:lang w:eastAsia="en-US"/>
        </w:rPr>
        <w:t>);</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"כמות שופכין שנתית" </w:t>
      </w:r>
      <w:r>
        <w:rPr>
          <w:rFonts w:cs="FrankRuehl" w:hint="eastAsia"/>
          <w:rtl/>
          <w:lang w:eastAsia="en-US"/>
        </w:rPr>
        <w:t xml:space="preserve">– כמות שופכין המוזרמת מנכס בכל שנה, מ-1 בינואר עד 31 </w:t>
      </w:r>
      <w:r>
        <w:rPr>
          <w:rFonts w:cs="FrankRuehl" w:hint="eastAsia"/>
          <w:rtl/>
          <w:lang w:eastAsia="en-US"/>
        </w:rPr>
        <w:lastRenderedPageBreak/>
        <w:t>בדצמבר, ללא קשר לפעילות בנכס אותה תקופה או לחילופי בעלים בנכס; חישוב הכמות האמורה ייעשה, בהעדר ראיה לסתור, לפי כמות המים שנצרכה בנכס באותה תקופה, כפי שנרשמה ונמדדה במד המים הקבוע בנכס;</w:t>
      </w:r>
    </w:p>
    <w:p w:rsidR="009D339E" w:rsidRDefault="009D339E">
      <w:pPr>
        <w:pStyle w:val="P00"/>
        <w:spacing w:before="72"/>
        <w:ind w:left="0" w:right="1134"/>
        <w:rPr>
          <w:rFonts w:cs="FrankRuehl" w:hint="cs"/>
          <w:rtl/>
          <w:lang w:eastAsia="en-US"/>
        </w:rPr>
      </w:pPr>
      <w:r>
        <w:rPr>
          <w:rFonts w:cs="FrankRuehl" w:hint="cs"/>
          <w:rtl/>
          <w:lang w:eastAsia="en-US"/>
        </w:rPr>
        <w:tab/>
        <w:t xml:space="preserve">"מהנדס העיריה" או " מהנדס" </w:t>
      </w:r>
      <w:r>
        <w:rPr>
          <w:rFonts w:cs="FrankRuehl" w:hint="eastAsia"/>
          <w:rtl/>
          <w:lang w:eastAsia="en-US"/>
        </w:rPr>
        <w:t>– מהנדס שנתמנה למהנדס העיריה לפי הוראות סעיף 167</w:t>
      </w:r>
      <w:r>
        <w:rPr>
          <w:rFonts w:cs="FrankRuehl" w:hint="cs"/>
          <w:rtl/>
          <w:lang w:eastAsia="en-US"/>
        </w:rPr>
        <w:t>(א) לפקודה, לרבות מי שהוא הסמיך בכתב לענין הוראות חוק עזר זה, כולן או מקצתן;</w:t>
      </w:r>
    </w:p>
    <w:p w:rsidR="009D339E" w:rsidRDefault="009D339E">
      <w:pPr>
        <w:pStyle w:val="P00"/>
        <w:spacing w:before="72"/>
        <w:ind w:left="0" w:right="1134"/>
        <w:rPr>
          <w:rFonts w:cs="FrankRuehl" w:hint="cs"/>
          <w:rtl/>
          <w:lang w:eastAsia="en-US"/>
        </w:rPr>
      </w:pPr>
      <w:r>
        <w:rPr>
          <w:rFonts w:cs="FrankRuehl" w:hint="cs"/>
          <w:rtl/>
          <w:lang w:eastAsia="en-US"/>
        </w:rPr>
        <w:tab/>
        <w:t xml:space="preserve">"מפעל טעון היתר" </w:t>
      </w:r>
      <w:r>
        <w:rPr>
          <w:rFonts w:cs="FrankRuehl" w:hint="eastAsia"/>
          <w:rtl/>
          <w:lang w:eastAsia="en-US"/>
        </w:rPr>
        <w:t xml:space="preserve">– כהגדרתו בחוק עזר לדוגמה לרשויות מקומיות </w:t>
      </w:r>
      <w:r>
        <w:rPr>
          <w:rFonts w:cs="FrankRuehl" w:hint="cs"/>
          <w:rtl/>
          <w:lang w:eastAsia="en-US"/>
        </w:rPr>
        <w:t>(הזרמת שפכי תעשיה למערכת ביוב), התשמ"ב-1981, שאימצה העיריה;</w:t>
      </w:r>
    </w:p>
    <w:p w:rsidR="009D339E" w:rsidRDefault="009D339E">
      <w:pPr>
        <w:pStyle w:val="P00"/>
        <w:spacing w:before="72"/>
        <w:ind w:left="0" w:right="1134"/>
        <w:rPr>
          <w:rFonts w:cs="FrankRuehl" w:hint="cs"/>
          <w:rtl/>
          <w:lang w:eastAsia="en-US"/>
        </w:rPr>
      </w:pPr>
      <w:r>
        <w:rPr>
          <w:rFonts w:cs="FrankRuehl" w:hint="cs"/>
          <w:rtl/>
          <w:lang w:eastAsia="en-US"/>
        </w:rPr>
        <w:tab/>
        <w:t xml:space="preserve">"נכס לתעשיה" </w:t>
      </w:r>
      <w:r>
        <w:rPr>
          <w:rFonts w:cs="FrankRuehl" w:hint="eastAsia"/>
          <w:rtl/>
          <w:lang w:eastAsia="en-US"/>
        </w:rPr>
        <w:t xml:space="preserve">– </w:t>
      </w:r>
      <w:r>
        <w:rPr>
          <w:rFonts w:cs="FrankRuehl" w:hint="cs"/>
          <w:rtl/>
          <w:lang w:eastAsia="en-US"/>
        </w:rPr>
        <w:t>נכס המשמש או המיועד לשמש לתעשיה, לרבות נכס שנמצא בו בנין המשמש או המיועד לשמש לתעשיה;</w:t>
      </w:r>
    </w:p>
    <w:p w:rsidR="009D339E" w:rsidRDefault="009D339E">
      <w:pPr>
        <w:pStyle w:val="P00"/>
        <w:spacing w:before="72"/>
        <w:ind w:left="0" w:right="1134"/>
        <w:rPr>
          <w:rFonts w:cs="FrankRuehl" w:hint="cs"/>
          <w:rtl/>
          <w:lang w:eastAsia="en-US"/>
        </w:rPr>
      </w:pPr>
      <w:r>
        <w:rPr>
          <w:rFonts w:cs="FrankRuehl"/>
          <w:rtl/>
          <w:lang w:val="he-IL"/>
        </w:rPr>
        <w:pict>
          <v:rect id="_x0000_s1080" style="position:absolute;left:0;text-align:left;margin-left:464.35pt;margin-top:7.1pt;width:75.05pt;height:16pt;z-index:251665408" filled="f" stroked="f" strokecolor="lime" strokeweight=".25pt">
            <v:textbox style="mso-next-textbox:#_x0000_s1080"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תש"ס-1999</w:t>
                  </w:r>
                </w:p>
              </w:txbxContent>
            </v:textbox>
            <w10:anchorlock/>
          </v:rect>
        </w:pict>
      </w:r>
      <w:r>
        <w:rPr>
          <w:rFonts w:cs="FrankRuehl" w:hint="cs"/>
          <w:rtl/>
          <w:lang w:eastAsia="en-US"/>
        </w:rPr>
        <w:tab/>
        <w:t xml:space="preserve">"נפח בנין" </w:t>
      </w:r>
      <w:r>
        <w:rPr>
          <w:rFonts w:cs="FrankRuehl" w:hint="eastAsia"/>
          <w:rtl/>
          <w:lang w:eastAsia="en-US"/>
        </w:rPr>
        <w:t>– השטח הכולל במ</w:t>
      </w:r>
      <w:r>
        <w:rPr>
          <w:rFonts w:cs="FrankRuehl" w:hint="cs"/>
          <w:rtl/>
          <w:lang w:eastAsia="en-US"/>
        </w:rPr>
        <w:t>"ק של שטחי כל הקומות בבנין, כאשר שטח כל אחד מהם מוכפל בגובה הקומה הנמדד במ"א, לפי כללי המדידה הקבועים בפרט 1.00.8 לסימן ב' לתוספת השלישית לתקנות;</w:t>
      </w:r>
    </w:p>
    <w:p w:rsidR="009D339E" w:rsidRDefault="009D339E">
      <w:pPr>
        <w:pStyle w:val="P00"/>
        <w:spacing w:before="72"/>
        <w:ind w:left="0" w:right="1134"/>
        <w:rPr>
          <w:rFonts w:cs="FrankRuehl" w:hint="eastAsia"/>
          <w:rtl/>
          <w:lang w:eastAsia="en-US"/>
        </w:rPr>
      </w:pPr>
      <w:r>
        <w:rPr>
          <w:rFonts w:cs="FrankRuehl"/>
          <w:rtl/>
          <w:lang w:val="he-IL"/>
        </w:rPr>
        <w:pict>
          <v:rect id="_x0000_s1083" style="position:absolute;left:0;text-align:left;margin-left:464.35pt;margin-top:7.1pt;width:75.05pt;height:16pt;z-index:251667456" filled="f" stroked="f" strokecolor="lime" strokeweight=".25pt">
            <v:textbox style="mso-next-textbox:#_x0000_s1083"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תש"ס-1999</w:t>
                  </w:r>
                </w:p>
              </w:txbxContent>
            </v:textbox>
            <w10:anchorlock/>
          </v:rect>
        </w:pict>
      </w:r>
      <w:r>
        <w:rPr>
          <w:rFonts w:cs="FrankRuehl" w:hint="cs"/>
          <w:rtl/>
          <w:lang w:eastAsia="en-US"/>
        </w:rPr>
        <w:tab/>
        <w:t xml:space="preserve">"קומה" </w:t>
      </w:r>
      <w:r>
        <w:rPr>
          <w:rFonts w:cs="FrankRuehl" w:hint="eastAsia"/>
          <w:rtl/>
          <w:lang w:eastAsia="en-US"/>
        </w:rPr>
        <w:t>– חלל המשתרע בין שתי רצפות סמוכות הנמצאות זו מעל זו, לפי גובהו המזערי של אותו חלל כקבוע בתקנות, לרבות בבניני עזר, מרתפים, מרפסות מקורות ופתוחות, מחסנים, חדרי מדרגות, מעברים, מרתפי חניה, חניות מקומות, יציעים, חדרי מעליות, עליות גג ושטח אחר בקומה;</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"קרקע" </w:t>
      </w:r>
      <w:r>
        <w:rPr>
          <w:rFonts w:cs="FrankRuehl" w:hint="eastAsia"/>
          <w:rtl/>
          <w:lang w:eastAsia="en-US"/>
        </w:rPr>
        <w:t>– מקרקעין לסוגיהם, למעט מטע;</w:t>
      </w:r>
    </w:p>
    <w:p w:rsidR="009D339E" w:rsidRDefault="009D339E">
      <w:pPr>
        <w:pStyle w:val="P00"/>
        <w:spacing w:before="72"/>
        <w:ind w:left="0" w:right="1134"/>
        <w:rPr>
          <w:rFonts w:cs="FrankRuehl" w:hint="cs"/>
          <w:rtl/>
          <w:lang w:eastAsia="en-US"/>
        </w:rPr>
      </w:pPr>
      <w:r>
        <w:rPr>
          <w:rFonts w:cs="FrankRuehl" w:hint="cs"/>
          <w:rtl/>
          <w:lang w:eastAsia="en-US"/>
        </w:rPr>
        <w:tab/>
        <w:t xml:space="preserve">"שטח בנין" </w:t>
      </w:r>
      <w:r>
        <w:rPr>
          <w:rFonts w:cs="FrankRuehl" w:hint="eastAsia"/>
          <w:rtl/>
          <w:lang w:eastAsia="en-US"/>
        </w:rPr>
        <w:t>– הסכום במ</w:t>
      </w:r>
      <w:r>
        <w:rPr>
          <w:rFonts w:cs="FrankRuehl" w:hint="cs"/>
          <w:rtl/>
          <w:lang w:eastAsia="en-US"/>
        </w:rPr>
        <w:t>"ר של שטחי כל קומות בבנין;</w:t>
      </w:r>
    </w:p>
    <w:p w:rsidR="009D339E" w:rsidRDefault="009D339E">
      <w:pPr>
        <w:pStyle w:val="P00"/>
        <w:spacing w:before="72"/>
        <w:ind w:left="0" w:right="1134"/>
        <w:rPr>
          <w:rFonts w:cs="FrankRuehl" w:hint="cs"/>
          <w:rtl/>
          <w:lang w:eastAsia="en-US"/>
        </w:rPr>
      </w:pPr>
      <w:r>
        <w:rPr>
          <w:rFonts w:cs="FrankRuehl"/>
          <w:rtl/>
          <w:lang w:val="he-IL"/>
        </w:rPr>
        <w:pict>
          <v:rect id="_x0000_s1082" style="position:absolute;left:0;text-align:left;margin-left:464.35pt;margin-top:7.1pt;width:75.05pt;height:16pt;z-index:251666432" filled="f" stroked="f" strokecolor="lime" strokeweight=".25pt">
            <v:textbox style="mso-next-textbox:#_x0000_s1082"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תש"ס-1999</w:t>
                  </w:r>
                </w:p>
              </w:txbxContent>
            </v:textbox>
            <w10:anchorlock/>
          </v:rect>
        </w:pict>
      </w:r>
      <w:r>
        <w:rPr>
          <w:rFonts w:cs="FrankRuehl" w:hint="cs"/>
          <w:rtl/>
          <w:lang w:eastAsia="en-US"/>
        </w:rPr>
        <w:tab/>
        <w:t xml:space="preserve">"שטח קומה" </w:t>
      </w:r>
      <w:r>
        <w:rPr>
          <w:rFonts w:cs="FrankRuehl" w:hint="eastAsia"/>
          <w:rtl/>
          <w:lang w:eastAsia="en-US"/>
        </w:rPr>
        <w:t>– השטח הכו</w:t>
      </w:r>
      <w:r>
        <w:rPr>
          <w:rFonts w:cs="FrankRuehl" w:hint="cs"/>
          <w:rtl/>
          <w:lang w:eastAsia="en-US"/>
        </w:rPr>
        <w:t>לל במ"ר של שטח ההשלכה הופקית של רצפת הקומה, בתוספת השטח שמתחת לקירותיה החיצוניים והפנימיים;</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"שטח קרקע" </w:t>
      </w:r>
      <w:r>
        <w:rPr>
          <w:rFonts w:cs="FrankRuehl" w:hint="eastAsia"/>
          <w:rtl/>
          <w:lang w:eastAsia="en-US"/>
        </w:rPr>
        <w:t>– לרבות שטח הקרקע שעליו בנוי בנין;</w:t>
      </w:r>
    </w:p>
    <w:p w:rsidR="009D339E" w:rsidRDefault="009D339E">
      <w:pPr>
        <w:pStyle w:val="P00"/>
        <w:spacing w:before="72"/>
        <w:ind w:left="0" w:right="1134"/>
        <w:rPr>
          <w:rFonts w:cs="FrankRuehl" w:hint="eastAsia"/>
          <w:rtl/>
          <w:lang w:eastAsia="en-US"/>
        </w:rPr>
      </w:pPr>
      <w:r>
        <w:rPr>
          <w:rFonts w:cs="FrankRuehl" w:hint="cs"/>
          <w:rtl/>
          <w:lang w:eastAsia="en-US"/>
        </w:rPr>
        <w:tab/>
        <w:t xml:space="preserve">"ראש העיריה" </w:t>
      </w:r>
      <w:r>
        <w:rPr>
          <w:rFonts w:cs="FrankRuehl" w:hint="eastAsia"/>
          <w:rtl/>
          <w:lang w:eastAsia="en-US"/>
        </w:rPr>
        <w:t>– לרבות מי שהוא הסמיך בכתב לענין הוראות חוק עזר זה, כולן או מקצתן;</w:t>
      </w:r>
    </w:p>
    <w:p w:rsidR="009D339E" w:rsidRDefault="009D339E" w:rsidP="00F1556E">
      <w:pPr>
        <w:pStyle w:val="P00"/>
        <w:spacing w:before="72"/>
        <w:ind w:left="0" w:right="1134"/>
        <w:rPr>
          <w:rFonts w:cs="FrankRuehl" w:hint="cs"/>
          <w:rtl/>
          <w:lang w:eastAsia="en-US"/>
        </w:rPr>
      </w:pPr>
      <w:r>
        <w:rPr>
          <w:rFonts w:cs="FrankRuehl" w:hint="cs"/>
          <w:rtl/>
          <w:lang w:eastAsia="en-US"/>
        </w:rPr>
        <w:tab/>
        <w:t xml:space="preserve">"רשיון עסק" </w:t>
      </w:r>
      <w:r>
        <w:rPr>
          <w:rFonts w:cs="FrankRuehl" w:hint="eastAsia"/>
          <w:rtl/>
          <w:lang w:eastAsia="en-US"/>
        </w:rPr>
        <w:t xml:space="preserve">– </w:t>
      </w:r>
      <w:r>
        <w:rPr>
          <w:rFonts w:cs="FrankRuehl" w:hint="cs"/>
          <w:rtl/>
          <w:lang w:eastAsia="en-US"/>
        </w:rPr>
        <w:t>כמשמעותו בחוק רישוי עסקים, התשכ"ח</w:t>
      </w:r>
      <w:r w:rsidR="00F1556E">
        <w:rPr>
          <w:rFonts w:cs="FrankRuehl" w:hint="cs"/>
          <w:rtl/>
          <w:lang w:eastAsia="en-US"/>
        </w:rPr>
        <w:t>-</w:t>
      </w:r>
      <w:r>
        <w:rPr>
          <w:rFonts w:cs="FrankRuehl" w:hint="cs"/>
          <w:rtl/>
          <w:lang w:eastAsia="en-US"/>
        </w:rPr>
        <w:t>1968, והתקנות שהותקנו על פיו;</w:t>
      </w:r>
    </w:p>
    <w:p w:rsidR="009D339E" w:rsidRDefault="009D339E">
      <w:pPr>
        <w:pStyle w:val="P00"/>
        <w:spacing w:before="72"/>
        <w:ind w:left="0" w:right="1134"/>
        <w:rPr>
          <w:rFonts w:cs="FrankRuehl" w:hint="cs"/>
          <w:rtl/>
          <w:lang w:eastAsia="en-US"/>
        </w:rPr>
      </w:pPr>
      <w:r>
        <w:rPr>
          <w:rFonts w:cs="FrankRuehl" w:hint="cs"/>
          <w:rtl/>
          <w:lang w:eastAsia="en-US"/>
        </w:rPr>
        <w:tab/>
        <w:t xml:space="preserve">"תעודה להעברת מקרקעין" </w:t>
      </w:r>
      <w:r>
        <w:rPr>
          <w:rFonts w:cs="FrankRuehl" w:hint="eastAsia"/>
          <w:rtl/>
          <w:lang w:eastAsia="en-US"/>
        </w:rPr>
        <w:t>– כאמור בסעיף 324 לפקודה.</w:t>
      </w:r>
    </w:p>
    <w:p w:rsidR="009D339E" w:rsidRDefault="009D339E">
      <w:pPr>
        <w:pStyle w:val="P00"/>
        <w:spacing w:before="72"/>
        <w:ind w:left="0" w:right="1134"/>
        <w:rPr>
          <w:rStyle w:val="default"/>
          <w:rFonts w:hint="cs"/>
          <w:rtl/>
        </w:rPr>
      </w:pPr>
      <w:bookmarkStart w:id="1" w:name="Seif1"/>
      <w:bookmarkEnd w:id="1"/>
      <w:r>
        <w:rPr>
          <w:lang w:val="he-IL"/>
        </w:rPr>
        <w:pict>
          <v:rect id="_x0000_s1027" style="position:absolute;left:0;text-align:left;margin-left:464.5pt;margin-top:8.05pt;width:75.05pt;height:16.2pt;z-index:251643904" o:allowincell="f" filled="f" stroked="f" strokecolor="lime" strokeweight=".25pt">
            <v:textbox style="mso-next-textbox:#_x0000_s1027" inset="0,0,0,0">
              <w:txbxContent>
                <w:p w:rsidR="009D339E" w:rsidRDefault="005B1380">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Pr>
          <w:rStyle w:val="big-number"/>
          <w:rFonts w:cs="Miriam"/>
          <w:rtl/>
        </w:rPr>
        <w:tab/>
      </w:r>
      <w:r>
        <w:rPr>
          <w:rStyle w:val="default"/>
          <w:rFonts w:hint="cs"/>
          <w:rtl/>
        </w:rPr>
        <w:t>(א)</w:t>
      </w:r>
      <w:r>
        <w:rPr>
          <w:rStyle w:val="default"/>
          <w:rFonts w:hint="cs"/>
          <w:rtl/>
        </w:rPr>
        <w:tab/>
        <w:t xml:space="preserve">בעל נכס שנמסרה לו הודעה בכתב מאת העיריה על התקנתו או קנייתו של ביוב שישמש את אותו נכס כאמור בסעיף 16 לחוק, חייב בתשלום היטל ביוב בעד השלב העומד להתקנה כאמור בהודעה (להלן </w:t>
      </w:r>
      <w:r>
        <w:rPr>
          <w:rStyle w:val="default"/>
          <w:rFonts w:hint="eastAsia"/>
          <w:rtl/>
        </w:rPr>
        <w:t>– הודעת החיוב</w:t>
      </w:r>
      <w:r>
        <w:rPr>
          <w:rStyle w:val="default"/>
          <w:rFonts w:hint="cs"/>
          <w:rtl/>
        </w:rPr>
        <w:t>).</w:t>
      </w:r>
    </w:p>
    <w:p w:rsidR="009D339E" w:rsidRDefault="009D339E">
      <w:pPr>
        <w:pStyle w:val="P00"/>
        <w:spacing w:before="72"/>
        <w:ind w:left="1021" w:right="1134" w:hanging="1021"/>
        <w:rPr>
          <w:rStyle w:val="default"/>
          <w:rFonts w:hint="cs"/>
          <w:rtl/>
        </w:rPr>
      </w:pPr>
      <w:r>
        <w:rPr>
          <w:rStyle w:val="default"/>
          <w:rFonts w:hint="cs"/>
          <w:rtl/>
        </w:rPr>
        <w:tab/>
        <w:t>(ב)</w:t>
      </w:r>
      <w:r>
        <w:rPr>
          <w:rStyle w:val="default"/>
          <w:rFonts w:hint="cs"/>
          <w:rtl/>
        </w:rPr>
        <w:tab/>
        <w:t>(1)</w:t>
      </w:r>
      <w:r>
        <w:rPr>
          <w:rStyle w:val="default"/>
          <w:rFonts w:hint="cs"/>
          <w:rtl/>
        </w:rPr>
        <w:tab/>
        <w:t>בעל נכס החייב בתשלום היטל ביוב, ישלמו עד המועד הנקוב בהודעת החיוב שנשלחה לו או נמסרה לידו;</w:t>
      </w:r>
    </w:p>
    <w:p w:rsidR="009D339E" w:rsidRDefault="009D339E">
      <w:pPr>
        <w:pStyle w:val="P00"/>
        <w:spacing w:before="72"/>
        <w:ind w:left="1021" w:right="1134"/>
        <w:rPr>
          <w:rStyle w:val="default"/>
          <w:rFonts w:hint="cs"/>
          <w:rtl/>
        </w:rPr>
      </w:pPr>
      <w:r>
        <w:rPr>
          <w:rStyle w:val="default"/>
          <w:rFonts w:hint="cs"/>
          <w:rtl/>
        </w:rPr>
        <w:t>(2)</w:t>
      </w:r>
      <w:r>
        <w:rPr>
          <w:rStyle w:val="default"/>
          <w:rFonts w:hint="cs"/>
          <w:rtl/>
        </w:rPr>
        <w:tab/>
        <w:t>נבצר מבעל נכס לחברו, באמצעות ביב פרטי, לביב הציבורי, רשאי המנהל לדחות את תשלום ההיטל בעד אותו נכס, ובלבד שמועד תשלום ההיטל יחול לא יאוחר מהיום שבו ניתן לחבר את הנכס לביב הציבורי, לפי קביעת המנהל.</w:t>
      </w:r>
    </w:p>
    <w:p w:rsidR="009D339E" w:rsidRDefault="009D339E">
      <w:pPr>
        <w:pStyle w:val="P00"/>
        <w:spacing w:before="72"/>
        <w:ind w:left="0" w:right="1134"/>
        <w:rPr>
          <w:rStyle w:val="default"/>
          <w:rFonts w:hint="cs"/>
          <w:rtl/>
        </w:rPr>
      </w:pPr>
      <w:r>
        <w:rPr>
          <w:rStyle w:val="default"/>
          <w:rFonts w:hint="cs"/>
          <w:rtl/>
        </w:rPr>
        <w:tab/>
        <w:t>(ג)</w:t>
      </w:r>
      <w:r>
        <w:rPr>
          <w:rStyle w:val="default"/>
          <w:rFonts w:hint="cs"/>
          <w:rtl/>
        </w:rPr>
        <w:tab/>
        <w:t>היטל ביוב יחושב על פי שטח הקרקע בנכס בצירוף שטחו של בנין שבו או נפחו, לפי הענין, כאמור בסעיפים 3, 4, ו-5 ולפי שיעורם של תעריפי ההיטל שבתוספת כשהם מעודכנים ליום התשלום בפועל כאמור בסעיף 11.</w:t>
      </w:r>
    </w:p>
    <w:p w:rsidR="009D339E" w:rsidRDefault="009D339E">
      <w:pPr>
        <w:pStyle w:val="P00"/>
        <w:spacing w:before="72"/>
        <w:ind w:left="0" w:right="1134"/>
        <w:rPr>
          <w:rFonts w:cs="FrankRuehl" w:hint="cs"/>
          <w:rtl/>
          <w:lang w:eastAsia="en-US"/>
        </w:rPr>
      </w:pPr>
      <w:r>
        <w:rPr>
          <w:rFonts w:ascii="FrankRuehl" w:hAnsi="FrankRuehl" w:cs="FrankRuehl"/>
          <w:rtl/>
          <w:lang w:val="he-IL"/>
        </w:rPr>
        <w:pict>
          <v:rect id="_x0000_s1077" style="position:absolute;left:0;text-align:left;margin-left:464.35pt;margin-top:7.1pt;width:75.05pt;height:16pt;z-index:251662336" filled="f" stroked="f" strokecolor="lime" strokeweight=".25pt">
            <v:textbox style="mso-next-textbox:#_x0000_s1077"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תשנ"ח-1998</w:t>
                  </w:r>
                </w:p>
              </w:txbxContent>
            </v:textbox>
            <w10:anchorlock/>
          </v:rect>
        </w:pict>
      </w:r>
      <w:r>
        <w:rPr>
          <w:rStyle w:val="default"/>
          <w:rFonts w:hint="cs"/>
          <w:rtl/>
        </w:rPr>
        <w:tab/>
        <w:t>(ד)</w:t>
      </w:r>
      <w:r>
        <w:rPr>
          <w:rStyle w:val="default"/>
          <w:rFonts w:hint="cs"/>
          <w:rtl/>
        </w:rPr>
        <w:tab/>
        <w:t>היטל ביוב ישולם ללא זיקה לעלות התקנת או קניית שלבי ביוב המשמשים את נכס החייב.</w:t>
      </w:r>
    </w:p>
    <w:p w:rsidR="009D339E" w:rsidRDefault="009D339E">
      <w:pPr>
        <w:pStyle w:val="P00"/>
        <w:tabs>
          <w:tab w:val="clear" w:pos="1021"/>
          <w:tab w:val="left" w:pos="987"/>
        </w:tabs>
        <w:spacing w:before="72"/>
        <w:ind w:left="-3" w:right="1134"/>
        <w:rPr>
          <w:rFonts w:cs="FrankRuehl" w:hint="cs"/>
          <w:rtl/>
          <w:lang w:eastAsia="en-US"/>
        </w:rPr>
      </w:pPr>
      <w:bookmarkStart w:id="2" w:name="Seif2"/>
      <w:bookmarkEnd w:id="2"/>
      <w:r>
        <w:rPr>
          <w:lang w:val="he-IL"/>
        </w:rPr>
        <w:pict>
          <v:rect id="_x0000_s1028" style="position:absolute;left:0;text-align:left;margin-left:464.5pt;margin-top:8.05pt;width:75.05pt;height:16pt;z-index:251644928" o:allowincell="f" filled="f" stroked="f" strokecolor="lime" strokeweight=".25pt">
            <v:textbox style="mso-next-textbox:#_x0000_s1028" inset="0,0,0,0">
              <w:txbxContent>
                <w:p w:rsidR="009D339E" w:rsidRDefault="009D339E" w:rsidP="005B1380">
                  <w:pPr>
                    <w:spacing w:line="160" w:lineRule="exact"/>
                    <w:jc w:val="left"/>
                    <w:rPr>
                      <w:rFonts w:cs="Miriam" w:hint="cs"/>
                      <w:noProof/>
                      <w:sz w:val="18"/>
                      <w:szCs w:val="18"/>
                      <w:rtl/>
                    </w:rPr>
                  </w:pPr>
                  <w:r>
                    <w:rPr>
                      <w:rFonts w:cs="Miriam" w:hint="cs"/>
                      <w:sz w:val="18"/>
                      <w:szCs w:val="18"/>
                      <w:rtl/>
                    </w:rPr>
                    <w:t>חישוב ההיטל</w:t>
                  </w:r>
                  <w:r w:rsidR="005B1380">
                    <w:rPr>
                      <w:rFonts w:cs="Miriam" w:hint="cs"/>
                      <w:sz w:val="18"/>
                      <w:szCs w:val="18"/>
                      <w:rtl/>
                    </w:rPr>
                    <w:t xml:space="preserve"> </w:t>
                  </w:r>
                  <w:r>
                    <w:rPr>
                      <w:rFonts w:cs="Miriam" w:hint="cs"/>
                      <w:sz w:val="18"/>
                      <w:szCs w:val="18"/>
                      <w:rtl/>
                    </w:rPr>
                    <w:t>לנכס</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t>היטל ביוב לכל נכס, למעט נכס לתעשיה או בית עסק, יחושב לפי שטח הקרקע ושטח הבנין שבנכס, וסכומו יהיה הסכום המתקבל ממכפלת הסך המצטבר של השטחים שלהלן בשיעורם של תעריפי ההיטל שבתוספת, המעודכן ליום התשלום בפועל, ואלה השטחים:</w:t>
      </w:r>
    </w:p>
    <w:p w:rsidR="009D339E" w:rsidRDefault="009D339E">
      <w:pPr>
        <w:pStyle w:val="P00"/>
        <w:tabs>
          <w:tab w:val="clear" w:pos="1021"/>
          <w:tab w:val="left" w:pos="987"/>
        </w:tabs>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rsidR="009D339E" w:rsidRDefault="009D339E">
      <w:pPr>
        <w:pStyle w:val="P00"/>
        <w:tabs>
          <w:tab w:val="clear" w:pos="1021"/>
          <w:tab w:val="left" w:pos="987"/>
        </w:tabs>
        <w:spacing w:before="72"/>
        <w:ind w:left="1021" w:right="1134"/>
        <w:rPr>
          <w:rFonts w:cs="FrankRuehl" w:hint="eastAsia"/>
          <w:rtl/>
          <w:lang w:eastAsia="en-US"/>
        </w:rPr>
      </w:pPr>
      <w:r>
        <w:rPr>
          <w:rFonts w:cs="FrankRuehl" w:hint="cs"/>
          <w:rtl/>
          <w:lang w:eastAsia="en-US"/>
        </w:rPr>
        <w:t>(2)</w:t>
      </w:r>
      <w:r>
        <w:rPr>
          <w:rFonts w:cs="FrankRuehl" w:hint="cs"/>
          <w:rtl/>
          <w:lang w:eastAsia="en-US"/>
        </w:rPr>
        <w:tab/>
        <w:t xml:space="preserve">שטחו של בנין הנמצא בנכס בעת חישוב ההיטל, לרבות שטחו של כל בנין או כל תוספת לבנין שנבנה בנכס ללא היתר בניה או בסטיה ממנו </w:t>
      </w:r>
      <w:r>
        <w:rPr>
          <w:rFonts w:cs="FrankRuehl" w:hint="eastAsia"/>
          <w:rtl/>
          <w:lang w:eastAsia="en-US"/>
        </w:rPr>
        <w:t>– לפי שטח הבנין או שטח התוספת לבנין כאמור, כפי שנמדד וחושב בידי העיריה;</w:t>
      </w:r>
    </w:p>
    <w:p w:rsidR="009D339E" w:rsidRDefault="009D339E">
      <w:pPr>
        <w:pStyle w:val="P00"/>
        <w:tabs>
          <w:tab w:val="clear" w:pos="1021"/>
          <w:tab w:val="left" w:pos="987"/>
        </w:tabs>
        <w:spacing w:before="72"/>
        <w:ind w:left="1021" w:right="1134"/>
        <w:rPr>
          <w:rFonts w:cs="FrankRuehl" w:hint="eastAsia"/>
          <w:rtl/>
          <w:lang w:eastAsia="en-US"/>
        </w:rPr>
      </w:pPr>
      <w:r>
        <w:rPr>
          <w:rFonts w:cs="FrankRuehl" w:hint="cs"/>
          <w:rtl/>
          <w:lang w:eastAsia="en-US"/>
        </w:rPr>
        <w:t>(3)</w:t>
      </w:r>
      <w:r>
        <w:rPr>
          <w:rFonts w:cs="FrankRuehl" w:hint="cs"/>
          <w:rtl/>
          <w:lang w:eastAsia="en-US"/>
        </w:rPr>
        <w:tab/>
        <w:t xml:space="preserve">שטחו של בנין עתידי או שטחה של תוספת עבודות לבנין (להלן </w:t>
      </w:r>
      <w:r>
        <w:rPr>
          <w:rFonts w:cs="FrankRuehl" w:hint="eastAsia"/>
          <w:rtl/>
          <w:lang w:eastAsia="en-US"/>
        </w:rPr>
        <w:t>– בניה עתידית</w:t>
      </w:r>
      <w:r>
        <w:rPr>
          <w:rFonts w:cs="FrankRuehl" w:hint="cs"/>
          <w:rtl/>
          <w:lang w:eastAsia="en-US"/>
        </w:rPr>
        <w:t xml:space="preserve">), שהוגשה לגביה בקשה להיתר בניה </w:t>
      </w:r>
      <w:r>
        <w:rPr>
          <w:rFonts w:cs="FrankRuehl" w:hint="eastAsia"/>
          <w:rtl/>
          <w:lang w:eastAsia="en-US"/>
        </w:rPr>
        <w:t>– לפי שטחו בתכניות הבניה שצורפו לבקשה להיתר בניה.</w:t>
      </w:r>
    </w:p>
    <w:p w:rsidR="009D339E" w:rsidRDefault="009D339E">
      <w:pPr>
        <w:pStyle w:val="P00"/>
        <w:tabs>
          <w:tab w:val="clear" w:pos="1021"/>
          <w:tab w:val="left" w:pos="987"/>
        </w:tabs>
        <w:spacing w:before="72"/>
        <w:ind w:left="-3" w:right="1134"/>
        <w:rPr>
          <w:rFonts w:cs="FrankRuehl" w:hint="cs"/>
          <w:rtl/>
          <w:lang w:eastAsia="en-US"/>
        </w:rPr>
      </w:pPr>
      <w:r>
        <w:rPr>
          <w:rFonts w:cs="FrankRuehl" w:hint="cs"/>
          <w:rtl/>
          <w:lang w:eastAsia="en-US"/>
        </w:rPr>
        <w:tab/>
        <w:t>(ב)</w:t>
      </w:r>
      <w:r>
        <w:rPr>
          <w:rFonts w:cs="FrankRuehl" w:hint="cs"/>
          <w:rtl/>
          <w:lang w:eastAsia="en-US"/>
        </w:rPr>
        <w:tab/>
        <w:t>התברר לעיריה, לגבי בניה עתידית, עם גמר הבניה או לאחריה, כי שטח הבנין עולה על השטח שצויין בתכניות הבניה, שעל פיו שולם ההיטל, יחוייב בעל הנכס בתשלום היטל בעד השטח הנוסף כאמור, לפי שיעורם של תעריפי ההיטל שבתוספת, המעודכן ליום התשלום בפועל.</w:t>
      </w:r>
    </w:p>
    <w:p w:rsidR="009D339E" w:rsidRDefault="009D339E">
      <w:pPr>
        <w:pStyle w:val="P00"/>
        <w:tabs>
          <w:tab w:val="clear" w:pos="1021"/>
          <w:tab w:val="left" w:pos="987"/>
        </w:tabs>
        <w:spacing w:before="72"/>
        <w:ind w:left="-3" w:right="1134"/>
        <w:rPr>
          <w:rFonts w:cs="FrankRuehl" w:hint="cs"/>
          <w:rtl/>
          <w:lang w:eastAsia="en-US"/>
        </w:rPr>
      </w:pPr>
      <w:r>
        <w:rPr>
          <w:rFonts w:cs="FrankRuehl" w:hint="cs"/>
          <w:rtl/>
          <w:lang w:eastAsia="en-US"/>
        </w:rPr>
        <w:tab/>
        <w:t>(ג)</w:t>
      </w:r>
      <w:r>
        <w:rPr>
          <w:rFonts w:cs="FrankRuehl" w:hint="cs"/>
          <w:rtl/>
          <w:lang w:eastAsia="en-US"/>
        </w:rPr>
        <w:tab/>
        <w:t>התברר לעיריה, לגבי בניה עתידית, עם גמר הבניה או לאחריה, כי שטח הבנין בפועל קטן מהשטח שצויין בתכניות הבניה, שעל פיו שולם ההיטל, יזוכה בעל הנכס בסכום העודף ששילם בעד השטח שלא נבנה בפועל. סכום ההפרש המגיע לו יוחזר לו בשיעורם של תעריפי ההיטל שבתוספת המעודכן ליום ההחזר בפועל.</w:t>
      </w:r>
    </w:p>
    <w:p w:rsidR="009D339E" w:rsidRDefault="009D339E">
      <w:pPr>
        <w:pStyle w:val="P00"/>
        <w:tabs>
          <w:tab w:val="clear" w:pos="1021"/>
          <w:tab w:val="left" w:pos="987"/>
        </w:tabs>
        <w:spacing w:before="72"/>
        <w:ind w:left="-3" w:right="1134"/>
        <w:rPr>
          <w:rFonts w:cs="FrankRuehl" w:hint="cs"/>
          <w:rtl/>
          <w:lang w:eastAsia="en-US"/>
        </w:rPr>
      </w:pPr>
      <w:r>
        <w:rPr>
          <w:rFonts w:cs="FrankRuehl" w:hint="cs"/>
          <w:rtl/>
          <w:lang w:eastAsia="en-US"/>
        </w:rPr>
        <w:tab/>
        <w:t>(ד)</w:t>
      </w:r>
      <w:r>
        <w:rPr>
          <w:rFonts w:cs="FrankRuehl" w:hint="cs"/>
          <w:rtl/>
          <w:lang w:eastAsia="en-US"/>
        </w:rPr>
        <w:tab/>
        <w:t>שילם בעבר בעלו של נכס היטל ביוב בעד שטח שבנכסו, לא ייכלל אותו שטח לענין חישוב היטל ביוב, במנין בשטחים כאמור בפסקה (א).</w:t>
      </w:r>
    </w:p>
    <w:p w:rsidR="009D339E" w:rsidRDefault="009D339E">
      <w:pPr>
        <w:pStyle w:val="P00"/>
        <w:tabs>
          <w:tab w:val="clear" w:pos="1021"/>
          <w:tab w:val="left" w:pos="987"/>
        </w:tabs>
        <w:spacing w:before="72"/>
        <w:ind w:left="-3" w:right="1134"/>
        <w:rPr>
          <w:rFonts w:cs="FrankRuehl" w:hint="cs"/>
          <w:rtl/>
          <w:lang w:eastAsia="en-US"/>
        </w:rPr>
      </w:pPr>
      <w:r>
        <w:rPr>
          <w:rFonts w:cs="FrankRuehl" w:hint="cs"/>
          <w:rtl/>
          <w:lang w:eastAsia="en-US"/>
        </w:rPr>
        <w:tab/>
        <w:t>(ה)</w:t>
      </w:r>
      <w:r>
        <w:rPr>
          <w:rFonts w:cs="FrankRuehl" w:hint="cs"/>
          <w:rtl/>
          <w:lang w:eastAsia="en-US"/>
        </w:rPr>
        <w:tab/>
        <w:t xml:space="preserve">מבלי לגרוע מהאמור בחוק עזר זה, חוייב בעל נכס בעבר בהיטל ביוב בעד הנכס (להלן </w:t>
      </w:r>
      <w:r>
        <w:rPr>
          <w:rFonts w:cs="FrankRuehl" w:hint="eastAsia"/>
          <w:rtl/>
          <w:lang w:eastAsia="en-US"/>
        </w:rPr>
        <w:t>– היטל קודם</w:t>
      </w:r>
      <w:r>
        <w:rPr>
          <w:rFonts w:cs="FrankRuehl" w:hint="cs"/>
          <w:rtl/>
          <w:lang w:eastAsia="en-US"/>
        </w:rPr>
        <w:t>), הוא יחוייב פעם נוספת בתשלום היטל ביוב בהתאם להוראות חוק עזר זה, בעד בנין חדש או תוספת בנין, לפי הענין, שנבנה בנכס לאחר חישוב ההיטל הקודם.</w:t>
      </w:r>
    </w:p>
    <w:p w:rsidR="009D339E" w:rsidRDefault="009D339E">
      <w:pPr>
        <w:pStyle w:val="P00"/>
        <w:spacing w:before="72"/>
        <w:ind w:left="0" w:right="1134"/>
        <w:rPr>
          <w:rFonts w:cs="FrankRuehl" w:hint="cs"/>
          <w:rtl/>
          <w:lang w:eastAsia="en-US"/>
        </w:rPr>
      </w:pPr>
      <w:bookmarkStart w:id="3" w:name="Seif3"/>
      <w:bookmarkEnd w:id="3"/>
      <w:r>
        <w:rPr>
          <w:lang w:val="he-IL"/>
        </w:rPr>
        <w:pict>
          <v:rect id="_x0000_s1029" style="position:absolute;left:0;text-align:left;margin-left:464.5pt;margin-top:8.05pt;width:75.05pt;height:26.75pt;z-index:251645952" o:allowincell="f" filled="f" stroked="f" strokecolor="lime" strokeweight=".25pt">
            <v:textbox style="mso-next-textbox:#_x0000_s1029" inset="0,0,0,0">
              <w:txbxContent>
                <w:p w:rsidR="009D339E" w:rsidRDefault="009D339E" w:rsidP="005B1380">
                  <w:pPr>
                    <w:spacing w:line="160" w:lineRule="exact"/>
                    <w:jc w:val="left"/>
                    <w:rPr>
                      <w:rFonts w:cs="Miriam" w:hint="cs"/>
                      <w:sz w:val="18"/>
                      <w:szCs w:val="18"/>
                      <w:rtl/>
                    </w:rPr>
                  </w:pPr>
                  <w:r>
                    <w:rPr>
                      <w:rFonts w:cs="Miriam" w:hint="cs"/>
                      <w:sz w:val="18"/>
                      <w:szCs w:val="18"/>
                      <w:rtl/>
                    </w:rPr>
                    <w:t>חישוב ההיטל</w:t>
                  </w:r>
                  <w:r w:rsidR="005B1380">
                    <w:rPr>
                      <w:rFonts w:cs="Miriam" w:hint="cs"/>
                      <w:sz w:val="18"/>
                      <w:szCs w:val="18"/>
                      <w:rtl/>
                    </w:rPr>
                    <w:t xml:space="preserve"> </w:t>
                  </w:r>
                  <w:r>
                    <w:rPr>
                      <w:rFonts w:cs="Miriam" w:hint="cs"/>
                      <w:sz w:val="18"/>
                      <w:szCs w:val="18"/>
                      <w:rtl/>
                    </w:rPr>
                    <w:t xml:space="preserve">לנכס </w:t>
                  </w:r>
                  <w:proofErr w:type="spellStart"/>
                  <w:r>
                    <w:rPr>
                      <w:rFonts w:cs="Miriam" w:hint="cs"/>
                      <w:sz w:val="18"/>
                      <w:szCs w:val="18"/>
                      <w:rtl/>
                    </w:rPr>
                    <w:t>לתעשיה</w:t>
                  </w:r>
                  <w:proofErr w:type="spellEnd"/>
                  <w:r w:rsidR="005B1380">
                    <w:rPr>
                      <w:rFonts w:cs="Miriam" w:hint="cs"/>
                      <w:sz w:val="18"/>
                      <w:szCs w:val="18"/>
                      <w:rtl/>
                    </w:rPr>
                    <w:t xml:space="preserve"> </w:t>
                  </w:r>
                  <w:r>
                    <w:rPr>
                      <w:rFonts w:cs="Miriam" w:hint="cs"/>
                      <w:sz w:val="18"/>
                      <w:szCs w:val="18"/>
                      <w:rtl/>
                    </w:rPr>
                    <w:t>או לבית עסק</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Pr>
          <w:rFonts w:cs="FrankRuehl" w:hint="cs"/>
          <w:rtl/>
          <w:lang w:eastAsia="en-US"/>
        </w:rPr>
        <w:t>היטל ביוב לנכס לתעשיה ולבית עסק, יחושב לפי שטח הקרקע ונפח הבנין שבנכס, וסכומו יהיה הסכום המתקבל ממכפלת הסך המצטבר של שטחם ונפחם, לפי הענין, של הדברים המפורטים להלן, בשיעורם של תעריפי ההיטל שבתוספת, המעודכן ליום התשלום בפועל, ואלה הדברים:</w:t>
      </w:r>
    </w:p>
    <w:p w:rsidR="009D339E" w:rsidRDefault="009D33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rsidR="009D339E" w:rsidRDefault="009D339E">
      <w:pPr>
        <w:pStyle w:val="P00"/>
        <w:spacing w:before="72"/>
        <w:ind w:left="1021" w:right="1134"/>
        <w:rPr>
          <w:rFonts w:cs="FrankRuehl" w:hint="eastAsia"/>
          <w:rtl/>
          <w:lang w:eastAsia="en-US"/>
        </w:rPr>
      </w:pPr>
      <w:r>
        <w:rPr>
          <w:rFonts w:cs="FrankRuehl" w:hint="cs"/>
          <w:rtl/>
          <w:lang w:eastAsia="en-US"/>
        </w:rPr>
        <w:t>(2)</w:t>
      </w:r>
      <w:r>
        <w:rPr>
          <w:rFonts w:cs="FrankRuehl" w:hint="cs"/>
          <w:rtl/>
          <w:lang w:eastAsia="en-US"/>
        </w:rPr>
        <w:tab/>
        <w:t xml:space="preserve">נפחו של בנין הנמצא בנכס בעת חישוב ההיטל, לרבות נפחו של כל בנין או כל תוספת לבנין, שנבנה בנכס ללא היתר בניה או בסטיה ממנו </w:t>
      </w:r>
      <w:r>
        <w:rPr>
          <w:rFonts w:cs="FrankRuehl" w:hint="eastAsia"/>
          <w:rtl/>
          <w:lang w:eastAsia="en-US"/>
        </w:rPr>
        <w:t>– לפי נפח הבנין או נפח התוספת לבנין, כפי</w:t>
      </w:r>
      <w:r>
        <w:rPr>
          <w:rFonts w:cs="FrankRuehl" w:hint="cs"/>
          <w:rtl/>
          <w:lang w:eastAsia="en-US"/>
        </w:rPr>
        <w:t xml:space="preserve"> </w:t>
      </w:r>
      <w:r>
        <w:rPr>
          <w:rFonts w:cs="FrankRuehl" w:hint="eastAsia"/>
          <w:rtl/>
          <w:lang w:eastAsia="en-US"/>
        </w:rPr>
        <w:t>שנמדד וחושב בידי העיריה;</w:t>
      </w:r>
    </w:p>
    <w:p w:rsidR="009D339E" w:rsidRDefault="009D339E">
      <w:pPr>
        <w:pStyle w:val="P00"/>
        <w:spacing w:before="72"/>
        <w:ind w:left="1021" w:right="1134"/>
        <w:rPr>
          <w:rFonts w:cs="FrankRuehl" w:hint="eastAsia"/>
          <w:rtl/>
          <w:lang w:eastAsia="en-US"/>
        </w:rPr>
      </w:pPr>
      <w:r>
        <w:rPr>
          <w:rFonts w:cs="FrankRuehl" w:hint="cs"/>
          <w:rtl/>
          <w:lang w:eastAsia="en-US"/>
        </w:rPr>
        <w:t>(3)</w:t>
      </w:r>
      <w:r>
        <w:rPr>
          <w:rFonts w:cs="FrankRuehl" w:hint="cs"/>
          <w:rtl/>
          <w:lang w:eastAsia="en-US"/>
        </w:rPr>
        <w:tab/>
        <w:t xml:space="preserve">נפחו של בנין עתידי או נפחה של תוספת עתידית לבנין, שהוגשה לגביו בקשה להיתר בניה </w:t>
      </w:r>
      <w:r>
        <w:rPr>
          <w:rFonts w:cs="FrankRuehl" w:hint="eastAsia"/>
          <w:rtl/>
          <w:lang w:eastAsia="en-US"/>
        </w:rPr>
        <w:t>– לפי נפחו כפי שחושב בתכניות הבניה שצורפו לבקשה להיתר בניה;</w:t>
      </w:r>
    </w:p>
    <w:p w:rsidR="009D339E" w:rsidRDefault="009D339E">
      <w:pPr>
        <w:pStyle w:val="P00"/>
        <w:spacing w:before="72"/>
        <w:ind w:left="0" w:right="1134"/>
        <w:rPr>
          <w:rFonts w:cs="FrankRuehl" w:hint="cs"/>
          <w:rtl/>
          <w:lang w:eastAsia="en-US"/>
        </w:rPr>
      </w:pPr>
      <w:r>
        <w:rPr>
          <w:rFonts w:cs="FrankRuehl"/>
          <w:rtl/>
          <w:lang w:val="he-IL"/>
        </w:rPr>
        <w:pict>
          <v:rect id="_x0000_s1076" style="position:absolute;left:0;text-align:left;margin-left:464.35pt;margin-top:7.1pt;width:75.05pt;height:10.7pt;z-index:251661312" filled="f" stroked="f" strokecolor="lime" strokeweight=".25pt">
            <v:textbox style="mso-next-textbox:#_x0000_s1076" inset="0,0,0,0">
              <w:txbxContent>
                <w:p w:rsidR="009D339E" w:rsidRDefault="009D339E" w:rsidP="005B1380">
                  <w:pPr>
                    <w:spacing w:line="160" w:lineRule="exact"/>
                    <w:jc w:val="left"/>
                    <w:rPr>
                      <w:rFonts w:cs="Miriam" w:hint="cs"/>
                      <w:noProof/>
                      <w:sz w:val="18"/>
                      <w:szCs w:val="18"/>
                      <w:rtl/>
                    </w:rPr>
                  </w:pPr>
                  <w:r>
                    <w:rPr>
                      <w:rFonts w:cs="Miriam" w:hint="cs"/>
                      <w:sz w:val="18"/>
                      <w:szCs w:val="18"/>
                      <w:rtl/>
                    </w:rPr>
                    <w:t>ת"ט</w:t>
                  </w:r>
                  <w:r w:rsidR="005B1380">
                    <w:rPr>
                      <w:rFonts w:cs="Miriam" w:hint="cs"/>
                      <w:sz w:val="18"/>
                      <w:szCs w:val="18"/>
                      <w:rtl/>
                    </w:rPr>
                    <w:t xml:space="preserve"> </w:t>
                  </w:r>
                  <w:r>
                    <w:rPr>
                      <w:rFonts w:cs="Miriam" w:hint="cs"/>
                      <w:sz w:val="18"/>
                      <w:szCs w:val="18"/>
                      <w:rtl/>
                    </w:rPr>
                    <w:t>תשנ"ו-1996</w:t>
                  </w:r>
                </w:p>
              </w:txbxContent>
            </v:textbox>
            <w10:anchorlock/>
          </v:rect>
        </w:pict>
      </w:r>
      <w:r>
        <w:rPr>
          <w:rFonts w:cs="FrankRuehl" w:hint="cs"/>
          <w:rtl/>
          <w:lang w:eastAsia="en-US"/>
        </w:rPr>
        <w:tab/>
      </w:r>
      <w:r>
        <w:rPr>
          <w:rFonts w:cs="FrankRuehl"/>
          <w:rtl/>
          <w:lang w:eastAsia="en-US"/>
        </w:rPr>
        <w:t>(ב)</w:t>
      </w:r>
      <w:r>
        <w:rPr>
          <w:rFonts w:cs="FrankRuehl" w:hint="cs"/>
          <w:rtl/>
          <w:lang w:eastAsia="en-US"/>
        </w:rPr>
        <w:tab/>
        <w:t>הוראות סעיף 3(ב) עד (ה) יחולו, בשינויים המחוייבים לפי הענין, גם על חישוב ההיטל לנכס לתעשיה ולבית עסק</w:t>
      </w:r>
      <w:r>
        <w:rPr>
          <w:rFonts w:cs="FrankRuehl"/>
          <w:rtl/>
          <w:lang w:eastAsia="en-US"/>
        </w:rPr>
        <w:t xml:space="preserve">. </w:t>
      </w:r>
    </w:p>
    <w:p w:rsidR="009D339E" w:rsidRDefault="009D339E">
      <w:pPr>
        <w:pStyle w:val="P00"/>
        <w:spacing w:before="72"/>
        <w:ind w:left="0" w:right="1134"/>
        <w:rPr>
          <w:rFonts w:cs="FrankRuehl" w:hint="cs"/>
          <w:rtl/>
          <w:lang w:eastAsia="en-US"/>
        </w:rPr>
      </w:pPr>
      <w:bookmarkStart w:id="4" w:name="Seif4"/>
      <w:bookmarkEnd w:id="4"/>
      <w:r>
        <w:rPr>
          <w:lang w:val="he-IL"/>
        </w:rPr>
        <w:pict>
          <v:rect id="_x0000_s1030" style="position:absolute;left:0;text-align:left;margin-left:464.5pt;margin-top:8.05pt;width:75.05pt;height:27.4pt;z-index:251646976" o:allowincell="f" filled="f" stroked="f" strokecolor="lime" strokeweight=".25pt">
            <v:textbox style="mso-next-textbox:#_x0000_s1030" inset="0,0,0,0">
              <w:txbxContent>
                <w:p w:rsidR="009D339E" w:rsidRDefault="009D339E" w:rsidP="005B1380">
                  <w:pPr>
                    <w:spacing w:line="160" w:lineRule="exact"/>
                    <w:jc w:val="left"/>
                    <w:rPr>
                      <w:rFonts w:cs="Miriam" w:hint="cs"/>
                      <w:noProof/>
                      <w:sz w:val="18"/>
                      <w:szCs w:val="18"/>
                      <w:rtl/>
                    </w:rPr>
                  </w:pPr>
                  <w:r>
                    <w:rPr>
                      <w:rFonts w:cs="Miriam" w:hint="cs"/>
                      <w:sz w:val="18"/>
                      <w:szCs w:val="18"/>
                      <w:rtl/>
                    </w:rPr>
                    <w:t xml:space="preserve">תוספת היטל לנכס </w:t>
                  </w:r>
                  <w:proofErr w:type="spellStart"/>
                  <w:r>
                    <w:rPr>
                      <w:rFonts w:cs="Miriam" w:hint="cs"/>
                      <w:sz w:val="18"/>
                      <w:szCs w:val="18"/>
                      <w:rtl/>
                    </w:rPr>
                    <w:t>לתעשיה</w:t>
                  </w:r>
                  <w:proofErr w:type="spellEnd"/>
                  <w:r>
                    <w:rPr>
                      <w:rFonts w:cs="Miriam" w:hint="cs"/>
                      <w:sz w:val="18"/>
                      <w:szCs w:val="18"/>
                      <w:rtl/>
                    </w:rPr>
                    <w:t xml:space="preserve"> או לבית עסק</w:t>
                  </w:r>
                </w:p>
              </w:txbxContent>
            </v:textbox>
            <w10:anchorlock/>
          </v:rect>
        </w:pict>
      </w:r>
      <w:r>
        <w:rPr>
          <w:rStyle w:val="big-number"/>
          <w:rFonts w:cs="Miriam"/>
          <w:rtl/>
        </w:rPr>
        <w:t>5.</w:t>
      </w:r>
      <w:r>
        <w:rPr>
          <w:rStyle w:val="big-number"/>
          <w:rFonts w:cs="Miriam"/>
          <w:rtl/>
        </w:rPr>
        <w:tab/>
      </w:r>
      <w:r>
        <w:rPr>
          <w:rFonts w:cs="FrankRuehl" w:hint="cs"/>
          <w:rtl/>
          <w:lang w:eastAsia="en-US"/>
        </w:rPr>
        <w:t>(א)</w:t>
      </w:r>
      <w:r>
        <w:rPr>
          <w:rFonts w:cs="FrankRuehl" w:hint="cs"/>
          <w:rtl/>
          <w:lang w:eastAsia="en-US"/>
        </w:rPr>
        <w:tab/>
        <w:t>בעל נכס לתעשיה או בית עסק, שכמות השופכין השנתית המוזרמת מנכסו עולה על זכויות הביוב הבסיסיות, ישלם לעיריה תוספת היטל ביוב, נוסף להיטל לפי הוראות סעיף 4, בעד רכישת זכויות ביוב עודפות, לפי שיעורם של תעריפי ההיטל שבתוספת המעודכן ליום התשלום בפועל.</w:t>
      </w:r>
    </w:p>
    <w:p w:rsidR="009D339E" w:rsidRDefault="009D339E">
      <w:pPr>
        <w:pStyle w:val="P00"/>
        <w:spacing w:before="72"/>
        <w:ind w:left="1021" w:right="1134" w:hanging="1021"/>
        <w:rPr>
          <w:rFonts w:cs="FrankRuehl" w:hint="cs"/>
          <w:rtl/>
          <w:lang w:eastAsia="en-US"/>
        </w:rPr>
      </w:pPr>
      <w:r>
        <w:rPr>
          <w:rFonts w:cs="FrankRuehl" w:hint="cs"/>
          <w:rtl/>
          <w:lang w:eastAsia="en-US"/>
        </w:rPr>
        <w:tab/>
        <w:t>(ב)</w:t>
      </w:r>
      <w:r>
        <w:rPr>
          <w:rFonts w:cs="FrankRuehl" w:hint="cs"/>
          <w:rtl/>
          <w:lang w:eastAsia="en-US"/>
        </w:rPr>
        <w:tab/>
        <w:t>(1)</w:t>
      </w:r>
      <w:r>
        <w:rPr>
          <w:rFonts w:cs="FrankRuehl" w:hint="cs"/>
          <w:rtl/>
          <w:lang w:eastAsia="en-US"/>
        </w:rPr>
        <w:tab/>
        <w:t>בעל נכס לתעשיה או בית עסק, שכמות השופכין השנתית המוזרמת מנכסו עולה על זכויות הביוב שנרכשו לנכס בעבר, ישלם לעיריה תוספת היטל בעד רכישת זכויות ביוב עודפות, לפי שיעורם של תעריפי ההיטל שבתוספת, המעודכן ליום התשלום בפועל;</w:t>
      </w:r>
    </w:p>
    <w:p w:rsidR="009D339E" w:rsidRDefault="009D33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חובת תשלום תוספת היטל בעד רכישת זכויות ביוב עודפות כאמור בפסקה (1), תחול על בעל נכס כל אימת שהתקיימו לגבי הנכס התנאים כאמור בה, ללא הגבלה במספר החיובים, בין אם חוייב בעל הנכס בעבר בתשלום היטל ביוב או תוספת להיטל ביוב לפי חוק עזר זה או חוק עזר שקדם לו, ובין אם לאו.</w:t>
      </w:r>
    </w:p>
    <w:p w:rsidR="009D339E" w:rsidRDefault="009D339E">
      <w:pPr>
        <w:pStyle w:val="P00"/>
        <w:spacing w:before="72"/>
        <w:ind w:left="0" w:right="1134" w:hanging="3"/>
        <w:rPr>
          <w:rFonts w:cs="FrankRuehl" w:hint="cs"/>
          <w:rtl/>
          <w:lang w:eastAsia="en-US"/>
        </w:rPr>
      </w:pPr>
      <w:r>
        <w:rPr>
          <w:rFonts w:cs="FrankRuehl" w:hint="cs"/>
          <w:rtl/>
          <w:lang w:eastAsia="en-US"/>
        </w:rPr>
        <w:tab/>
      </w:r>
      <w:r>
        <w:rPr>
          <w:rFonts w:cs="FrankRuehl" w:hint="cs"/>
          <w:rtl/>
          <w:lang w:eastAsia="en-US"/>
        </w:rPr>
        <w:tab/>
        <w:t>(ג)</w:t>
      </w:r>
      <w:r>
        <w:rPr>
          <w:rFonts w:cs="FrankRuehl" w:hint="cs"/>
          <w:rtl/>
          <w:lang w:eastAsia="en-US"/>
        </w:rPr>
        <w:tab/>
        <w:t>בעל נכס לתעשייה או בית עסק, יודיע לעיריה על כל עליה בכמות השופכין השנתית של הנכס לעומת זכויות הביוב הבסיסיות שלו או זכויות הביוב שלו שנרכשו בעבר, לפי הענין, וכן על כל גידול בצריכת המים של הנכס.</w:t>
      </w:r>
    </w:p>
    <w:p w:rsidR="009D339E" w:rsidRDefault="009D339E">
      <w:pPr>
        <w:pStyle w:val="P00"/>
        <w:spacing w:before="72"/>
        <w:ind w:left="0" w:right="1134"/>
        <w:rPr>
          <w:rFonts w:cs="FrankRuehl" w:hint="cs"/>
          <w:rtl/>
          <w:lang w:eastAsia="en-US"/>
        </w:rPr>
      </w:pPr>
      <w:bookmarkStart w:id="5" w:name="Seif8"/>
      <w:bookmarkEnd w:id="5"/>
      <w:r>
        <w:rPr>
          <w:lang w:val="he-IL"/>
        </w:rPr>
        <w:pict>
          <v:rect id="_x0000_s1065" style="position:absolute;left:0;text-align:left;margin-left:464.5pt;margin-top:8.05pt;width:75.05pt;height:10.65pt;z-index:251651072" o:allowincell="f" filled="f" stroked="f" strokecolor="lime" strokeweight=".25pt">
            <v:textbox style="mso-next-textbox:#_x0000_s1065" inset="0,0,0,0">
              <w:txbxContent>
                <w:p w:rsidR="009D339E" w:rsidRDefault="009D339E">
                  <w:pPr>
                    <w:spacing w:line="160" w:lineRule="exact"/>
                    <w:jc w:val="left"/>
                    <w:rPr>
                      <w:rFonts w:cs="Miriam" w:hint="cs"/>
                      <w:noProof/>
                      <w:sz w:val="18"/>
                      <w:szCs w:val="18"/>
                      <w:rtl/>
                    </w:rPr>
                  </w:pPr>
                  <w:r>
                    <w:rPr>
                      <w:rFonts w:cs="Miriam" w:hint="cs"/>
                      <w:sz w:val="18"/>
                      <w:szCs w:val="18"/>
                      <w:rtl/>
                    </w:rPr>
                    <w:t>פטור למטע</w:t>
                  </w:r>
                </w:p>
              </w:txbxContent>
            </v:textbox>
            <w10:anchorlock/>
          </v:rect>
        </w:pict>
      </w:r>
      <w:r>
        <w:rPr>
          <w:rStyle w:val="big-number"/>
          <w:rFonts w:cs="Miriam" w:hint="cs"/>
          <w:rtl/>
        </w:rPr>
        <w:t>6</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אדמת מטר פטור מתשלום היטל ביוב בעדה.</w:t>
      </w:r>
    </w:p>
    <w:p w:rsidR="009D339E" w:rsidRDefault="009D33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שונה יעודה של אדמת מטע או ניתן לגביה היתר לשימוש חורג, לכולה או למקצתה, יחוייב בעלה בתשלום היטל ביוב כאמור בסעיפים 3 עד 5, לפי שיעורם של תעריפי ההיטל שבתוספת, המעודכן ליום התשלום בפועל.</w:t>
      </w:r>
    </w:p>
    <w:p w:rsidR="009D339E" w:rsidRDefault="009D339E">
      <w:pPr>
        <w:pStyle w:val="P00"/>
        <w:spacing w:before="72"/>
        <w:ind w:left="0" w:right="1134"/>
        <w:rPr>
          <w:rFonts w:cs="FrankRuehl" w:hint="cs"/>
          <w:rtl/>
          <w:lang w:eastAsia="en-US"/>
        </w:rPr>
      </w:pPr>
      <w:bookmarkStart w:id="6" w:name="Seif9"/>
      <w:bookmarkEnd w:id="6"/>
      <w:r>
        <w:rPr>
          <w:lang w:val="he-IL"/>
        </w:rPr>
        <w:pict>
          <v:rect id="_x0000_s1066" style="position:absolute;left:0;text-align:left;margin-left:464.5pt;margin-top:8.05pt;width:75.05pt;height:9.85pt;z-index:251652096" o:allowincell="f" filled="f" stroked="f" strokecolor="lime" strokeweight=".25pt">
            <v:textbox style="mso-next-textbox:#_x0000_s1066" inset="0,0,0,0">
              <w:txbxContent>
                <w:p w:rsidR="009D339E" w:rsidRDefault="009D339E" w:rsidP="005B1380">
                  <w:pPr>
                    <w:spacing w:line="160" w:lineRule="exact"/>
                    <w:jc w:val="left"/>
                    <w:rPr>
                      <w:rFonts w:cs="Miriam" w:hint="cs"/>
                      <w:noProof/>
                      <w:sz w:val="18"/>
                      <w:szCs w:val="18"/>
                      <w:rtl/>
                    </w:rPr>
                  </w:pPr>
                  <w:r>
                    <w:rPr>
                      <w:rFonts w:cs="Miriam" w:hint="cs"/>
                      <w:sz w:val="18"/>
                      <w:szCs w:val="18"/>
                      <w:rtl/>
                    </w:rPr>
                    <w:t>חיבור ביב</w:t>
                  </w:r>
                  <w:r w:rsidR="005B1380">
                    <w:rPr>
                      <w:rFonts w:cs="Miriam" w:hint="cs"/>
                      <w:sz w:val="18"/>
                      <w:szCs w:val="18"/>
                      <w:rtl/>
                    </w:rPr>
                    <w:t xml:space="preserve"> </w:t>
                  </w:r>
                  <w:r>
                    <w:rPr>
                      <w:rFonts w:cs="Miriam" w:hint="cs"/>
                      <w:sz w:val="18"/>
                      <w:szCs w:val="18"/>
                      <w:rtl/>
                    </w:rPr>
                    <w:t>פרטי</w:t>
                  </w:r>
                </w:p>
              </w:txbxContent>
            </v:textbox>
            <w10:anchorlock/>
          </v:rect>
        </w:pict>
      </w:r>
      <w:r>
        <w:rPr>
          <w:rStyle w:val="big-number"/>
          <w:rFonts w:cs="Miriam" w:hint="cs"/>
          <w:rtl/>
        </w:rPr>
        <w:t>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בעל נכס או מחזיק בנכס המבקש לחבר ביב פרטי שבנכס לביוב, יגיש למהנדס בקשה בכתב בצירוף תכנית החיבור; היה הביוב בתחום שיפוטה של רשות מקומית אחרת, תצורף לבקשה הסכמת אותה רשות מקומית.</w:t>
      </w:r>
    </w:p>
    <w:p w:rsidR="009D339E" w:rsidRDefault="009D33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יחובר ביב פרטי לביוב אלא לאחר אישור מראש ובכתב מאת המהנדס.</w:t>
      </w:r>
    </w:p>
    <w:p w:rsidR="009D339E" w:rsidRDefault="009D339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המהנדס רשאי להתנות מתן אישור כאמור בפסקה (ב) בקיום הוראות כל דין, לרבות חיקוקי בניה.</w:t>
      </w:r>
    </w:p>
    <w:p w:rsidR="009D339E" w:rsidRDefault="009D339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יחובר ביב פרטי לביוב אלא בידי העיריה.</w:t>
      </w:r>
    </w:p>
    <w:p w:rsidR="009D339E" w:rsidRDefault="009D339E" w:rsidP="005B1380">
      <w:pPr>
        <w:pStyle w:val="P00"/>
        <w:spacing w:before="72"/>
        <w:ind w:left="0" w:right="1134"/>
        <w:rPr>
          <w:rFonts w:cs="FrankRuehl" w:hint="cs"/>
          <w:rtl/>
          <w:lang w:eastAsia="en-US"/>
        </w:rPr>
      </w:pPr>
      <w:bookmarkStart w:id="7" w:name="Seif10"/>
      <w:bookmarkEnd w:id="7"/>
      <w:r>
        <w:rPr>
          <w:noProof w:val="0"/>
        </w:rPr>
        <w:pict>
          <v:rect id="_x0000_s1067" style="position:absolute;left:0;text-align:left;margin-left:464.35pt;margin-top:7.1pt;width:75.05pt;height:15.6pt;z-index:251653120" o:allowincell="f" filled="f" stroked="f" strokecolor="lime" strokeweight=".25pt">
            <v:textbox style="mso-next-textbox:#_x0000_s1067" inset="0,0,0,0">
              <w:txbxContent>
                <w:p w:rsidR="009D339E" w:rsidRDefault="009D339E" w:rsidP="005B1380">
                  <w:pPr>
                    <w:spacing w:line="160" w:lineRule="exact"/>
                    <w:jc w:val="left"/>
                    <w:rPr>
                      <w:rFonts w:cs="Miriam" w:hint="cs"/>
                      <w:sz w:val="18"/>
                      <w:szCs w:val="18"/>
                      <w:rtl/>
                    </w:rPr>
                  </w:pPr>
                  <w:r>
                    <w:rPr>
                      <w:rFonts w:cs="Miriam" w:hint="cs"/>
                      <w:sz w:val="18"/>
                      <w:szCs w:val="18"/>
                      <w:rtl/>
                    </w:rPr>
                    <w:t>התקנת ביב</w:t>
                  </w:r>
                  <w:r w:rsidR="005B1380">
                    <w:rPr>
                      <w:rFonts w:cs="Miriam" w:hint="cs"/>
                      <w:sz w:val="18"/>
                      <w:szCs w:val="18"/>
                      <w:rtl/>
                    </w:rPr>
                    <w:t xml:space="preserve"> </w:t>
                  </w:r>
                  <w:r>
                    <w:rPr>
                      <w:rFonts w:cs="Miriam" w:hint="cs"/>
                      <w:sz w:val="18"/>
                      <w:szCs w:val="18"/>
                      <w:rtl/>
                    </w:rPr>
                    <w:t>ציבורי</w:t>
                  </w:r>
                </w:p>
              </w:txbxContent>
            </v:textbox>
            <w10:wrap anchorx="page"/>
            <w10:anchorlock/>
          </v:rect>
        </w:pict>
      </w:r>
      <w:r>
        <w:rPr>
          <w:rStyle w:val="big-number"/>
          <w:rFonts w:cs="Miriam" w:hint="cs"/>
          <w:rtl/>
        </w:rPr>
        <w:t>8</w:t>
      </w:r>
      <w:r>
        <w:rPr>
          <w:rStyle w:val="big-number"/>
          <w:rFonts w:cs="Miriam"/>
          <w:rtl/>
        </w:rPr>
        <w:t>.</w:t>
      </w:r>
      <w:r>
        <w:rPr>
          <w:rStyle w:val="big-number"/>
          <w:rFonts w:cs="Miriam"/>
          <w:rtl/>
        </w:rPr>
        <w:tab/>
      </w:r>
      <w:r>
        <w:rPr>
          <w:rFonts w:cs="FrankRuehl"/>
          <w:rtl/>
          <w:lang w:eastAsia="en-US"/>
        </w:rPr>
        <w:t>(א)</w:t>
      </w:r>
      <w:r>
        <w:rPr>
          <w:rFonts w:cs="FrankRuehl"/>
          <w:rtl/>
          <w:lang w:eastAsia="en-US"/>
        </w:rPr>
        <w:tab/>
      </w:r>
      <w:r>
        <w:rPr>
          <w:rFonts w:cs="FrankRuehl" w:hint="cs"/>
          <w:rtl/>
          <w:lang w:eastAsia="en-US"/>
        </w:rPr>
        <w:t>בכפוף להוראות כל דין, רשאי ראש העיריה להורות בהודעה בכתב לבעל נכס להתקין ביב ציבורי. בהודעה יפורטו תנאי ההתקנה, אופן ההתקנה ותקופת ביצועה.</w:t>
      </w:r>
    </w:p>
    <w:p w:rsidR="009D339E" w:rsidRDefault="009D339E" w:rsidP="005B138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יתקין אדם ביב ציבורי אלא אם כן הורה לו ראש העיריה להתקינו כאמור בסעיף קטן (א) ובהתאם לתנאים שפורטו בהודעה</w:t>
      </w:r>
      <w:r>
        <w:rPr>
          <w:rFonts w:cs="FrankRuehl"/>
          <w:rtl/>
          <w:lang w:eastAsia="en-US"/>
        </w:rPr>
        <w:t>.</w:t>
      </w:r>
    </w:p>
    <w:p w:rsidR="009D339E" w:rsidRDefault="009D339E" w:rsidP="005B138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התקנת ביב ציבורי לפי הודעה כאמור בסעיף קטן (א) תבוצע לפי תכנית ביצוע, מפרטים וכתבי כמויות שאישר מהנדס העיריה, וכן על פי אומדן תקציבי שאישרוהו המנהל וגזבר העיריה.</w:t>
      </w:r>
    </w:p>
    <w:p w:rsidR="009D339E" w:rsidRDefault="009D339E" w:rsidP="005B1380">
      <w:pPr>
        <w:pStyle w:val="P00"/>
        <w:spacing w:before="72"/>
        <w:ind w:left="0" w:right="1134"/>
        <w:rPr>
          <w:rFonts w:cs="FrankRuehl" w:hint="cs"/>
          <w:lang w:eastAsia="en-US"/>
        </w:rPr>
      </w:pPr>
      <w:r>
        <w:rPr>
          <w:rFonts w:cs="FrankRuehl" w:hint="cs"/>
          <w:rtl/>
          <w:lang w:eastAsia="en-US"/>
        </w:rPr>
        <w:tab/>
        <w:t>(ד)</w:t>
      </w:r>
      <w:r>
        <w:rPr>
          <w:rFonts w:cs="FrankRuehl" w:hint="cs"/>
          <w:rtl/>
          <w:lang w:eastAsia="en-US"/>
        </w:rPr>
        <w:tab/>
        <w:t>התקין אדם ביב ציבורי שלא לפי הודעה מאת ראש העיריה או שלא לפי התנאים שפורטו בה כאמור בפסקאות (א) ו-(ב) או שלא על פי תכנית, מפרטים וכתבי כמויות כאמור בפסקה (ג), רשאית העיריה לשנות או להרוס ביב ציבורי כאמור ולבצע את ההתקנה עצמה, וכן רשאית העיריה לגבות מאותו אדם הוצאות שהוציאה לשם שינויו או הריסתו של ביב ציבורי והתקנתו מחדש. תשלום הוצאות לעיריה מאת אדם כאמור בסעיף קטן זה אינו גורע מחובתו לשלם לעיריה את סכום ההיטל במלואו כאמור בסעיפים 3 עד 6.</w:t>
      </w:r>
    </w:p>
    <w:p w:rsidR="009D339E" w:rsidRDefault="009D339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מילא בעל נכס אחר הודעת ראש העיריה כאמור בסעיף זה, הוא יחוייב בתשלום ההיטל בהתאם להוראות חוק עזר זה.</w:t>
      </w:r>
    </w:p>
    <w:p w:rsidR="009D339E" w:rsidRDefault="009D339E">
      <w:pPr>
        <w:pStyle w:val="P00"/>
        <w:spacing w:before="72"/>
        <w:ind w:left="1021" w:right="1134" w:hanging="1021"/>
        <w:rPr>
          <w:rFonts w:cs="FrankRuehl" w:hint="cs"/>
          <w:rtl/>
          <w:lang w:eastAsia="en-US"/>
        </w:rPr>
      </w:pPr>
      <w:r>
        <w:rPr>
          <w:rFonts w:cs="FrankRuehl" w:hint="cs"/>
          <w:rtl/>
          <w:lang w:eastAsia="en-US"/>
        </w:rPr>
        <w:tab/>
        <w:t>(ו)</w:t>
      </w:r>
      <w:r>
        <w:rPr>
          <w:rFonts w:cs="FrankRuehl" w:hint="cs"/>
          <w:rtl/>
          <w:lang w:eastAsia="en-US"/>
        </w:rPr>
        <w:tab/>
        <w:t>(1)</w:t>
      </w:r>
      <w:r>
        <w:rPr>
          <w:rFonts w:cs="FrankRuehl" w:hint="cs"/>
          <w:rtl/>
          <w:lang w:eastAsia="en-US"/>
        </w:rPr>
        <w:tab/>
        <w:t xml:space="preserve">התקין בעל נכס ביב ציבורי כאמור בסעיף קטן (א), יקוזזו הוצאות ההתקנה (להלן </w:t>
      </w:r>
      <w:r>
        <w:rPr>
          <w:rFonts w:cs="FrankRuehl" w:hint="eastAsia"/>
          <w:rtl/>
          <w:lang w:eastAsia="en-US"/>
        </w:rPr>
        <w:t>– הוצאות ההתקנה</w:t>
      </w:r>
      <w:r>
        <w:rPr>
          <w:rFonts w:cs="FrankRuehl" w:hint="cs"/>
          <w:rtl/>
          <w:lang w:eastAsia="en-US"/>
        </w:rPr>
        <w:t xml:space="preserve">) מסכום ההיטל שחוייב בו בעל הנכס לפי הוראות חוק עזר זה. מהוצאות ההתקנה ינוכו הוצאות העיריה בשל ניהול, פיקוח ופעולות כיוצא  בהם  שעשתה העיריה לצורך התקנת הביב הציבורי (להלן </w:t>
      </w:r>
      <w:r>
        <w:rPr>
          <w:rFonts w:cs="FrankRuehl" w:hint="eastAsia"/>
          <w:rtl/>
          <w:lang w:eastAsia="en-US"/>
        </w:rPr>
        <w:t>– הוצאות העיריה</w:t>
      </w:r>
      <w:r>
        <w:rPr>
          <w:rFonts w:cs="FrankRuehl" w:hint="cs"/>
          <w:rtl/>
          <w:lang w:eastAsia="en-US"/>
        </w:rPr>
        <w:t>);</w:t>
      </w:r>
    </w:p>
    <w:p w:rsidR="009D339E" w:rsidRDefault="009D33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סכום הוצאות ההתקנה והוצאות העיריה ייקבעו בידי המנהל;</w:t>
      </w:r>
    </w:p>
    <w:p w:rsidR="009D339E" w:rsidRDefault="009D339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אישור או חשבון מאת המנהל בדבר סכום ההוצאות שהוצאו לביצוע עבודה לפי הוראות חוק עזר זה, ישמש ראיה לכאורה לנכונות הסכום הנקוב בו.</w:t>
      </w:r>
    </w:p>
    <w:p w:rsidR="009D339E" w:rsidRDefault="009D339E" w:rsidP="005B1380">
      <w:pPr>
        <w:pStyle w:val="P00"/>
        <w:spacing w:before="72"/>
        <w:ind w:left="1021" w:right="1134" w:hanging="1021"/>
        <w:rPr>
          <w:rFonts w:cs="FrankRuehl" w:hint="cs"/>
          <w:rtl/>
          <w:lang w:eastAsia="en-US"/>
        </w:rPr>
      </w:pPr>
      <w:bookmarkStart w:id="8" w:name="Seif11"/>
      <w:bookmarkStart w:id="9" w:name="Seif18"/>
      <w:bookmarkEnd w:id="8"/>
      <w:bookmarkEnd w:id="9"/>
      <w:r>
        <w:rPr>
          <w:noProof w:val="0"/>
        </w:rPr>
        <w:pict>
          <v:rect id="_x0000_s1068" style="position:absolute;left:0;text-align:left;margin-left:464.5pt;margin-top:8.05pt;width:75.05pt;height:22.3pt;z-index:251654144" o:allowincell="f" filled="f" stroked="f" strokecolor="lime" strokeweight=".25pt">
            <v:textbox style="mso-next-textbox:#_x0000_s1068" inset="0,0,0,0">
              <w:txbxContent>
                <w:p w:rsidR="009D339E" w:rsidRDefault="009D339E">
                  <w:pPr>
                    <w:spacing w:line="160" w:lineRule="exact"/>
                    <w:jc w:val="left"/>
                    <w:rPr>
                      <w:rFonts w:cs="Miriam" w:hint="cs"/>
                      <w:sz w:val="18"/>
                      <w:szCs w:val="18"/>
                      <w:rtl/>
                    </w:rPr>
                  </w:pPr>
                  <w:r>
                    <w:rPr>
                      <w:rFonts w:cs="Miriam" w:hint="cs"/>
                      <w:sz w:val="18"/>
                      <w:szCs w:val="18"/>
                      <w:rtl/>
                    </w:rPr>
                    <w:t>אגרת ביוב</w:t>
                  </w:r>
                </w:p>
                <w:p w:rsidR="005B1380" w:rsidRDefault="005B1380">
                  <w:pPr>
                    <w:spacing w:line="160" w:lineRule="exact"/>
                    <w:jc w:val="left"/>
                    <w:rPr>
                      <w:rFonts w:cs="Miriam" w:hint="cs"/>
                      <w:sz w:val="18"/>
                      <w:szCs w:val="18"/>
                      <w:rtl/>
                    </w:rPr>
                  </w:pPr>
                  <w:r>
                    <w:rPr>
                      <w:rFonts w:cs="Miriam" w:hint="cs"/>
                      <w:sz w:val="18"/>
                      <w:szCs w:val="18"/>
                      <w:rtl/>
                    </w:rPr>
                    <w:t>תיקון תשס"ד-2004</w:t>
                  </w:r>
                </w:p>
              </w:txbxContent>
            </v:textbox>
            <w10:wrap anchorx="page"/>
            <w10:anchorlock/>
          </v:rect>
        </w:pict>
      </w:r>
      <w:r>
        <w:rPr>
          <w:rStyle w:val="big-number"/>
          <w:rFonts w:cs="Miriam" w:hint="cs"/>
          <w:rtl/>
        </w:rPr>
        <w:t>9</w:t>
      </w:r>
      <w:r>
        <w:rPr>
          <w:rStyle w:val="big-number"/>
          <w:rFonts w:cs="Miriam"/>
          <w:rtl/>
        </w:rPr>
        <w:t>.</w:t>
      </w:r>
      <w:r>
        <w:rPr>
          <w:rStyle w:val="big-number"/>
          <w:rFonts w:cs="Miriam"/>
          <w:rtl/>
        </w:rPr>
        <w:tab/>
      </w:r>
      <w:r>
        <w:rPr>
          <w:rFonts w:cs="FrankRuehl"/>
          <w:rtl/>
          <w:lang w:eastAsia="en-US"/>
        </w:rPr>
        <w:t>(א)</w:t>
      </w:r>
      <w:r>
        <w:rPr>
          <w:rFonts w:cs="FrankRuehl"/>
          <w:rtl/>
          <w:lang w:eastAsia="en-US"/>
        </w:rPr>
        <w:tab/>
      </w:r>
      <w:r>
        <w:rPr>
          <w:rFonts w:cs="FrankRuehl" w:hint="cs"/>
          <w:rtl/>
          <w:lang w:eastAsia="en-US"/>
        </w:rPr>
        <w:t>(1)</w:t>
      </w:r>
      <w:r>
        <w:rPr>
          <w:rFonts w:cs="FrankRuehl" w:hint="cs"/>
          <w:rtl/>
          <w:lang w:eastAsia="en-US"/>
        </w:rPr>
        <w:tab/>
      </w:r>
      <w:r>
        <w:rPr>
          <w:rFonts w:cs="FrankRuehl"/>
          <w:rtl/>
          <w:lang w:eastAsia="en-US"/>
        </w:rPr>
        <w:t>מחזיק בנכס ישלם לעיריה אגרת ביוב</w:t>
      </w:r>
      <w:r>
        <w:rPr>
          <w:rFonts w:cs="FrankRuehl" w:hint="cs"/>
          <w:rtl/>
          <w:lang w:eastAsia="en-US"/>
        </w:rPr>
        <w:t xml:space="preserve"> ואגרה להחלפה ושיקום קווים (קרן פחת);</w:t>
      </w:r>
      <w:r>
        <w:rPr>
          <w:rFonts w:cs="FrankRuehl"/>
          <w:rtl/>
          <w:lang w:eastAsia="en-US"/>
        </w:rPr>
        <w:t xml:space="preserve"> סכום האגר</w:t>
      </w:r>
      <w:r>
        <w:rPr>
          <w:rFonts w:cs="FrankRuehl" w:hint="cs"/>
          <w:rtl/>
          <w:lang w:eastAsia="en-US"/>
        </w:rPr>
        <w:t>ות</w:t>
      </w:r>
      <w:r>
        <w:rPr>
          <w:rFonts w:cs="FrankRuehl"/>
          <w:rtl/>
          <w:lang w:eastAsia="en-US"/>
        </w:rPr>
        <w:t xml:space="preserve"> יהיה סכום המתקבל ממכפלת כמות המים שנצרכה בידי</w:t>
      </w:r>
      <w:r>
        <w:rPr>
          <w:rFonts w:cs="FrankRuehl" w:hint="cs"/>
          <w:rtl/>
          <w:lang w:eastAsia="en-US"/>
        </w:rPr>
        <w:t xml:space="preserve"> בעל הנכס או המחזיק בו, לפי הענין, כפי שמדד מד המים בנכס (להלן </w:t>
      </w:r>
      <w:r>
        <w:rPr>
          <w:rFonts w:cs="FrankRuehl" w:hint="eastAsia"/>
          <w:rtl/>
          <w:lang w:eastAsia="en-US"/>
        </w:rPr>
        <w:t>– כמות המים שנצרכה</w:t>
      </w:r>
      <w:r>
        <w:rPr>
          <w:rFonts w:cs="FrankRuehl" w:hint="cs"/>
          <w:rtl/>
          <w:lang w:eastAsia="en-US"/>
        </w:rPr>
        <w:t>), בשיעורי האגרות הנקובים בפרטים 4 או 5 לתוספת, לפי הענין, המעודכנים ליום התשלום בפועל; האגרה להחלפה ולשיקום קווים (קרן פחת) תיגבה למשך תקופה של 5 שנים מיום תחילת גבייתה; סכומי האגרה להחלפה ולשיקום קווים (קרן פחת) שייגבו, יופקדו וינוהלו במסגרת חשבון נפרד.</w:t>
      </w:r>
    </w:p>
    <w:p w:rsidR="009D339E" w:rsidRDefault="009D339E" w:rsidP="005B1380">
      <w:pPr>
        <w:pStyle w:val="P00"/>
        <w:spacing w:before="72"/>
        <w:ind w:left="1021" w:right="1134"/>
        <w:rPr>
          <w:rFonts w:cs="FrankRuehl" w:hint="cs"/>
          <w:rtl/>
          <w:lang w:eastAsia="en-US"/>
        </w:rPr>
      </w:pPr>
      <w:r>
        <w:rPr>
          <w:rFonts w:cs="FrankRuehl"/>
          <w:rtl/>
          <w:lang w:val="he-IL"/>
        </w:rPr>
        <w:pict>
          <v:rect id="_x0000_s1085" style="position:absolute;left:0;text-align:left;margin-left:464.35pt;margin-top:7.1pt;width:75.05pt;height:10pt;z-index:251668480" filled="f" stroked="f" strokecolor="lime" strokeweight=".25pt">
            <v:textbox style="mso-next-textbox:#_x0000_s1085"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תשס"ז-2006</w:t>
                  </w:r>
                </w:p>
              </w:txbxContent>
            </v:textbox>
            <w10:anchorlock/>
          </v:rect>
        </w:pict>
      </w:r>
      <w:r>
        <w:rPr>
          <w:rFonts w:cs="FrankRuehl" w:hint="cs"/>
          <w:rtl/>
          <w:lang w:eastAsia="en-US"/>
        </w:rPr>
        <w:t>(2)</w:t>
      </w:r>
      <w:r>
        <w:rPr>
          <w:rFonts w:cs="FrankRuehl" w:hint="cs"/>
          <w:rtl/>
          <w:lang w:eastAsia="en-US"/>
        </w:rPr>
        <w:tab/>
        <w:t>בוטל.</w:t>
      </w:r>
    </w:p>
    <w:p w:rsidR="009D339E" w:rsidRDefault="009D339E" w:rsidP="005B138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העיריה תמנה ועדה אשר תדון ותחליט אם לקבל או לדחות בקשה להפחתת סכום אגרת ביוב שהגיש לה בעלו או מחזיקו של מפעל או בית עסק (להלן </w:t>
      </w:r>
      <w:r>
        <w:rPr>
          <w:rFonts w:cs="FrankRuehl" w:hint="eastAsia"/>
          <w:rtl/>
          <w:lang w:eastAsia="en-US"/>
        </w:rPr>
        <w:t>– הועדה</w:t>
      </w:r>
      <w:r>
        <w:rPr>
          <w:rFonts w:cs="FrankRuehl" w:hint="cs"/>
          <w:rtl/>
          <w:lang w:eastAsia="en-US"/>
        </w:rPr>
        <w:t>), ויחולו לגבי בקשה כאמור הוראות אלה:</w:t>
      </w:r>
    </w:p>
    <w:p w:rsidR="009D339E" w:rsidRDefault="009D339E" w:rsidP="005B138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קני המידה שלפיהם תחליט הועדה יהיו כאמור בסעיף 39(ב) לחוק, וכן קריטריונים נוספים שקבעה הועדה, והיא תהא רשאית להחליט לפיהם אם להפחית משיעור האגרה שבה חוייב בעל הנכס או מחזיקו, לפי הענין, וכן לקבוע את שיעור ההפחתה;</w:t>
      </w:r>
    </w:p>
    <w:p w:rsidR="009D339E" w:rsidRDefault="009D339E" w:rsidP="005B138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הועדה תהא רשאית, לענין חישוב אגרת ביוב שבה יחוייב בעל הנכס או מחזיקו, לפי הענין, אף להחליט אם להפחית מכמות המים הנצרכת, את כמות המים המשולבת במוצר הסופי או את כמות המים שאינה מוזרמת למערכת הביוב העירונית, וכן לקבוע את שיעור ההפחתה.</w:t>
      </w:r>
    </w:p>
    <w:p w:rsidR="009D339E" w:rsidRDefault="009D339E">
      <w:pPr>
        <w:pStyle w:val="P00"/>
        <w:spacing w:before="72"/>
        <w:ind w:left="0" w:right="1134"/>
        <w:rPr>
          <w:rStyle w:val="default"/>
          <w:rtl/>
        </w:rPr>
      </w:pPr>
      <w:bookmarkStart w:id="10" w:name="Seif13"/>
      <w:bookmarkEnd w:id="10"/>
      <w:r>
        <w:rPr>
          <w:lang w:val="he-IL"/>
        </w:rPr>
        <w:pict>
          <v:rect id="_x0000_s1070" style="position:absolute;left:0;text-align:left;margin-left:464.5pt;margin-top:8.05pt;width:75.05pt;height:11.55pt;z-index:251656192" o:allowincell="f" filled="f" stroked="f" strokecolor="lime" strokeweight=".25pt">
            <v:textbox style="mso-next-textbox:#_x0000_s1070" inset="0,0,0,0">
              <w:txbxContent>
                <w:p w:rsidR="009D339E" w:rsidRDefault="009D339E">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rtl/>
          <w:lang w:eastAsia="en-US"/>
        </w:rPr>
        <w:t>אגרת ביוב תשולם י</w:t>
      </w:r>
      <w:r>
        <w:rPr>
          <w:rFonts w:cs="FrankRuehl" w:hint="cs"/>
          <w:rtl/>
          <w:lang w:eastAsia="en-US"/>
        </w:rPr>
        <w:t>ח</w:t>
      </w:r>
      <w:r>
        <w:rPr>
          <w:rFonts w:cs="FrankRuehl"/>
          <w:rtl/>
          <w:lang w:eastAsia="en-US"/>
        </w:rPr>
        <w:t xml:space="preserve">ד עם אגרת מים לפי חוק עזר </w:t>
      </w:r>
      <w:r>
        <w:rPr>
          <w:rFonts w:cs="FrankRuehl" w:hint="cs"/>
          <w:rtl/>
          <w:lang w:eastAsia="en-US"/>
        </w:rPr>
        <w:t>לראשון לציון</w:t>
      </w:r>
      <w:r>
        <w:rPr>
          <w:rFonts w:cs="FrankRuehl"/>
          <w:rtl/>
          <w:lang w:eastAsia="en-US"/>
        </w:rPr>
        <w:t xml:space="preserve"> (אספקת מים), התש</w:t>
      </w:r>
      <w:r>
        <w:rPr>
          <w:rFonts w:cs="FrankRuehl" w:hint="cs"/>
          <w:rtl/>
          <w:lang w:eastAsia="en-US"/>
        </w:rPr>
        <w:t>כ"ז</w:t>
      </w:r>
      <w:r>
        <w:rPr>
          <w:rFonts w:cs="FrankRuehl"/>
          <w:rtl/>
          <w:lang w:eastAsia="en-US"/>
        </w:rPr>
        <w:t>-</w:t>
      </w:r>
      <w:r>
        <w:rPr>
          <w:rFonts w:cs="FrankRuehl" w:hint="cs"/>
          <w:rtl/>
          <w:lang w:eastAsia="en-US"/>
        </w:rPr>
        <w:t>1967, או חוק עזר שיחליפו, ובלבד שתשלום אגרת ביוב לא יהיה מאוחר מהמועד שנקבע לכך בהודעת החיוב</w:t>
      </w:r>
      <w:r>
        <w:rPr>
          <w:rStyle w:val="default"/>
          <w:rFonts w:hint="cs"/>
          <w:rtl/>
        </w:rPr>
        <w:t xml:space="preserve">. </w:t>
      </w:r>
    </w:p>
    <w:p w:rsidR="009D339E" w:rsidRDefault="009D339E">
      <w:pPr>
        <w:pStyle w:val="P00"/>
        <w:spacing w:before="72"/>
        <w:ind w:left="0" w:right="1134"/>
        <w:rPr>
          <w:rFonts w:cs="FrankRuehl" w:hint="cs"/>
          <w:rtl/>
          <w:lang w:eastAsia="en-US"/>
        </w:rPr>
      </w:pPr>
      <w:bookmarkStart w:id="11" w:name="Seif12"/>
      <w:bookmarkEnd w:id="11"/>
      <w:r>
        <w:rPr>
          <w:lang w:val="he-IL"/>
        </w:rPr>
        <w:pict>
          <v:rect id="_x0000_s1069" style="position:absolute;left:0;text-align:left;margin-left:464.5pt;margin-top:8.05pt;width:75.05pt;height:20.8pt;z-index:251655168" o:allowincell="f" filled="f" stroked="f" strokecolor="lime" strokeweight=".25pt">
            <v:textbox style="mso-next-textbox:#_x0000_s1069" inset="0,0,0,0">
              <w:txbxContent>
                <w:p w:rsidR="009D339E" w:rsidRDefault="009D339E" w:rsidP="005B1380">
                  <w:pPr>
                    <w:spacing w:line="160" w:lineRule="exact"/>
                    <w:jc w:val="left"/>
                    <w:rPr>
                      <w:rFonts w:cs="Miriam" w:hint="cs"/>
                      <w:noProof/>
                      <w:sz w:val="18"/>
                      <w:szCs w:val="18"/>
                      <w:rtl/>
                    </w:rPr>
                  </w:pPr>
                  <w:r>
                    <w:rPr>
                      <w:rFonts w:cs="Miriam" w:hint="cs"/>
                      <w:sz w:val="18"/>
                      <w:szCs w:val="18"/>
                      <w:rtl/>
                    </w:rPr>
                    <w:t>סכום ההיטל</w:t>
                  </w:r>
                  <w:r w:rsidR="005B1380">
                    <w:rPr>
                      <w:rFonts w:cs="Miriam" w:hint="cs"/>
                      <w:sz w:val="18"/>
                      <w:szCs w:val="18"/>
                      <w:rtl/>
                    </w:rPr>
                    <w:t xml:space="preserve"> </w:t>
                  </w:r>
                  <w:r>
                    <w:rPr>
                      <w:rFonts w:cs="Miriam" w:hint="cs"/>
                      <w:sz w:val="18"/>
                      <w:szCs w:val="18"/>
                      <w:rtl/>
                    </w:rPr>
                    <w:t>או האגרה</w:t>
                  </w:r>
                  <w:r w:rsidR="005B1380">
                    <w:rPr>
                      <w:rFonts w:cs="Miriam" w:hint="cs"/>
                      <w:sz w:val="18"/>
                      <w:szCs w:val="18"/>
                      <w:rtl/>
                    </w:rPr>
                    <w:t xml:space="preserve"> </w:t>
                  </w:r>
                  <w:r>
                    <w:rPr>
                      <w:rFonts w:cs="Miriam" w:hint="cs"/>
                      <w:sz w:val="18"/>
                      <w:szCs w:val="18"/>
                      <w:rtl/>
                    </w:rPr>
                    <w:t>והודעה לחייב</w:t>
                  </w:r>
                </w:p>
              </w:txbxContent>
            </v:textbox>
            <w10:anchorlock/>
          </v:rect>
        </w:pict>
      </w:r>
      <w:r>
        <w:rPr>
          <w:rStyle w:val="big-number"/>
          <w:rFonts w:cs="Miriam" w:hint="cs"/>
          <w:rtl/>
        </w:rPr>
        <w:t>11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t>הודעה בדבר חיוב בהיטל או באגרה תישלח מאת העיריה לחייב או תימסר לידיו.</w:t>
      </w:r>
    </w:p>
    <w:p w:rsidR="009D339E" w:rsidRDefault="009D339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נשלחה או נמסרה לחייב הודעת החיוב, ישלם בעל הנכס או המחזיק בו את ההיטל או האגרה, לפי העניין, מכוח הוראות חוק עזר זה.</w:t>
      </w:r>
    </w:p>
    <w:p w:rsidR="009D339E" w:rsidRDefault="009D339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סכום ההיטל או האגרה לפי הוראות חוק עזר זה יחושב לפי שיעורם של תעריפי ההיטל או האגרה שבתוספת, לפי הענין, המעודכן ליום התשלום בפועל.</w:t>
      </w:r>
    </w:p>
    <w:p w:rsidR="009D339E" w:rsidRDefault="009D339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שולם ההיטל או האגרה עד המועד בהודעת החיוב, יחושב סכום ההיטל או האגרה, לפי שיעורם של תעריפי ההיטל או האגרה, לפי הענין, שבתוספת, המעודכן ליום התשלום בפועל, או לפי הסכום הנקוב בהודעת החיוב בתוספת ריבית והצמדה כדין עד יום התשלום בפועל, לפי הסכום הגדול מביניהם.</w:t>
      </w:r>
    </w:p>
    <w:p w:rsidR="009D339E" w:rsidRDefault="009D339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נפלה טעות בחישוב העיריה שבעטיה שולם לה סכום קטן מהסכום המגיע לפי הוראות חוק עזר זה (להלן </w:t>
      </w:r>
      <w:r>
        <w:rPr>
          <w:rFonts w:cs="FrankRuehl" w:hint="eastAsia"/>
          <w:rtl/>
          <w:lang w:eastAsia="en-US"/>
        </w:rPr>
        <w:t>– הפרש</w:t>
      </w:r>
      <w:r>
        <w:rPr>
          <w:rFonts w:cs="FrankRuehl" w:hint="cs"/>
          <w:rtl/>
          <w:lang w:eastAsia="en-US"/>
        </w:rPr>
        <w:t>), תהא העיריה רשאית לגבות את הפרש הסכום המגיע לה לפי האמור בסעיף קטן (ג).</w:t>
      </w:r>
    </w:p>
    <w:p w:rsidR="009D339E" w:rsidRDefault="009D339E">
      <w:pPr>
        <w:pStyle w:val="P00"/>
        <w:spacing w:before="72"/>
        <w:ind w:left="0" w:right="1134"/>
        <w:rPr>
          <w:rFonts w:cs="FrankRuehl" w:hint="cs"/>
          <w:rtl/>
          <w:lang w:eastAsia="en-US"/>
        </w:rPr>
      </w:pPr>
      <w:bookmarkStart w:id="12" w:name="Seif14"/>
      <w:bookmarkEnd w:id="12"/>
      <w:r>
        <w:rPr>
          <w:lang w:val="he-IL"/>
        </w:rPr>
        <w:pict>
          <v:rect id="_x0000_s1071" style="position:absolute;left:0;text-align:left;margin-left:464.5pt;margin-top:8.05pt;width:75.05pt;height:11.5pt;z-index:251657216" o:allowincell="f" filled="f" stroked="f" strokecolor="lime" strokeweight=".25pt">
            <v:textbox style="mso-next-textbox:#_x0000_s1071" inset="0,0,0,0">
              <w:txbxContent>
                <w:p w:rsidR="009D339E" w:rsidRDefault="009D339E" w:rsidP="005B1380">
                  <w:pPr>
                    <w:spacing w:line="160" w:lineRule="exact"/>
                    <w:jc w:val="left"/>
                    <w:rPr>
                      <w:rFonts w:cs="Miriam" w:hint="cs"/>
                      <w:noProof/>
                      <w:sz w:val="18"/>
                      <w:szCs w:val="18"/>
                      <w:rtl/>
                    </w:rPr>
                  </w:pPr>
                  <w:r>
                    <w:rPr>
                      <w:rFonts w:cs="Miriam" w:hint="cs"/>
                      <w:sz w:val="18"/>
                      <w:szCs w:val="18"/>
                      <w:rtl/>
                    </w:rPr>
                    <w:t>תנאי למתן</w:t>
                  </w:r>
                  <w:r w:rsidR="005B1380">
                    <w:rPr>
                      <w:rFonts w:cs="Miriam" w:hint="cs"/>
                      <w:sz w:val="18"/>
                      <w:szCs w:val="18"/>
                      <w:rtl/>
                    </w:rPr>
                    <w:t xml:space="preserve"> </w:t>
                  </w:r>
                  <w:r>
                    <w:rPr>
                      <w:rFonts w:cs="Miriam" w:hint="cs"/>
                      <w:sz w:val="18"/>
                      <w:szCs w:val="18"/>
                      <w:rtl/>
                    </w:rPr>
                    <w:t>מסמך</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hint="cs"/>
          <w:rtl/>
          <w:lang w:eastAsia="en-US"/>
        </w:rPr>
        <w:t>העיריה רשאית להתנות מתן מסמך מהמפורטים להלן במילוי חיוב המוטל לפי הוראות חוק עזר זה על בעל או מחזיק בנכס, לפי הענין, ובכלל זה, תשלום היטל ואגרה או תשלום אחר המוטל על מבקש המסמך, ואלה המסמכים:</w:t>
      </w:r>
    </w:p>
    <w:p w:rsidR="009D339E" w:rsidRDefault="009D33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היתר בניה, אישור לשימוש חורג או הקלה;</w:t>
      </w:r>
    </w:p>
    <w:p w:rsidR="009D339E" w:rsidRDefault="009D339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רשיונות עסק;</w:t>
      </w:r>
    </w:p>
    <w:p w:rsidR="009D339E" w:rsidRDefault="009D339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תעודה להעברת מקרקעין;</w:t>
      </w:r>
    </w:p>
    <w:p w:rsidR="009D339E" w:rsidRDefault="009D339E">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תעודת גמר למבנה;</w:t>
      </w:r>
    </w:p>
    <w:p w:rsidR="009D339E" w:rsidRDefault="009D339E">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מסמך או אישור אחר הנוגע לנכס.</w:t>
      </w:r>
    </w:p>
    <w:p w:rsidR="009D339E" w:rsidRDefault="009D339E">
      <w:pPr>
        <w:pStyle w:val="P00"/>
        <w:spacing w:before="72"/>
        <w:ind w:left="0" w:right="1134"/>
        <w:rPr>
          <w:rFonts w:cs="FrankRuehl" w:hint="cs"/>
          <w:rtl/>
          <w:lang w:eastAsia="en-US"/>
        </w:rPr>
      </w:pPr>
      <w:bookmarkStart w:id="13" w:name="Seif15"/>
      <w:bookmarkEnd w:id="13"/>
      <w:r>
        <w:rPr>
          <w:lang w:val="he-IL"/>
        </w:rPr>
        <w:pict>
          <v:rect id="_x0000_s1072" style="position:absolute;left:0;text-align:left;margin-left:464.35pt;margin-top:7.1pt;width:75.05pt;height:11.35pt;z-index:251658240" o:allowincell="f" filled="f" stroked="f" strokecolor="lime" strokeweight=".25pt">
            <v:textbox style="mso-next-textbox:#_x0000_s1072" inset="0,0,0,0">
              <w:txbxContent>
                <w:p w:rsidR="009D339E" w:rsidRDefault="009D339E">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hint="cs"/>
          <w:rtl/>
        </w:rPr>
        <w:t>13</w:t>
      </w:r>
      <w:r>
        <w:rPr>
          <w:rStyle w:val="big-number"/>
          <w:rFonts w:cs="Miriam"/>
          <w:rtl/>
        </w:rPr>
        <w:t>.</w:t>
      </w:r>
      <w:r>
        <w:rPr>
          <w:rStyle w:val="big-number"/>
          <w:rFonts w:cs="Miriam"/>
          <w:rtl/>
        </w:rPr>
        <w:tab/>
      </w:r>
      <w:r>
        <w:rPr>
          <w:rFonts w:cs="FrankRuehl" w:hint="cs"/>
          <w:rtl/>
          <w:lang w:eastAsia="en-US"/>
        </w:rPr>
        <w:t>לא יעשה אדם מעשה העלול לפגוע או להזיק לביוב השייך לעיריה.</w:t>
      </w:r>
    </w:p>
    <w:p w:rsidR="009D339E" w:rsidRDefault="009D339E">
      <w:pPr>
        <w:pStyle w:val="P00"/>
        <w:spacing w:before="72"/>
        <w:ind w:left="0" w:right="1134"/>
        <w:rPr>
          <w:rFonts w:cs="FrankRuehl" w:hint="cs"/>
          <w:rtl/>
          <w:lang w:eastAsia="en-US"/>
        </w:rPr>
      </w:pPr>
      <w:bookmarkStart w:id="14" w:name="Seif5"/>
      <w:bookmarkEnd w:id="14"/>
      <w:r>
        <w:rPr>
          <w:lang w:val="he-IL"/>
        </w:rPr>
        <w:pict>
          <v:rect id="_x0000_s1040" style="position:absolute;left:0;text-align:left;margin-left:464.35pt;margin-top:7.1pt;width:75.05pt;height:11.6pt;z-index:251648000" o:allowincell="f" filled="f" stroked="f" strokecolor="lime" strokeweight=".25pt">
            <v:textbox style="mso-next-textbox:#_x0000_s1040" inset="0,0,0,0">
              <w:txbxContent>
                <w:p w:rsidR="009D339E" w:rsidRDefault="009D339E">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14</w:t>
      </w:r>
      <w:r>
        <w:rPr>
          <w:rStyle w:val="big-number"/>
          <w:rFonts w:cs="Miriam"/>
          <w:rtl/>
        </w:rPr>
        <w:t>.</w:t>
      </w:r>
      <w:r>
        <w:rPr>
          <w:rStyle w:val="big-number"/>
          <w:rFonts w:cs="Miriam"/>
          <w:rtl/>
        </w:rPr>
        <w:tab/>
      </w:r>
      <w:r>
        <w:rPr>
          <w:rFonts w:cs="FrankRuehl" w:hint="cs"/>
          <w:rtl/>
          <w:lang w:eastAsia="en-US"/>
        </w:rPr>
        <w:t>(א)</w:t>
      </w:r>
      <w:r>
        <w:rPr>
          <w:rStyle w:val="big-number"/>
          <w:rFonts w:cs="Miriam" w:hint="cs"/>
          <w:rtl/>
        </w:rPr>
        <w:tab/>
      </w:r>
      <w:r>
        <w:rPr>
          <w:rFonts w:cs="FrankRuehl"/>
          <w:rtl/>
          <w:lang w:eastAsia="en-US"/>
        </w:rPr>
        <w:t xml:space="preserve">מסירת הודעה לפי חוק עזר זה תהא </w:t>
      </w:r>
      <w:r>
        <w:rPr>
          <w:rFonts w:cs="FrankRuehl" w:hint="cs"/>
          <w:rtl/>
          <w:lang w:eastAsia="en-US"/>
        </w:rPr>
        <w:t>כדין, אם נ</w:t>
      </w:r>
      <w:r>
        <w:rPr>
          <w:rFonts w:cs="FrankRuehl"/>
          <w:rtl/>
          <w:lang w:eastAsia="en-US"/>
        </w:rPr>
        <w:t xml:space="preserve">מסרה לידי </w:t>
      </w:r>
      <w:r>
        <w:rPr>
          <w:rFonts w:cs="FrankRuehl" w:hint="cs"/>
          <w:rtl/>
          <w:lang w:eastAsia="en-US"/>
        </w:rPr>
        <w:t>ה</w:t>
      </w:r>
      <w:r>
        <w:rPr>
          <w:rFonts w:cs="FrankRuehl"/>
          <w:rtl/>
          <w:lang w:eastAsia="en-US"/>
        </w:rPr>
        <w:t>אדם שאליו היא מכוונת</w:t>
      </w:r>
      <w:r>
        <w:rPr>
          <w:rFonts w:cs="FrankRuehl" w:hint="cs"/>
          <w:rtl/>
          <w:lang w:eastAsia="en-US"/>
        </w:rPr>
        <w:t>,</w:t>
      </w:r>
      <w:r>
        <w:rPr>
          <w:rFonts w:cs="FrankRuehl"/>
          <w:rtl/>
          <w:lang w:eastAsia="en-US"/>
        </w:rPr>
        <w:t xml:space="preserve"> או </w:t>
      </w:r>
      <w:r>
        <w:rPr>
          <w:rFonts w:cs="FrankRuehl" w:hint="cs"/>
          <w:rtl/>
          <w:lang w:eastAsia="en-US"/>
        </w:rPr>
        <w:t>נ</w:t>
      </w:r>
      <w:r>
        <w:rPr>
          <w:rFonts w:cs="FrankRuehl"/>
          <w:rtl/>
          <w:lang w:eastAsia="en-US"/>
        </w:rPr>
        <w:t>מסרה במקום מגוריו או במקום עסק</w:t>
      </w:r>
      <w:r>
        <w:rPr>
          <w:rFonts w:cs="FrankRuehl" w:hint="cs"/>
          <w:rtl/>
          <w:lang w:eastAsia="en-US"/>
        </w:rPr>
        <w:t>י</w:t>
      </w:r>
      <w:r>
        <w:rPr>
          <w:rFonts w:cs="FrankRuehl"/>
          <w:rtl/>
          <w:lang w:eastAsia="en-US"/>
        </w:rPr>
        <w:t>ו הרגילים או הידועים לאחרונה</w:t>
      </w:r>
      <w:r>
        <w:rPr>
          <w:rFonts w:cs="FrankRuehl" w:hint="cs"/>
          <w:rtl/>
          <w:lang w:eastAsia="en-US"/>
        </w:rPr>
        <w:t xml:space="preserve"> לידי</w:t>
      </w:r>
      <w:r>
        <w:rPr>
          <w:rFonts w:cs="FrankRuehl"/>
          <w:rtl/>
          <w:lang w:eastAsia="en-US"/>
        </w:rPr>
        <w:t xml:space="preserve"> </w:t>
      </w:r>
      <w:r>
        <w:rPr>
          <w:rFonts w:cs="FrankRuehl" w:hint="cs"/>
          <w:rtl/>
          <w:lang w:eastAsia="en-US"/>
        </w:rPr>
        <w:t>אחד</w:t>
      </w:r>
      <w:r>
        <w:rPr>
          <w:rFonts w:cs="FrankRuehl"/>
          <w:rtl/>
          <w:lang w:eastAsia="en-US"/>
        </w:rPr>
        <w:t xml:space="preserve"> בני משפחתו הבוגרים או לידי אדם בוגר העובד או מועסק שם או </w:t>
      </w:r>
      <w:r>
        <w:rPr>
          <w:rFonts w:cs="FrankRuehl" w:hint="cs"/>
          <w:rtl/>
          <w:lang w:eastAsia="en-US"/>
        </w:rPr>
        <w:t>נ</w:t>
      </w:r>
      <w:r>
        <w:rPr>
          <w:rFonts w:cs="FrankRuehl"/>
          <w:rtl/>
          <w:lang w:eastAsia="en-US"/>
        </w:rPr>
        <w:t>שלח</w:t>
      </w:r>
      <w:r>
        <w:rPr>
          <w:rFonts w:cs="FrankRuehl" w:hint="cs"/>
          <w:rtl/>
          <w:lang w:eastAsia="en-US"/>
        </w:rPr>
        <w:t>ה</w:t>
      </w:r>
      <w:r>
        <w:rPr>
          <w:rFonts w:cs="FrankRuehl"/>
          <w:rtl/>
          <w:lang w:eastAsia="en-US"/>
        </w:rPr>
        <w:t xml:space="preserve"> בדואר במכתב רשום</w:t>
      </w:r>
      <w:r>
        <w:rPr>
          <w:rFonts w:cs="FrankRuehl" w:hint="cs"/>
          <w:rtl/>
          <w:lang w:eastAsia="en-US"/>
        </w:rPr>
        <w:t xml:space="preserve"> הערוך </w:t>
      </w:r>
      <w:r>
        <w:rPr>
          <w:rFonts w:cs="FrankRuehl"/>
          <w:rtl/>
          <w:lang w:eastAsia="en-US"/>
        </w:rPr>
        <w:t>אל אותו אדם לפי מ</w:t>
      </w:r>
      <w:r>
        <w:rPr>
          <w:rFonts w:cs="FrankRuehl" w:hint="cs"/>
          <w:rtl/>
          <w:lang w:eastAsia="en-US"/>
        </w:rPr>
        <w:t>ען</w:t>
      </w:r>
      <w:r>
        <w:rPr>
          <w:rFonts w:cs="FrankRuehl"/>
          <w:rtl/>
          <w:lang w:eastAsia="en-US"/>
        </w:rPr>
        <w:t xml:space="preserve"> מגוריו או עסקיו הרגילים או הידועים לאחרונה</w:t>
      </w:r>
      <w:r>
        <w:rPr>
          <w:rFonts w:cs="FrankRuehl" w:hint="cs"/>
          <w:rtl/>
          <w:lang w:eastAsia="en-US"/>
        </w:rPr>
        <w:t>.</w:t>
      </w:r>
      <w:r>
        <w:rPr>
          <w:rFonts w:cs="FrankRuehl"/>
          <w:rtl/>
          <w:lang w:eastAsia="en-US"/>
        </w:rPr>
        <w:t xml:space="preserve"> אם אי</w:t>
      </w:r>
      <w:r>
        <w:rPr>
          <w:rFonts w:cs="FrankRuehl" w:hint="cs"/>
          <w:rtl/>
          <w:lang w:eastAsia="en-US"/>
        </w:rPr>
        <w:t xml:space="preserve"> </w:t>
      </w:r>
      <w:r>
        <w:rPr>
          <w:rFonts w:cs="FrankRuehl"/>
          <w:rtl/>
          <w:lang w:eastAsia="en-US"/>
        </w:rPr>
        <w:t xml:space="preserve">אפשר לקיים מסירה כאמור, תהא המסירה </w:t>
      </w:r>
      <w:r>
        <w:rPr>
          <w:rFonts w:cs="FrankRuehl" w:hint="cs"/>
          <w:rtl/>
          <w:lang w:eastAsia="en-US"/>
        </w:rPr>
        <w:t xml:space="preserve">כדין אם הוצגה </w:t>
      </w:r>
      <w:r>
        <w:rPr>
          <w:rFonts w:cs="FrankRuehl"/>
          <w:rtl/>
          <w:lang w:eastAsia="en-US"/>
        </w:rPr>
        <w:t>ההודעה במקום בולט</w:t>
      </w:r>
      <w:r>
        <w:rPr>
          <w:rFonts w:cs="FrankRuehl" w:hint="cs"/>
          <w:rtl/>
          <w:lang w:eastAsia="en-US"/>
        </w:rPr>
        <w:t xml:space="preserve"> </w:t>
      </w:r>
      <w:r>
        <w:rPr>
          <w:rFonts w:cs="FrankRuehl"/>
          <w:rtl/>
          <w:lang w:eastAsia="en-US"/>
        </w:rPr>
        <w:t>באחד המקומות האמורים או פ</w:t>
      </w:r>
      <w:r>
        <w:rPr>
          <w:rFonts w:cs="FrankRuehl" w:hint="cs"/>
          <w:rtl/>
          <w:lang w:eastAsia="en-US"/>
        </w:rPr>
        <w:t>ו</w:t>
      </w:r>
      <w:r>
        <w:rPr>
          <w:rFonts w:cs="FrankRuehl"/>
          <w:rtl/>
          <w:lang w:eastAsia="en-US"/>
        </w:rPr>
        <w:t>רסמה בשני עיתונים נפוצים בתחום העיריה</w:t>
      </w:r>
      <w:r>
        <w:rPr>
          <w:rFonts w:cs="FrankRuehl" w:hint="cs"/>
          <w:rtl/>
          <w:lang w:eastAsia="en-US"/>
        </w:rPr>
        <w:t>,</w:t>
      </w:r>
      <w:r>
        <w:rPr>
          <w:rFonts w:cs="FrankRuehl"/>
          <w:rtl/>
          <w:lang w:eastAsia="en-US"/>
        </w:rPr>
        <w:t xml:space="preserve"> שאחד מהם לפחות </w:t>
      </w:r>
      <w:r>
        <w:rPr>
          <w:rFonts w:cs="FrankRuehl" w:hint="cs"/>
          <w:rtl/>
          <w:lang w:eastAsia="en-US"/>
        </w:rPr>
        <w:t xml:space="preserve">הוא </w:t>
      </w:r>
      <w:r>
        <w:rPr>
          <w:rFonts w:cs="FrankRuehl"/>
          <w:rtl/>
          <w:lang w:eastAsia="en-US"/>
        </w:rPr>
        <w:t>בשפה העברית</w:t>
      </w:r>
      <w:r>
        <w:rPr>
          <w:rFonts w:cs="FrankRuehl" w:hint="cs"/>
          <w:rtl/>
          <w:lang w:eastAsia="en-US"/>
        </w:rPr>
        <w:t>.</w:t>
      </w:r>
    </w:p>
    <w:p w:rsidR="009D339E" w:rsidRDefault="009D339E">
      <w:pPr>
        <w:pStyle w:val="P00"/>
        <w:spacing w:before="72"/>
        <w:ind w:left="0" w:right="1134"/>
        <w:rPr>
          <w:rStyle w:val="default"/>
          <w:rFonts w:hint="cs"/>
          <w:rtl/>
        </w:rPr>
      </w:pPr>
      <w:r>
        <w:rPr>
          <w:rFonts w:cs="FrankRuehl"/>
          <w:rtl/>
          <w:lang w:val="he-IL"/>
        </w:rPr>
        <w:pict>
          <v:rect id="_x0000_s1078" style="position:absolute;left:0;text-align:left;margin-left:464.35pt;margin-top:7.1pt;width:75.05pt;height:11.25pt;z-index:251663360" filled="f" stroked="f" strokecolor="lime" strokeweight=".25pt">
            <v:textbox style="mso-next-textbox:#_x0000_s1078" inset="0,0,0,0">
              <w:txbxContent>
                <w:p w:rsidR="009D339E" w:rsidRDefault="005B1380" w:rsidP="005B138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תשנ"ח-1998</w:t>
                  </w:r>
                </w:p>
              </w:txbxContent>
            </v:textbox>
            <w10:anchorlock/>
          </v:rect>
        </w:pict>
      </w:r>
      <w:r>
        <w:rPr>
          <w:rFonts w:cs="FrankRuehl" w:hint="cs"/>
          <w:rtl/>
          <w:lang w:eastAsia="en-US"/>
        </w:rPr>
        <w:tab/>
        <w:t>(ב)</w:t>
      </w:r>
      <w:r>
        <w:rPr>
          <w:rFonts w:cs="FrankRuehl" w:hint="cs"/>
          <w:rtl/>
          <w:lang w:eastAsia="en-US"/>
        </w:rPr>
        <w:tab/>
        <w:t>אין באי מסירת הודעה מכוח חוק עזר זה או באי קבלת החלטת מועצה, כדי לגרוע מחובת בעל הנכס לתשלום ההיטל בעד נכסו.</w:t>
      </w:r>
    </w:p>
    <w:p w:rsidR="009D339E" w:rsidRDefault="009D339E" w:rsidP="005B1380">
      <w:pPr>
        <w:pStyle w:val="P00"/>
        <w:spacing w:before="72"/>
        <w:ind w:left="0" w:right="1134"/>
        <w:rPr>
          <w:rFonts w:cs="FrankRuehl"/>
          <w:lang w:eastAsia="en-US"/>
        </w:rPr>
      </w:pPr>
      <w:bookmarkStart w:id="15" w:name="Seif16"/>
      <w:bookmarkEnd w:id="15"/>
      <w:r>
        <w:rPr>
          <w:noProof w:val="0"/>
        </w:rPr>
        <w:pict>
          <v:rect id="_x0000_s1074" style="position:absolute;left:0;text-align:left;margin-left:464.35pt;margin-top:7.1pt;width:75.05pt;height:19.75pt;z-index:251659264" filled="f" stroked="f" strokecolor="lime" strokeweight=".25pt">
            <v:textbox style="mso-next-textbox:#_x0000_s1074" inset="0,0,0,0">
              <w:txbxContent>
                <w:p w:rsidR="009D339E" w:rsidRDefault="009D339E" w:rsidP="005B1380">
                  <w:pPr>
                    <w:spacing w:line="160" w:lineRule="exact"/>
                    <w:jc w:val="left"/>
                    <w:rPr>
                      <w:rFonts w:cs="Miriam" w:hint="cs"/>
                      <w:sz w:val="18"/>
                      <w:szCs w:val="18"/>
                      <w:rtl/>
                    </w:rPr>
                  </w:pPr>
                  <w:r>
                    <w:rPr>
                      <w:rFonts w:cs="Miriam" w:hint="cs"/>
                      <w:sz w:val="18"/>
                      <w:szCs w:val="18"/>
                      <w:rtl/>
                    </w:rPr>
                    <w:t>תחולת חוק</w:t>
                  </w:r>
                  <w:r w:rsidR="005B1380">
                    <w:rPr>
                      <w:rFonts w:cs="Miriam" w:hint="cs"/>
                      <w:sz w:val="18"/>
                      <w:szCs w:val="18"/>
                      <w:rtl/>
                    </w:rPr>
                    <w:t xml:space="preserve"> </w:t>
                  </w:r>
                  <w:r>
                    <w:rPr>
                      <w:rFonts w:cs="Miriam" w:hint="cs"/>
                      <w:sz w:val="18"/>
                      <w:szCs w:val="18"/>
                      <w:rtl/>
                    </w:rPr>
                    <w:t>עזר להצמדה</w:t>
                  </w:r>
                </w:p>
              </w:txbxContent>
            </v:textbox>
            <w10:wrap anchorx="page"/>
            <w10:anchorlock/>
          </v:rect>
        </w:pict>
      </w:r>
      <w:r>
        <w:rPr>
          <w:rStyle w:val="big-number"/>
          <w:rFonts w:cs="Miriam" w:hint="cs"/>
          <w:rtl/>
        </w:rPr>
        <w:t>15</w:t>
      </w:r>
      <w:r>
        <w:rPr>
          <w:rStyle w:val="big-number"/>
          <w:rFonts w:cs="Miriam"/>
          <w:rtl/>
        </w:rPr>
        <w:t>.</w:t>
      </w:r>
      <w:r>
        <w:rPr>
          <w:rStyle w:val="big-number"/>
          <w:rFonts w:cs="Miriam"/>
          <w:rtl/>
        </w:rPr>
        <w:tab/>
      </w:r>
      <w:r>
        <w:rPr>
          <w:rFonts w:cs="FrankRuehl" w:hint="cs"/>
          <w:rtl/>
          <w:lang w:eastAsia="en-US"/>
        </w:rPr>
        <w:t xml:space="preserve">הוראות חוק עזר לראשון לציון (הצמדה למדד), התשמ"ד-1984 (להלן </w:t>
      </w:r>
      <w:r>
        <w:rPr>
          <w:rFonts w:cs="FrankRuehl" w:hint="eastAsia"/>
          <w:rtl/>
          <w:lang w:eastAsia="en-US"/>
        </w:rPr>
        <w:t>– חוק עזר להצמדה</w:t>
      </w:r>
      <w:r>
        <w:rPr>
          <w:rFonts w:cs="FrankRuehl" w:hint="cs"/>
          <w:rtl/>
          <w:lang w:eastAsia="en-US"/>
        </w:rPr>
        <w:t>), יחולו לגבי תעריפי ההיטל והאגרה שנקבעו בחוק עזר זה.</w:t>
      </w:r>
    </w:p>
    <w:p w:rsidR="009D339E" w:rsidRDefault="009D339E" w:rsidP="005B1380">
      <w:pPr>
        <w:pStyle w:val="P00"/>
        <w:spacing w:before="72"/>
        <w:ind w:left="0" w:right="1134"/>
        <w:rPr>
          <w:rFonts w:cs="FrankRuehl"/>
          <w:lang w:eastAsia="en-US"/>
        </w:rPr>
      </w:pPr>
      <w:bookmarkStart w:id="16" w:name="Seif17"/>
      <w:bookmarkEnd w:id="16"/>
      <w:r>
        <w:rPr>
          <w:noProof w:val="0"/>
        </w:rPr>
        <w:pict>
          <v:rect id="_x0000_s1075" style="position:absolute;left:0;text-align:left;margin-left:464.35pt;margin-top:7.1pt;width:75.05pt;height:15.6pt;z-index:251660288" o:allowincell="f" filled="f" stroked="f" strokecolor="lime" strokeweight=".25pt">
            <v:textbox style="mso-next-textbox:#_x0000_s1075" inset="0,0,0,0">
              <w:txbxContent>
                <w:p w:rsidR="009D339E" w:rsidRDefault="009D339E">
                  <w:pPr>
                    <w:spacing w:line="160" w:lineRule="exact"/>
                    <w:jc w:val="left"/>
                    <w:rPr>
                      <w:rFonts w:cs="Miriam" w:hint="cs"/>
                      <w:sz w:val="18"/>
                      <w:szCs w:val="18"/>
                      <w:rtl/>
                    </w:rPr>
                  </w:pPr>
                  <w:r>
                    <w:rPr>
                      <w:rFonts w:cs="Miriam" w:hint="cs"/>
                      <w:sz w:val="18"/>
                      <w:szCs w:val="18"/>
                      <w:rtl/>
                    </w:rPr>
                    <w:t>הוראות שעה</w:t>
                  </w:r>
                </w:p>
              </w:txbxContent>
            </v:textbox>
            <w10:wrap anchorx="page"/>
            <w10:anchorlock/>
          </v:rect>
        </w:pict>
      </w:r>
      <w:r>
        <w:rPr>
          <w:rStyle w:val="big-number"/>
          <w:rFonts w:cs="Miriam" w:hint="cs"/>
          <w:rtl/>
        </w:rPr>
        <w:t>16</w:t>
      </w:r>
      <w:r>
        <w:rPr>
          <w:rStyle w:val="big-number"/>
          <w:rFonts w:cs="Miriam"/>
          <w:rtl/>
        </w:rPr>
        <w:t>.</w:t>
      </w:r>
      <w:r>
        <w:rPr>
          <w:rStyle w:val="big-number"/>
          <w:rFonts w:cs="Miriam"/>
          <w:rtl/>
        </w:rPr>
        <w:tab/>
      </w:r>
      <w:r>
        <w:rPr>
          <w:rFonts w:cs="FrankRuehl" w:hint="cs"/>
          <w:rtl/>
          <w:lang w:eastAsia="en-US"/>
        </w:rPr>
        <w:t xml:space="preserve">על אף האמור בסעיף 15 ובחוק עזר להצמדה, יעודכנו סכומי ההיטל, האגרה והתשלומים האחרים שנקבעו בתוספת, במועד פרסומו של חוק עזר זה ברשומות (להלן </w:t>
      </w:r>
      <w:r>
        <w:rPr>
          <w:rFonts w:cs="FrankRuehl" w:hint="eastAsia"/>
          <w:rtl/>
          <w:lang w:eastAsia="en-US"/>
        </w:rPr>
        <w:t>– יום ההעלאה הראשון</w:t>
      </w:r>
      <w:r>
        <w:rPr>
          <w:rFonts w:cs="FrankRuehl" w:hint="cs"/>
          <w:rtl/>
          <w:lang w:eastAsia="en-US"/>
        </w:rPr>
        <w:t xml:space="preserve">), לפי שיעור עליית המדד, מדד המחירים לצרכן שפרסמה הלשכה המרכזית לסטטיסטיקה (להלן </w:t>
      </w:r>
      <w:r>
        <w:rPr>
          <w:rFonts w:cs="FrankRuehl" w:hint="eastAsia"/>
          <w:rtl/>
          <w:lang w:eastAsia="en-US"/>
        </w:rPr>
        <w:t>– מדד</w:t>
      </w:r>
      <w:r>
        <w:rPr>
          <w:rFonts w:cs="FrankRuehl" w:hint="cs"/>
          <w:rtl/>
          <w:lang w:eastAsia="en-US"/>
        </w:rPr>
        <w:t>) לחודש מרס 1994 עד המדד שפורסם לאחרונה לפני יום ההעלאה הראשון</w:t>
      </w:r>
      <w:r>
        <w:rPr>
          <w:rFonts w:cs="FrankRuehl"/>
          <w:rtl/>
          <w:lang w:eastAsia="en-US"/>
        </w:rPr>
        <w:t>.</w:t>
      </w:r>
    </w:p>
    <w:p w:rsidR="009D339E" w:rsidRDefault="009D339E">
      <w:pPr>
        <w:pStyle w:val="P00"/>
        <w:spacing w:before="72"/>
        <w:ind w:left="0" w:right="1134"/>
        <w:rPr>
          <w:rFonts w:cs="FrankRuehl" w:hint="cs"/>
          <w:rtl/>
          <w:lang w:eastAsia="en-US"/>
        </w:rPr>
      </w:pPr>
      <w:bookmarkStart w:id="17" w:name="Seif7"/>
      <w:bookmarkEnd w:id="17"/>
      <w:r>
        <w:rPr>
          <w:lang w:val="he-IL"/>
        </w:rPr>
        <w:pict>
          <v:rect id="_x0000_s1063" style="position:absolute;left:0;text-align:left;margin-left:464.35pt;margin-top:7.1pt;width:75.05pt;height:16pt;z-index:251650048" o:allowincell="f" filled="f" stroked="f" strokecolor="lime" strokeweight=".25pt">
            <v:textbox style="mso-next-textbox:#_x0000_s1063" inset="0,0,0,0">
              <w:txbxContent>
                <w:p w:rsidR="009D339E" w:rsidRDefault="009D339E">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17</w:t>
      </w:r>
      <w:r>
        <w:rPr>
          <w:rStyle w:val="big-number"/>
          <w:rFonts w:cs="Miriam"/>
          <w:rtl/>
        </w:rPr>
        <w:t>.</w:t>
      </w:r>
      <w:r>
        <w:rPr>
          <w:rStyle w:val="big-number"/>
          <w:rFonts w:cs="Miriam"/>
          <w:rtl/>
        </w:rPr>
        <w:tab/>
      </w:r>
      <w:r>
        <w:rPr>
          <w:rFonts w:cs="FrankRuehl" w:hint="cs"/>
          <w:rtl/>
          <w:lang w:eastAsia="en-US"/>
        </w:rPr>
        <w:t>האמור בחוק עזר זה אינו בא לגרוע מסמכות, סעד ותרופה המוקנים לעיריה על פי דין אלא להוסיף עליהם</w:t>
      </w:r>
      <w:r>
        <w:rPr>
          <w:rFonts w:cs="FrankRuehl"/>
          <w:rtl/>
          <w:lang w:eastAsia="en-US"/>
        </w:rPr>
        <w:t xml:space="preserve">. </w:t>
      </w:r>
    </w:p>
    <w:p w:rsidR="009D339E" w:rsidRPr="005B1380" w:rsidRDefault="009D339E">
      <w:pPr>
        <w:pStyle w:val="P00"/>
        <w:spacing w:before="72"/>
        <w:ind w:left="0" w:right="1134"/>
        <w:rPr>
          <w:rFonts w:cs="FrankRuehl" w:hint="eastAsia"/>
          <w:rtl/>
          <w:lang w:eastAsia="en-US"/>
        </w:rPr>
      </w:pPr>
      <w:bookmarkStart w:id="18" w:name="Seif6"/>
      <w:bookmarkEnd w:id="18"/>
      <w:r>
        <w:rPr>
          <w:lang w:val="he-IL"/>
        </w:rPr>
        <w:pict>
          <v:rect id="_x0000_s1041" style="position:absolute;left:0;text-align:left;margin-left:464.35pt;margin-top:7.1pt;width:75.05pt;height:16.9pt;z-index:251649024" o:allowincell="f" filled="f" stroked="f" strokecolor="lime" strokeweight=".25pt">
            <v:textbox style="mso-next-textbox:#_x0000_s1041" inset="0,0,0,0">
              <w:txbxContent>
                <w:p w:rsidR="009D339E" w:rsidRDefault="009D339E">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18</w:t>
      </w:r>
      <w:r>
        <w:rPr>
          <w:rStyle w:val="big-number"/>
          <w:rFonts w:cs="Miriam"/>
          <w:rtl/>
        </w:rPr>
        <w:t>.</w:t>
      </w:r>
      <w:r>
        <w:rPr>
          <w:rStyle w:val="big-number"/>
          <w:rFonts w:cs="Miriam"/>
          <w:rtl/>
        </w:rPr>
        <w:tab/>
      </w:r>
      <w:r>
        <w:rPr>
          <w:rFonts w:cs="FrankRuehl" w:hint="cs"/>
          <w:rtl/>
          <w:lang w:eastAsia="en-US"/>
        </w:rPr>
        <w:t xml:space="preserve">בטלים </w:t>
      </w:r>
      <w:r>
        <w:rPr>
          <w:rFonts w:cs="FrankRuehl" w:hint="eastAsia"/>
          <w:rtl/>
          <w:lang w:eastAsia="en-US"/>
        </w:rPr>
        <w:t>–</w:t>
      </w:r>
    </w:p>
    <w:p w:rsidR="009D339E" w:rsidRDefault="009D339E">
      <w:pPr>
        <w:pStyle w:val="P00"/>
        <w:spacing w:before="72"/>
        <w:ind w:left="0" w:right="1134"/>
        <w:rPr>
          <w:rFonts w:cs="FrankRuehl" w:hint="cs"/>
          <w:rtl/>
          <w:lang w:eastAsia="en-US"/>
        </w:rPr>
      </w:pPr>
      <w:r>
        <w:rPr>
          <w:rStyle w:val="big-number"/>
          <w:rFonts w:cs="Miriam" w:hint="cs"/>
          <w:rtl/>
        </w:rPr>
        <w:tab/>
      </w:r>
      <w:r>
        <w:rPr>
          <w:rFonts w:cs="FrankRuehl" w:hint="cs"/>
          <w:rtl/>
          <w:lang w:eastAsia="en-US"/>
        </w:rPr>
        <w:t>חוק עזר לראשון לציון (ביוב), התשל"ה-1974</w:t>
      </w:r>
      <w:r w:rsidR="005B1380">
        <w:rPr>
          <w:rFonts w:cs="FrankRuehl" w:hint="cs"/>
          <w:rtl/>
          <w:lang w:eastAsia="en-US"/>
        </w:rPr>
        <w:t>;</w:t>
      </w:r>
    </w:p>
    <w:p w:rsidR="009D339E" w:rsidRDefault="009D339E">
      <w:pPr>
        <w:pStyle w:val="P00"/>
        <w:spacing w:before="72"/>
        <w:ind w:left="0" w:right="1134"/>
        <w:rPr>
          <w:rFonts w:cs="FrankRuehl" w:hint="cs"/>
          <w:rtl/>
          <w:lang w:eastAsia="en-US"/>
        </w:rPr>
      </w:pPr>
      <w:r>
        <w:rPr>
          <w:rFonts w:cs="FrankRuehl" w:hint="cs"/>
          <w:rtl/>
          <w:lang w:eastAsia="en-US"/>
        </w:rPr>
        <w:tab/>
        <w:t>חוק עזר לראשון לציון (אגרת ביוב), התשכ"ז-1967</w:t>
      </w:r>
      <w:r w:rsidR="005B1380">
        <w:rPr>
          <w:rFonts w:cs="FrankRuehl" w:hint="cs"/>
          <w:rtl/>
          <w:lang w:eastAsia="en-US"/>
        </w:rPr>
        <w:t>.</w:t>
      </w:r>
    </w:p>
    <w:p w:rsidR="009D339E" w:rsidRPr="005B1380" w:rsidRDefault="009D339E" w:rsidP="005B1380">
      <w:pPr>
        <w:pStyle w:val="P00"/>
        <w:spacing w:before="72"/>
        <w:ind w:left="0" w:right="1134"/>
        <w:rPr>
          <w:rFonts w:hint="cs"/>
          <w:rtl/>
          <w:lang w:eastAsia="en-US"/>
        </w:rPr>
      </w:pPr>
    </w:p>
    <w:p w:rsidR="009D339E" w:rsidRPr="005B1380" w:rsidRDefault="005B1380">
      <w:pPr>
        <w:pStyle w:val="medium2-header"/>
        <w:keepLines w:val="0"/>
        <w:spacing w:before="72"/>
        <w:ind w:left="0" w:right="1134"/>
        <w:rPr>
          <w:rFonts w:cs="FrankRuehl" w:hint="cs"/>
          <w:noProof/>
          <w:sz w:val="26"/>
          <w:szCs w:val="26"/>
          <w:rtl/>
        </w:rPr>
      </w:pPr>
      <w:bookmarkStart w:id="19" w:name="med0"/>
      <w:bookmarkEnd w:id="19"/>
      <w:r>
        <w:rPr>
          <w:rFonts w:cs="FrankRuehl" w:hint="cs"/>
          <w:noProof/>
          <w:sz w:val="26"/>
          <w:szCs w:val="26"/>
          <w:rtl/>
        </w:rPr>
        <w:t>תוספת</w:t>
      </w:r>
    </w:p>
    <w:p w:rsidR="009D339E" w:rsidRPr="005B1380" w:rsidRDefault="009D339E">
      <w:pPr>
        <w:pStyle w:val="medium2-header"/>
        <w:keepLines w:val="0"/>
        <w:spacing w:before="72"/>
        <w:ind w:left="0" w:right="1134"/>
        <w:rPr>
          <w:rFonts w:cs="FrankRuehl" w:hint="cs"/>
          <w:noProof/>
          <w:sz w:val="22"/>
          <w:szCs w:val="22"/>
          <w:rtl/>
        </w:rPr>
      </w:pPr>
      <w:r w:rsidRPr="005B1380">
        <w:rPr>
          <w:rFonts w:cs="FrankRuehl" w:hint="cs"/>
          <w:noProof/>
          <w:sz w:val="22"/>
          <w:szCs w:val="22"/>
          <w:rtl/>
        </w:rPr>
        <w:t>היטל ביוב</w:t>
      </w:r>
    </w:p>
    <w:p w:rsidR="008B14C0" w:rsidRPr="008B14C0" w:rsidRDefault="008B14C0" w:rsidP="008B14C0">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r>
      <w:r w:rsidRPr="008B14C0">
        <w:rPr>
          <w:rStyle w:val="default"/>
          <w:rFonts w:hint="cs"/>
          <w:sz w:val="22"/>
          <w:szCs w:val="22"/>
          <w:rtl/>
        </w:rPr>
        <w:t>שיעורי ההיטל</w:t>
      </w:r>
    </w:p>
    <w:p w:rsidR="009D339E" w:rsidRPr="008B14C0" w:rsidRDefault="008B14C0" w:rsidP="008B14C0">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8B14C0">
        <w:rPr>
          <w:rStyle w:val="default"/>
          <w:rFonts w:hint="cs"/>
          <w:sz w:val="22"/>
          <w:szCs w:val="22"/>
          <w:rtl/>
        </w:rPr>
        <w:tab/>
      </w:r>
      <w:r w:rsidR="009D339E" w:rsidRPr="008B14C0">
        <w:rPr>
          <w:rStyle w:val="default"/>
          <w:rFonts w:hint="cs"/>
          <w:sz w:val="22"/>
          <w:szCs w:val="22"/>
          <w:u w:val="single"/>
          <w:rtl/>
        </w:rPr>
        <w:t>בשקלים חדשים</w:t>
      </w:r>
    </w:p>
    <w:p w:rsidR="009D339E" w:rsidRDefault="009D339E" w:rsidP="008B14C0">
      <w:pPr>
        <w:pStyle w:val="P22"/>
        <w:tabs>
          <w:tab w:val="clear" w:pos="2381"/>
          <w:tab w:val="clear" w:pos="2835"/>
          <w:tab w:val="clear" w:pos="6259"/>
          <w:tab w:val="left" w:pos="624"/>
          <w:tab w:val="left" w:pos="1021"/>
          <w:tab w:val="left" w:pos="6804"/>
        </w:tabs>
        <w:spacing w:before="72"/>
        <w:ind w:left="0" w:right="1134"/>
        <w:rPr>
          <w:rStyle w:val="default"/>
          <w:rFonts w:hint="eastAsia"/>
          <w:rtl/>
        </w:rPr>
      </w:pPr>
      <w:r>
        <w:rPr>
          <w:rStyle w:val="default"/>
          <w:rFonts w:hint="cs"/>
          <w:rtl/>
        </w:rPr>
        <w:t>1.</w:t>
      </w:r>
      <w:r>
        <w:rPr>
          <w:rStyle w:val="default"/>
          <w:rFonts w:hint="cs"/>
          <w:rtl/>
        </w:rPr>
        <w:tab/>
        <w:t xml:space="preserve">ביב ציבורי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(1)</w:t>
      </w:r>
      <w:r>
        <w:rPr>
          <w:rStyle w:val="default"/>
          <w:rFonts w:hint="cs"/>
          <w:rtl/>
        </w:rPr>
        <w:tab/>
        <w:t>לכל מ"ר משטח הקרקע</w:t>
      </w:r>
      <w:r>
        <w:rPr>
          <w:rStyle w:val="default"/>
          <w:rFonts w:hint="cs"/>
          <w:rtl/>
        </w:rPr>
        <w:tab/>
        <w:t>2.19</w:t>
      </w:r>
    </w:p>
    <w:p w:rsidR="009D339E" w:rsidRDefault="009D339E" w:rsidP="008B14C0">
      <w:pPr>
        <w:pStyle w:val="P22"/>
        <w:tabs>
          <w:tab w:val="clear" w:pos="2381"/>
          <w:tab w:val="clear" w:pos="2835"/>
          <w:tab w:val="clear" w:pos="6259"/>
          <w:tab w:val="left" w:pos="624"/>
          <w:tab w:val="left" w:pos="1021"/>
          <w:tab w:val="left" w:pos="6804"/>
        </w:tabs>
        <w:spacing w:before="72"/>
        <w:ind w:left="1021" w:right="1134" w:hanging="397"/>
        <w:rPr>
          <w:rStyle w:val="default"/>
          <w:rFonts w:hint="eastAsia"/>
          <w:rtl/>
        </w:rPr>
      </w:pPr>
      <w:r>
        <w:rPr>
          <w:rStyle w:val="default"/>
          <w:rFonts w:hint="cs"/>
          <w:rtl/>
        </w:rPr>
        <w:t>(2)</w:t>
      </w:r>
      <w:r>
        <w:rPr>
          <w:rStyle w:val="default"/>
          <w:rFonts w:hint="cs"/>
          <w:rtl/>
        </w:rPr>
        <w:tab/>
        <w:t>(א)</w:t>
      </w:r>
      <w:r>
        <w:rPr>
          <w:rStyle w:val="default"/>
          <w:rFonts w:hint="cs"/>
          <w:rtl/>
        </w:rPr>
        <w:tab/>
        <w:t xml:space="preserve">בנין בנכס לתעשיה או בית עסק </w:t>
      </w:r>
      <w:r>
        <w:rPr>
          <w:rStyle w:val="default"/>
          <w:rFonts w:hint="eastAsia"/>
          <w:rtl/>
        </w:rPr>
        <w:t xml:space="preserve">– </w:t>
      </w:r>
    </w:p>
    <w:p w:rsidR="009D339E" w:rsidRDefault="009D339E" w:rsidP="008B14C0">
      <w:pPr>
        <w:pStyle w:val="P22"/>
        <w:tabs>
          <w:tab w:val="clear" w:pos="2381"/>
          <w:tab w:val="clear" w:pos="2835"/>
          <w:tab w:val="clear" w:pos="6259"/>
          <w:tab w:val="left" w:pos="624"/>
          <w:tab w:val="left" w:pos="1021"/>
          <w:tab w:val="left" w:pos="6804"/>
        </w:tabs>
        <w:spacing w:before="72"/>
        <w:ind w:left="1474" w:right="1134"/>
        <w:rPr>
          <w:rStyle w:val="default"/>
          <w:rFonts w:hint="cs"/>
          <w:rtl/>
        </w:rPr>
      </w:pPr>
      <w:r>
        <w:rPr>
          <w:rStyle w:val="default"/>
          <w:rFonts w:hint="cs"/>
          <w:rtl/>
        </w:rPr>
        <w:t>(1)</w:t>
      </w:r>
      <w:r>
        <w:rPr>
          <w:rStyle w:val="default"/>
          <w:rFonts w:hint="cs"/>
          <w:rtl/>
        </w:rPr>
        <w:tab/>
        <w:t>לכל מ"ק מנפח הבנין</w:t>
      </w:r>
      <w:r>
        <w:rPr>
          <w:rStyle w:val="default"/>
          <w:rFonts w:hint="cs"/>
          <w:rtl/>
        </w:rPr>
        <w:tab/>
        <w:t>3.85</w:t>
      </w:r>
    </w:p>
    <w:p w:rsidR="009D339E" w:rsidRDefault="009D339E" w:rsidP="008B14C0">
      <w:pPr>
        <w:pStyle w:val="P22"/>
        <w:tabs>
          <w:tab w:val="clear" w:pos="2381"/>
          <w:tab w:val="clear" w:pos="2835"/>
          <w:tab w:val="clear" w:pos="6259"/>
          <w:tab w:val="left" w:pos="624"/>
          <w:tab w:val="left" w:pos="1021"/>
          <w:tab w:val="left" w:pos="6804"/>
        </w:tabs>
        <w:spacing w:before="72"/>
        <w:ind w:left="1474" w:right="1134"/>
        <w:rPr>
          <w:rStyle w:val="default"/>
          <w:rFonts w:hint="cs"/>
          <w:rtl/>
        </w:rPr>
      </w:pPr>
      <w:r>
        <w:rPr>
          <w:rStyle w:val="default"/>
          <w:rFonts w:hint="cs"/>
          <w:rtl/>
        </w:rPr>
        <w:t>(2)</w:t>
      </w:r>
      <w:r>
        <w:rPr>
          <w:rStyle w:val="default"/>
          <w:rFonts w:hint="cs"/>
          <w:rtl/>
        </w:rPr>
        <w:tab/>
        <w:t>בעד רכישת זכויות ביוב עודפות, לכל מ"ק מים</w:t>
      </w:r>
      <w:r>
        <w:rPr>
          <w:rStyle w:val="default"/>
          <w:rFonts w:hint="cs"/>
          <w:rtl/>
        </w:rPr>
        <w:tab/>
        <w:t>1.65</w:t>
      </w:r>
    </w:p>
    <w:p w:rsidR="009D339E" w:rsidRDefault="009D339E" w:rsidP="008B14C0">
      <w:pPr>
        <w:pStyle w:val="P22"/>
        <w:tabs>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(ב)</w:t>
      </w:r>
      <w:r>
        <w:rPr>
          <w:rStyle w:val="default"/>
          <w:rFonts w:hint="cs"/>
          <w:rtl/>
        </w:rPr>
        <w:tab/>
        <w:t xml:space="preserve">בנין אחר </w:t>
      </w:r>
      <w:r>
        <w:rPr>
          <w:rStyle w:val="default"/>
          <w:rFonts w:hint="eastAsia"/>
          <w:rtl/>
        </w:rPr>
        <w:t>– לכל מ</w:t>
      </w:r>
      <w:r>
        <w:rPr>
          <w:rStyle w:val="default"/>
          <w:rFonts w:hint="cs"/>
          <w:rtl/>
        </w:rPr>
        <w:t>"ר משטח הבנין</w:t>
      </w:r>
      <w:r>
        <w:rPr>
          <w:rStyle w:val="default"/>
          <w:rFonts w:hint="cs"/>
          <w:rtl/>
        </w:rPr>
        <w:tab/>
        <w:t>11.54</w:t>
      </w:r>
    </w:p>
    <w:p w:rsidR="009D339E" w:rsidRDefault="009D339E" w:rsidP="008B14C0">
      <w:pPr>
        <w:pStyle w:val="P22"/>
        <w:tabs>
          <w:tab w:val="clear" w:pos="2381"/>
          <w:tab w:val="clear" w:pos="2835"/>
          <w:tab w:val="clear" w:pos="6259"/>
          <w:tab w:val="left" w:pos="624"/>
          <w:tab w:val="left" w:pos="1021"/>
          <w:tab w:val="left" w:pos="6804"/>
        </w:tabs>
        <w:spacing w:before="72"/>
        <w:ind w:left="-3" w:right="1134"/>
        <w:rPr>
          <w:rStyle w:val="default"/>
          <w:rFonts w:hint="eastAsia"/>
          <w:rtl/>
        </w:rPr>
      </w:pPr>
      <w:r>
        <w:rPr>
          <w:rStyle w:val="default"/>
          <w:rFonts w:hint="cs"/>
          <w:rtl/>
        </w:rPr>
        <w:t>2.</w:t>
      </w:r>
      <w:r>
        <w:rPr>
          <w:rStyle w:val="default"/>
          <w:rFonts w:hint="cs"/>
          <w:rtl/>
        </w:rPr>
        <w:tab/>
        <w:t xml:space="preserve">ביב ציבורי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(1)</w:t>
      </w:r>
      <w:r>
        <w:rPr>
          <w:rStyle w:val="default"/>
          <w:rFonts w:hint="cs"/>
          <w:rtl/>
        </w:rPr>
        <w:tab/>
        <w:t>לכל מ"ק משטח הקרקע</w:t>
      </w:r>
      <w:r>
        <w:rPr>
          <w:rStyle w:val="default"/>
          <w:rFonts w:hint="cs"/>
          <w:rtl/>
        </w:rPr>
        <w:tab/>
        <w:t>2.74</w:t>
      </w:r>
    </w:p>
    <w:p w:rsidR="009D339E" w:rsidRDefault="009D339E" w:rsidP="008B14C0">
      <w:pPr>
        <w:pStyle w:val="P22"/>
        <w:tabs>
          <w:tab w:val="clear" w:pos="2381"/>
          <w:tab w:val="clear" w:pos="2835"/>
          <w:tab w:val="clear" w:pos="6259"/>
          <w:tab w:val="left" w:pos="624"/>
          <w:tab w:val="left" w:pos="1021"/>
          <w:tab w:val="left" w:pos="6804"/>
        </w:tabs>
        <w:spacing w:before="72"/>
        <w:ind w:left="1021" w:right="1134" w:hanging="397"/>
        <w:rPr>
          <w:rStyle w:val="default"/>
          <w:rFonts w:hint="eastAsia"/>
          <w:rtl/>
        </w:rPr>
      </w:pPr>
      <w:r>
        <w:rPr>
          <w:rStyle w:val="default"/>
          <w:rFonts w:hint="cs"/>
          <w:rtl/>
        </w:rPr>
        <w:t>(2)</w:t>
      </w:r>
      <w:r>
        <w:rPr>
          <w:rStyle w:val="default"/>
          <w:rFonts w:hint="cs"/>
          <w:rtl/>
        </w:rPr>
        <w:tab/>
        <w:t>(א)</w:t>
      </w:r>
      <w:r>
        <w:rPr>
          <w:rStyle w:val="default"/>
          <w:rFonts w:hint="cs"/>
          <w:rtl/>
        </w:rPr>
        <w:tab/>
        <w:t xml:space="preserve">בנין בנכס לתעשיה או בית עסק </w:t>
      </w:r>
      <w:r>
        <w:rPr>
          <w:rStyle w:val="default"/>
          <w:rFonts w:hint="eastAsia"/>
          <w:rtl/>
        </w:rPr>
        <w:t xml:space="preserve">– </w:t>
      </w:r>
    </w:p>
    <w:p w:rsidR="009D339E" w:rsidRDefault="009D339E" w:rsidP="008B14C0">
      <w:pPr>
        <w:pStyle w:val="P22"/>
        <w:tabs>
          <w:tab w:val="clear" w:pos="2381"/>
          <w:tab w:val="clear" w:pos="2835"/>
          <w:tab w:val="clear" w:pos="6259"/>
          <w:tab w:val="left" w:pos="624"/>
          <w:tab w:val="left" w:pos="1021"/>
          <w:tab w:val="left" w:pos="6804"/>
        </w:tabs>
        <w:spacing w:before="72"/>
        <w:ind w:left="1474" w:right="1134"/>
        <w:rPr>
          <w:rStyle w:val="default"/>
          <w:rFonts w:hint="cs"/>
          <w:rtl/>
        </w:rPr>
      </w:pPr>
      <w:r>
        <w:rPr>
          <w:rStyle w:val="default"/>
          <w:rFonts w:hint="cs"/>
          <w:rtl/>
        </w:rPr>
        <w:t>(1)</w:t>
      </w:r>
      <w:r>
        <w:rPr>
          <w:rStyle w:val="default"/>
          <w:rFonts w:hint="cs"/>
          <w:rtl/>
        </w:rPr>
        <w:tab/>
        <w:t>לכל מ"ק מנפח הבנין</w:t>
      </w:r>
      <w:r>
        <w:rPr>
          <w:rStyle w:val="default"/>
          <w:rFonts w:hint="cs"/>
          <w:rtl/>
        </w:rPr>
        <w:tab/>
        <w:t>4.89</w:t>
      </w:r>
    </w:p>
    <w:p w:rsidR="009D339E" w:rsidRDefault="009D339E" w:rsidP="008B14C0">
      <w:pPr>
        <w:pStyle w:val="P22"/>
        <w:tabs>
          <w:tab w:val="clear" w:pos="2381"/>
          <w:tab w:val="clear" w:pos="2835"/>
          <w:tab w:val="clear" w:pos="6259"/>
          <w:tab w:val="left" w:pos="624"/>
          <w:tab w:val="left" w:pos="1021"/>
          <w:tab w:val="left" w:pos="6804"/>
        </w:tabs>
        <w:spacing w:before="72"/>
        <w:ind w:left="1474" w:right="1134"/>
        <w:rPr>
          <w:rStyle w:val="default"/>
          <w:rFonts w:hint="cs"/>
          <w:rtl/>
        </w:rPr>
      </w:pPr>
      <w:r>
        <w:rPr>
          <w:rStyle w:val="default"/>
          <w:rFonts w:hint="cs"/>
          <w:rtl/>
        </w:rPr>
        <w:t>(2)</w:t>
      </w:r>
      <w:r>
        <w:rPr>
          <w:rStyle w:val="default"/>
          <w:rFonts w:hint="cs"/>
          <w:rtl/>
        </w:rPr>
        <w:tab/>
        <w:t>בעד כמות שופכין שנתית עודפת, לכל מ"ק מים</w:t>
      </w:r>
      <w:r>
        <w:rPr>
          <w:rStyle w:val="default"/>
          <w:rFonts w:hint="cs"/>
          <w:rtl/>
        </w:rPr>
        <w:tab/>
        <w:t>2.09</w:t>
      </w:r>
    </w:p>
    <w:p w:rsidR="009D339E" w:rsidRDefault="009D339E" w:rsidP="008B14C0">
      <w:pPr>
        <w:pStyle w:val="P22"/>
        <w:tabs>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(ב)</w:t>
      </w:r>
      <w:r>
        <w:rPr>
          <w:rStyle w:val="default"/>
          <w:rFonts w:hint="cs"/>
          <w:rtl/>
        </w:rPr>
        <w:tab/>
        <w:t xml:space="preserve">בנין אחר </w:t>
      </w:r>
      <w:r>
        <w:rPr>
          <w:rStyle w:val="default"/>
          <w:rFonts w:hint="eastAsia"/>
          <w:rtl/>
        </w:rPr>
        <w:t>– לכל מ</w:t>
      </w:r>
      <w:r>
        <w:rPr>
          <w:rStyle w:val="default"/>
          <w:rFonts w:hint="cs"/>
          <w:rtl/>
        </w:rPr>
        <w:t>"ר משטח הבנין</w:t>
      </w:r>
      <w:r>
        <w:rPr>
          <w:rStyle w:val="default"/>
          <w:rFonts w:hint="cs"/>
          <w:rtl/>
        </w:rPr>
        <w:tab/>
        <w:t>14.66</w:t>
      </w:r>
    </w:p>
    <w:p w:rsidR="009D339E" w:rsidRDefault="009D339E" w:rsidP="008B14C0">
      <w:pPr>
        <w:pStyle w:val="P22"/>
        <w:tabs>
          <w:tab w:val="clear" w:pos="2381"/>
          <w:tab w:val="clear" w:pos="2835"/>
          <w:tab w:val="clear" w:pos="6259"/>
          <w:tab w:val="left" w:pos="624"/>
          <w:tab w:val="left" w:pos="1021"/>
          <w:tab w:val="left" w:pos="6804"/>
        </w:tabs>
        <w:spacing w:before="72"/>
        <w:ind w:left="-3" w:right="1134"/>
        <w:rPr>
          <w:rStyle w:val="default"/>
          <w:rFonts w:hint="eastAsia"/>
          <w:rtl/>
        </w:rPr>
      </w:pPr>
      <w:r>
        <w:rPr>
          <w:rStyle w:val="default"/>
          <w:rFonts w:hint="cs"/>
          <w:rtl/>
        </w:rPr>
        <w:t>3.</w:t>
      </w:r>
      <w:r>
        <w:rPr>
          <w:rStyle w:val="default"/>
          <w:rFonts w:hint="cs"/>
          <w:rtl/>
        </w:rPr>
        <w:tab/>
        <w:t xml:space="preserve">מיתקנים אחרים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624" w:right="1134"/>
        <w:rPr>
          <w:rStyle w:val="default"/>
          <w:rFonts w:hint="cs"/>
          <w:rtl/>
        </w:rPr>
      </w:pPr>
      <w:r>
        <w:rPr>
          <w:rStyle w:val="default"/>
          <w:rFonts w:hint="cs"/>
          <w:rtl/>
        </w:rPr>
        <w:t>(1)</w:t>
      </w:r>
      <w:r>
        <w:rPr>
          <w:rStyle w:val="default"/>
          <w:rFonts w:hint="cs"/>
          <w:rtl/>
        </w:rPr>
        <w:tab/>
        <w:t>לכל מ"ר משטח הקרקע</w:t>
      </w:r>
      <w:r>
        <w:rPr>
          <w:rStyle w:val="default"/>
          <w:rFonts w:hint="cs"/>
          <w:rtl/>
        </w:rPr>
        <w:tab/>
        <w:t>1.62</w:t>
      </w:r>
    </w:p>
    <w:p w:rsidR="009D339E" w:rsidRDefault="009D339E" w:rsidP="008B14C0">
      <w:pPr>
        <w:pStyle w:val="P22"/>
        <w:tabs>
          <w:tab w:val="clear" w:pos="2381"/>
          <w:tab w:val="clear" w:pos="2835"/>
          <w:tab w:val="clear" w:pos="6259"/>
          <w:tab w:val="left" w:pos="624"/>
          <w:tab w:val="left" w:pos="1021"/>
          <w:tab w:val="left" w:pos="6804"/>
        </w:tabs>
        <w:spacing w:before="72"/>
        <w:ind w:left="1021" w:right="1134" w:hanging="397"/>
        <w:rPr>
          <w:rStyle w:val="default"/>
          <w:rFonts w:hint="eastAsia"/>
          <w:rtl/>
        </w:rPr>
      </w:pPr>
      <w:r>
        <w:rPr>
          <w:rStyle w:val="default"/>
          <w:rFonts w:hint="cs"/>
          <w:rtl/>
        </w:rPr>
        <w:t>(2)</w:t>
      </w:r>
      <w:r>
        <w:rPr>
          <w:rStyle w:val="default"/>
          <w:rFonts w:hint="cs"/>
          <w:rtl/>
        </w:rPr>
        <w:tab/>
        <w:t>(א)</w:t>
      </w:r>
      <w:r>
        <w:rPr>
          <w:rStyle w:val="default"/>
          <w:rFonts w:hint="cs"/>
          <w:rtl/>
        </w:rPr>
        <w:tab/>
        <w:t xml:space="preserve">בנין בנכס לתעשיה או בית עסק </w:t>
      </w:r>
      <w:r>
        <w:rPr>
          <w:rStyle w:val="default"/>
          <w:rFonts w:hint="eastAsia"/>
          <w:rtl/>
        </w:rPr>
        <w:t xml:space="preserve">– </w:t>
      </w:r>
    </w:p>
    <w:p w:rsidR="009D339E" w:rsidRDefault="009D339E" w:rsidP="008B14C0">
      <w:pPr>
        <w:pStyle w:val="P22"/>
        <w:tabs>
          <w:tab w:val="clear" w:pos="2381"/>
          <w:tab w:val="clear" w:pos="2835"/>
          <w:tab w:val="clear" w:pos="6259"/>
          <w:tab w:val="left" w:pos="624"/>
          <w:tab w:val="left" w:pos="1021"/>
          <w:tab w:val="left" w:pos="6804"/>
        </w:tabs>
        <w:spacing w:before="72"/>
        <w:ind w:left="1474" w:right="1134"/>
        <w:rPr>
          <w:rStyle w:val="default"/>
          <w:rFonts w:hint="cs"/>
          <w:rtl/>
        </w:rPr>
      </w:pPr>
      <w:r>
        <w:rPr>
          <w:rStyle w:val="default"/>
          <w:rFonts w:hint="cs"/>
          <w:rtl/>
        </w:rPr>
        <w:t>(1)</w:t>
      </w:r>
      <w:r>
        <w:rPr>
          <w:rStyle w:val="default"/>
          <w:rFonts w:hint="cs"/>
          <w:rtl/>
        </w:rPr>
        <w:tab/>
        <w:t>לכל מ"ק מנפח הבנין</w:t>
      </w:r>
      <w:r>
        <w:rPr>
          <w:rStyle w:val="default"/>
          <w:rFonts w:hint="cs"/>
          <w:rtl/>
        </w:rPr>
        <w:tab/>
        <w:t>2.89</w:t>
      </w:r>
    </w:p>
    <w:p w:rsidR="009D339E" w:rsidRDefault="009D339E" w:rsidP="008B14C0">
      <w:pPr>
        <w:pStyle w:val="P22"/>
        <w:tabs>
          <w:tab w:val="clear" w:pos="2381"/>
          <w:tab w:val="clear" w:pos="2835"/>
          <w:tab w:val="clear" w:pos="6259"/>
          <w:tab w:val="left" w:pos="624"/>
          <w:tab w:val="left" w:pos="1021"/>
          <w:tab w:val="left" w:pos="6804"/>
        </w:tabs>
        <w:spacing w:before="72"/>
        <w:ind w:left="1474" w:right="1134"/>
        <w:rPr>
          <w:rStyle w:val="default"/>
          <w:rFonts w:hint="cs"/>
          <w:rtl/>
        </w:rPr>
      </w:pPr>
      <w:r>
        <w:rPr>
          <w:rStyle w:val="default"/>
          <w:rFonts w:hint="cs"/>
          <w:rtl/>
        </w:rPr>
        <w:t>(2)</w:t>
      </w:r>
      <w:r>
        <w:rPr>
          <w:rStyle w:val="default"/>
          <w:rFonts w:hint="cs"/>
          <w:rtl/>
        </w:rPr>
        <w:tab/>
        <w:t>בעד כמות שופכין שנתית עודפת, לכל מ"ק מים</w:t>
      </w:r>
      <w:r>
        <w:rPr>
          <w:rStyle w:val="default"/>
          <w:rFonts w:hint="cs"/>
          <w:rtl/>
        </w:rPr>
        <w:tab/>
        <w:t>1.24</w:t>
      </w:r>
    </w:p>
    <w:p w:rsidR="009D339E" w:rsidRDefault="009D339E" w:rsidP="008B14C0">
      <w:pPr>
        <w:pStyle w:val="P22"/>
        <w:tabs>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(ב)</w:t>
      </w:r>
      <w:r>
        <w:rPr>
          <w:rStyle w:val="default"/>
          <w:rFonts w:hint="cs"/>
          <w:rtl/>
        </w:rPr>
        <w:tab/>
        <w:t xml:space="preserve">בנין אחר </w:t>
      </w:r>
      <w:r>
        <w:rPr>
          <w:rStyle w:val="default"/>
          <w:rFonts w:hint="eastAsia"/>
          <w:rtl/>
        </w:rPr>
        <w:t>– לכל מ</w:t>
      </w:r>
      <w:r>
        <w:rPr>
          <w:rStyle w:val="default"/>
          <w:rFonts w:hint="cs"/>
          <w:rtl/>
        </w:rPr>
        <w:t>"ר משטח הבנין</w:t>
      </w:r>
      <w:r>
        <w:rPr>
          <w:rStyle w:val="default"/>
          <w:rFonts w:hint="cs"/>
          <w:rtl/>
        </w:rPr>
        <w:tab/>
        <w:t>8.68</w:t>
      </w:r>
    </w:p>
    <w:p w:rsidR="009D339E" w:rsidRDefault="009D339E">
      <w:pPr>
        <w:pStyle w:val="medium2-header"/>
        <w:keepLines w:val="0"/>
        <w:spacing w:before="72"/>
        <w:ind w:left="0" w:right="1134"/>
        <w:rPr>
          <w:rFonts w:cs="FrankRuehl" w:hint="cs"/>
          <w:noProof/>
          <w:rtl/>
        </w:rPr>
      </w:pPr>
      <w:r>
        <w:rPr>
          <w:rFonts w:cs="FrankRuehl" w:hint="cs"/>
          <w:noProof/>
          <w:rtl/>
        </w:rPr>
        <w:t>אגרת ביוב</w:t>
      </w:r>
    </w:p>
    <w:p w:rsidR="009D339E" w:rsidRDefault="009D339E" w:rsidP="008B14C0">
      <w:pPr>
        <w:pStyle w:val="P22"/>
        <w:tabs>
          <w:tab w:val="clear" w:pos="2381"/>
          <w:tab w:val="clear" w:pos="2835"/>
          <w:tab w:val="clear" w:pos="6259"/>
          <w:tab w:val="left" w:pos="624"/>
          <w:tab w:val="left" w:pos="1021"/>
          <w:tab w:val="left" w:pos="6804"/>
        </w:tabs>
        <w:spacing w:before="72"/>
        <w:ind w:left="-3" w:right="1134"/>
        <w:rPr>
          <w:rStyle w:val="default"/>
          <w:rFonts w:hint="eastAsia"/>
          <w:rtl/>
        </w:rPr>
      </w:pPr>
      <w:r>
        <w:rPr>
          <w:rFonts w:ascii="FrankRuehl" w:hAnsi="FrankRuehl" w:cs="FrankRuehl"/>
          <w:rtl/>
          <w:lang w:val="he-IL"/>
        </w:rPr>
        <w:pict>
          <v:rect id="_x0000_s1086" style="position:absolute;left:0;text-align:left;margin-left:464.35pt;margin-top:7.1pt;width:75.05pt;height:16pt;z-index:251669504" filled="f" stroked="f" strokecolor="lime" strokeweight=".25pt">
            <v:textbox style="mso-next-textbox:#_x0000_s1086" inset="0,0,0,0">
              <w:txbxContent>
                <w:p w:rsidR="009D339E" w:rsidRDefault="008B14C0" w:rsidP="008B14C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תשס"ד-2004</w:t>
                  </w:r>
                </w:p>
              </w:txbxContent>
            </v:textbox>
            <w10:anchorlock/>
          </v:rect>
        </w:pict>
      </w:r>
      <w:r>
        <w:rPr>
          <w:rStyle w:val="default"/>
          <w:rFonts w:hint="cs"/>
          <w:rtl/>
        </w:rPr>
        <w:t>4.</w:t>
      </w:r>
      <w:r>
        <w:rPr>
          <w:rStyle w:val="default"/>
          <w:rFonts w:hint="cs"/>
          <w:rtl/>
        </w:rPr>
        <w:tab/>
        <w:t xml:space="preserve">נכס המשמש לתעשיה או למלאכה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cs"/>
          <w:rtl/>
        </w:rPr>
      </w:pPr>
      <w:r>
        <w:rPr>
          <w:rStyle w:val="default"/>
          <w:rFonts w:hint="cs"/>
          <w:rtl/>
        </w:rPr>
        <w:t>(1)</w:t>
      </w:r>
      <w:r>
        <w:rPr>
          <w:rStyle w:val="default"/>
          <w:rFonts w:hint="cs"/>
          <w:rtl/>
        </w:rPr>
        <w:tab/>
        <w:t>אגרת ביוב שוטפת לכל מ"ק מים, למעט מים להשקיה, הנצרכים בנכס</w:t>
      </w:r>
      <w:r w:rsidR="008B14C0">
        <w:rPr>
          <w:rStyle w:val="default"/>
          <w:rFonts w:hint="cs"/>
          <w:rtl/>
        </w:rPr>
        <w:tab/>
      </w:r>
      <w:r w:rsidR="008B14C0">
        <w:rPr>
          <w:rStyle w:val="default"/>
          <w:rFonts w:hint="cs"/>
          <w:rtl/>
        </w:rPr>
        <w:tab/>
      </w:r>
      <w:r>
        <w:rPr>
          <w:rStyle w:val="default"/>
          <w:rFonts w:hint="cs"/>
          <w:rtl/>
        </w:rPr>
        <w:tab/>
        <w:t>2.54</w:t>
      </w:r>
    </w:p>
    <w:p w:rsidR="009D339E" w:rsidRDefault="009D339E" w:rsidP="008B14C0">
      <w:pPr>
        <w:pStyle w:val="P22"/>
        <w:tabs>
          <w:tab w:val="clear" w:pos="2381"/>
          <w:tab w:val="clear" w:pos="2835"/>
          <w:tab w:val="clear" w:pos="6259"/>
          <w:tab w:val="left" w:pos="624"/>
          <w:tab w:val="left" w:pos="1021"/>
          <w:tab w:val="left" w:pos="6804"/>
        </w:tabs>
        <w:spacing w:before="72"/>
        <w:ind w:left="624" w:right="1134"/>
        <w:rPr>
          <w:rStyle w:val="default"/>
          <w:rFonts w:hint="eastAsia"/>
          <w:rtl/>
        </w:rPr>
      </w:pPr>
      <w:r>
        <w:rPr>
          <w:rStyle w:val="default"/>
          <w:rFonts w:hint="cs"/>
          <w:rtl/>
        </w:rPr>
        <w:t xml:space="preserve">ונוסף על כך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rPr>
      </w:pPr>
      <w:r>
        <w:rPr>
          <w:rStyle w:val="default"/>
          <w:rFonts w:hint="cs"/>
          <w:rtl/>
        </w:rPr>
        <w:t>(2)</w:t>
      </w:r>
      <w:r>
        <w:rPr>
          <w:rStyle w:val="default"/>
          <w:rFonts w:hint="cs"/>
          <w:rtl/>
        </w:rPr>
        <w:tab/>
        <w:t>אגרה להחלפה ולשיקום קווים (קרן פחת) לכל מ"ק מים, למעט מים להשקיה, הנצרכים בנכס</w:t>
      </w:r>
      <w:r>
        <w:rPr>
          <w:rStyle w:val="default"/>
          <w:rFonts w:hint="cs"/>
          <w:rtl/>
        </w:rPr>
        <w:tab/>
        <w:t>0.67</w:t>
      </w:r>
      <w:r>
        <w:rPr>
          <w:rStyle w:val="default"/>
          <w:rFonts w:hint="eastAsia"/>
          <w:rtl/>
        </w:rPr>
        <w:t xml:space="preserve"> </w:t>
      </w:r>
    </w:p>
    <w:p w:rsidR="009D339E" w:rsidRDefault="009D339E" w:rsidP="008B14C0">
      <w:pPr>
        <w:pStyle w:val="P22"/>
        <w:tabs>
          <w:tab w:val="clear" w:pos="2381"/>
          <w:tab w:val="clear" w:pos="2835"/>
          <w:tab w:val="clear" w:pos="6259"/>
          <w:tab w:val="left" w:pos="624"/>
          <w:tab w:val="left" w:pos="1021"/>
          <w:tab w:val="left" w:pos="6804"/>
        </w:tabs>
        <w:spacing w:before="72"/>
        <w:ind w:left="-3" w:right="1134"/>
        <w:rPr>
          <w:rStyle w:val="default"/>
          <w:rFonts w:hint="eastAsia"/>
          <w:rtl/>
        </w:rPr>
      </w:pPr>
      <w:r>
        <w:rPr>
          <w:rFonts w:ascii="FrankRuehl" w:hAnsi="FrankRuehl" w:cs="FrankRuehl"/>
          <w:rtl/>
          <w:lang w:val="he-IL"/>
        </w:rPr>
        <w:pict>
          <v:rect id="_x0000_s1087" style="position:absolute;left:0;text-align:left;margin-left:464.35pt;margin-top:7.1pt;width:75.05pt;height:16pt;z-index:251670528" filled="f" stroked="f" strokecolor="lime" strokeweight=".25pt">
            <v:textbox style="mso-next-textbox:#_x0000_s1087" inset="0,0,0,0">
              <w:txbxContent>
                <w:p w:rsidR="009D339E" w:rsidRDefault="008B14C0" w:rsidP="008B14C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תשס"ד-2004</w:t>
                  </w:r>
                </w:p>
              </w:txbxContent>
            </v:textbox>
            <w10:anchorlock/>
          </v:rect>
        </w:pict>
      </w:r>
      <w:r>
        <w:rPr>
          <w:rStyle w:val="default"/>
          <w:rFonts w:hint="cs"/>
          <w:rtl/>
        </w:rPr>
        <w:t>5.</w:t>
      </w:r>
      <w:r>
        <w:rPr>
          <w:rStyle w:val="default"/>
          <w:rFonts w:hint="cs"/>
          <w:rtl/>
        </w:rPr>
        <w:tab/>
        <w:t xml:space="preserve">נכס, למעט נכס המשמש לתעשיה או למלאכה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cs"/>
          <w:rtl/>
        </w:rPr>
      </w:pPr>
      <w:r>
        <w:rPr>
          <w:rStyle w:val="default"/>
          <w:rFonts w:hint="cs"/>
          <w:rtl/>
        </w:rPr>
        <w:tab/>
        <w:t>(1)</w:t>
      </w:r>
      <w:r>
        <w:rPr>
          <w:rStyle w:val="default"/>
          <w:rFonts w:hint="cs"/>
          <w:rtl/>
        </w:rPr>
        <w:tab/>
        <w:t>אגרת ביוב שוטפת לכל מ"ק מים, למעט מים להשקיה, הנצרכים בנכס</w:t>
      </w:r>
      <w:r>
        <w:rPr>
          <w:rStyle w:val="default"/>
          <w:rFonts w:hint="cs"/>
          <w:rtl/>
        </w:rPr>
        <w:tab/>
        <w:t>2.12</w:t>
      </w:r>
    </w:p>
    <w:p w:rsidR="009D339E" w:rsidRDefault="009D339E" w:rsidP="008B14C0">
      <w:pPr>
        <w:pStyle w:val="P22"/>
        <w:tabs>
          <w:tab w:val="clear" w:pos="2381"/>
          <w:tab w:val="clear" w:pos="2835"/>
          <w:tab w:val="clear" w:pos="6259"/>
          <w:tab w:val="left" w:pos="624"/>
          <w:tab w:val="left" w:pos="1021"/>
          <w:tab w:val="left" w:pos="6804"/>
        </w:tabs>
        <w:spacing w:before="72"/>
        <w:ind w:left="624" w:right="1134"/>
        <w:rPr>
          <w:rStyle w:val="default"/>
          <w:rFonts w:hint="eastAsia"/>
          <w:rtl/>
        </w:rPr>
      </w:pPr>
      <w:r>
        <w:rPr>
          <w:rStyle w:val="default"/>
          <w:rFonts w:hint="cs"/>
          <w:rtl/>
        </w:rPr>
        <w:tab/>
        <w:t xml:space="preserve">ונוסף על כך </w:t>
      </w:r>
      <w:r>
        <w:rPr>
          <w:rStyle w:val="default"/>
          <w:rFonts w:hint="eastAsia"/>
          <w:rtl/>
        </w:rPr>
        <w:t>–</w:t>
      </w:r>
    </w:p>
    <w:p w:rsidR="009D339E" w:rsidRDefault="009D339E" w:rsidP="008B14C0">
      <w:pPr>
        <w:pStyle w:val="P22"/>
        <w:tabs>
          <w:tab w:val="clear" w:pos="2381"/>
          <w:tab w:val="clear" w:pos="2835"/>
          <w:tab w:val="clear" w:pos="6259"/>
          <w:tab w:val="left" w:pos="624"/>
          <w:tab w:val="left" w:pos="1021"/>
          <w:tab w:val="left" w:pos="6804"/>
        </w:tabs>
        <w:spacing w:before="72"/>
        <w:ind w:left="1021" w:right="2552" w:hanging="397"/>
        <w:jc w:val="left"/>
        <w:rPr>
          <w:rStyle w:val="default"/>
          <w:rFonts w:hint="eastAsia"/>
          <w:rtl/>
        </w:rPr>
      </w:pPr>
      <w:r>
        <w:rPr>
          <w:rStyle w:val="default"/>
          <w:rFonts w:hint="cs"/>
          <w:rtl/>
        </w:rPr>
        <w:tab/>
        <w:t>(2)</w:t>
      </w:r>
      <w:r>
        <w:rPr>
          <w:rStyle w:val="default"/>
          <w:rFonts w:hint="cs"/>
          <w:rtl/>
        </w:rPr>
        <w:tab/>
        <w:t>אגרה להחלפה ולשיקום קווים (קרן פחת) לכל מ"ק מים, למעט מים להשקיה, הנצרכים בנכס</w:t>
      </w:r>
      <w:r>
        <w:rPr>
          <w:rStyle w:val="default"/>
          <w:rFonts w:hint="cs"/>
          <w:rtl/>
        </w:rPr>
        <w:tab/>
        <w:t>0.55</w:t>
      </w:r>
      <w:r>
        <w:rPr>
          <w:rStyle w:val="default"/>
          <w:rFonts w:hint="eastAsia"/>
          <w:rtl/>
        </w:rPr>
        <w:t xml:space="preserve"> </w:t>
      </w:r>
    </w:p>
    <w:p w:rsidR="009D339E" w:rsidRDefault="009D339E" w:rsidP="008B14C0">
      <w:pPr>
        <w:pStyle w:val="P22"/>
        <w:tabs>
          <w:tab w:val="clear" w:pos="2381"/>
          <w:tab w:val="clear" w:pos="2835"/>
          <w:tab w:val="clear" w:pos="6259"/>
          <w:tab w:val="left" w:pos="624"/>
          <w:tab w:val="left" w:pos="1021"/>
          <w:tab w:val="left" w:pos="6804"/>
        </w:tabs>
        <w:spacing w:before="72"/>
        <w:ind w:left="-3" w:right="1134"/>
        <w:rPr>
          <w:rStyle w:val="default"/>
          <w:rFonts w:hint="eastAsia"/>
          <w:rtl/>
        </w:rPr>
      </w:pPr>
      <w:r w:rsidRPr="008B14C0">
        <w:rPr>
          <w:rStyle w:val="default"/>
          <w:rtl/>
        </w:rPr>
        <w:pict>
          <v:rect id="_x0000_s1088" style="position:absolute;left:0;text-align:left;margin-left:464.35pt;margin-top:7.1pt;width:75.05pt;height:10.55pt;z-index:251671552" filled="f" stroked="f" strokecolor="lime" strokeweight=".25pt">
            <v:textbox style="mso-next-textbox:#_x0000_s1088" inset="0,0,0,0">
              <w:txbxContent>
                <w:p w:rsidR="009D339E" w:rsidRDefault="008B14C0" w:rsidP="008B14C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תשס"ז-2006</w:t>
                  </w:r>
                </w:p>
              </w:txbxContent>
            </v:textbox>
            <w10:anchorlock/>
          </v:rect>
        </w:pict>
      </w:r>
      <w:r>
        <w:rPr>
          <w:rStyle w:val="default"/>
          <w:rFonts w:hint="cs"/>
          <w:rtl/>
        </w:rPr>
        <w:t>6.</w:t>
      </w:r>
      <w:r>
        <w:rPr>
          <w:rStyle w:val="default"/>
          <w:rFonts w:hint="cs"/>
          <w:rtl/>
        </w:rPr>
        <w:tab/>
        <w:t>בוטל</w:t>
      </w:r>
      <w:r>
        <w:rPr>
          <w:rStyle w:val="default"/>
          <w:rFonts w:hint="eastAsia"/>
          <w:rtl/>
        </w:rPr>
        <w:t xml:space="preserve"> </w:t>
      </w:r>
    </w:p>
    <w:p w:rsidR="009D339E" w:rsidRDefault="009D339E" w:rsidP="008B14C0">
      <w:pPr>
        <w:pStyle w:val="P22"/>
        <w:tabs>
          <w:tab w:val="clear" w:pos="2381"/>
          <w:tab w:val="clear" w:pos="2835"/>
          <w:tab w:val="clear" w:pos="6259"/>
          <w:tab w:val="left" w:pos="624"/>
          <w:tab w:val="left" w:pos="1021"/>
          <w:tab w:val="left" w:pos="6804"/>
        </w:tabs>
        <w:spacing w:before="72"/>
        <w:ind w:left="-3" w:right="1134"/>
        <w:rPr>
          <w:rStyle w:val="default"/>
          <w:rFonts w:hint="eastAsia"/>
          <w:rtl/>
        </w:rPr>
      </w:pPr>
      <w:r w:rsidRPr="008B14C0">
        <w:rPr>
          <w:rStyle w:val="default"/>
          <w:rtl/>
        </w:rPr>
        <w:pict>
          <v:rect id="_x0000_s1089" style="position:absolute;left:0;text-align:left;margin-left:464.35pt;margin-top:7.1pt;width:75.05pt;height:16pt;z-index:251672576" filled="f" stroked="f" strokecolor="lime" strokeweight=".25pt">
            <v:textbox style="mso-next-textbox:#_x0000_s1089" inset="0,0,0,0">
              <w:txbxContent>
                <w:p w:rsidR="009D339E" w:rsidRDefault="008B14C0" w:rsidP="008B14C0">
                  <w:pPr>
                    <w:spacing w:line="160" w:lineRule="exact"/>
                    <w:jc w:val="left"/>
                    <w:rPr>
                      <w:rFonts w:cs="Miriam" w:hint="cs"/>
                      <w:noProof/>
                      <w:sz w:val="18"/>
                      <w:szCs w:val="18"/>
                      <w:rtl/>
                    </w:rPr>
                  </w:pPr>
                  <w:r>
                    <w:rPr>
                      <w:rFonts w:cs="Miriam" w:hint="cs"/>
                      <w:sz w:val="18"/>
                      <w:szCs w:val="18"/>
                      <w:rtl/>
                    </w:rPr>
                    <w:t xml:space="preserve">תיקון </w:t>
                  </w:r>
                  <w:r w:rsidR="009D339E">
                    <w:rPr>
                      <w:rFonts w:cs="Miriam" w:hint="cs"/>
                      <w:sz w:val="18"/>
                      <w:szCs w:val="18"/>
                      <w:rtl/>
                    </w:rPr>
                    <w:t>תשס"ז-2006</w:t>
                  </w:r>
                </w:p>
              </w:txbxContent>
            </v:textbox>
            <w10:anchorlock/>
          </v:rect>
        </w:pict>
      </w:r>
      <w:r>
        <w:rPr>
          <w:rStyle w:val="default"/>
          <w:rFonts w:hint="cs"/>
          <w:rtl/>
        </w:rPr>
        <w:t>7.</w:t>
      </w:r>
      <w:r>
        <w:rPr>
          <w:rStyle w:val="default"/>
          <w:rFonts w:hint="cs"/>
          <w:rtl/>
        </w:rPr>
        <w:tab/>
        <w:t>בוטל</w:t>
      </w:r>
    </w:p>
    <w:p w:rsidR="009D339E" w:rsidRDefault="009D339E" w:rsidP="008B14C0">
      <w:pPr>
        <w:pStyle w:val="P00"/>
        <w:spacing w:before="72"/>
        <w:ind w:left="0" w:right="1134"/>
        <w:rPr>
          <w:rFonts w:cs="FrankRuehl" w:hint="cs"/>
          <w:rtl/>
          <w:lang w:eastAsia="en-US"/>
        </w:rPr>
      </w:pPr>
    </w:p>
    <w:p w:rsidR="008B14C0" w:rsidRPr="008B14C0" w:rsidRDefault="008B14C0" w:rsidP="008B14C0">
      <w:pPr>
        <w:pStyle w:val="P00"/>
        <w:spacing w:before="72"/>
        <w:ind w:left="0" w:right="1134"/>
        <w:rPr>
          <w:rFonts w:cs="FrankRuehl" w:hint="cs"/>
          <w:rtl/>
          <w:lang w:eastAsia="en-US"/>
        </w:rPr>
      </w:pPr>
    </w:p>
    <w:p w:rsidR="009D339E" w:rsidRDefault="009D339E">
      <w:pPr>
        <w:pStyle w:val="P22"/>
        <w:tabs>
          <w:tab w:val="clear" w:pos="1474"/>
          <w:tab w:val="left" w:pos="657"/>
          <w:tab w:val="right" w:pos="6259"/>
        </w:tabs>
        <w:spacing w:before="72"/>
        <w:ind w:left="-3" w:right="1134"/>
        <w:rPr>
          <w:rStyle w:val="default"/>
          <w:rFonts w:hint="cs"/>
          <w:rtl/>
        </w:rPr>
      </w:pPr>
      <w:r>
        <w:rPr>
          <w:rStyle w:val="default"/>
          <w:rFonts w:hint="cs"/>
          <w:rtl/>
        </w:rPr>
        <w:tab/>
        <w:t>נתאשר.</w:t>
      </w:r>
    </w:p>
    <w:p w:rsidR="009D339E" w:rsidRDefault="009D339E" w:rsidP="008B14C0">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א' באייר התשנ"ה (1 במאי 1995)</w:t>
      </w:r>
      <w:r>
        <w:rPr>
          <w:rFonts w:cs="FrankRuehl"/>
          <w:sz w:val="28"/>
          <w:szCs w:val="26"/>
          <w:rtl/>
        </w:rPr>
        <w:tab/>
      </w:r>
      <w:r>
        <w:rPr>
          <w:rFonts w:cs="FrankRuehl" w:hint="cs"/>
          <w:sz w:val="28"/>
          <w:szCs w:val="26"/>
          <w:rtl/>
        </w:rPr>
        <w:t>מאיר ניצן</w:t>
      </w:r>
    </w:p>
    <w:p w:rsidR="009D339E" w:rsidRPr="008B14C0" w:rsidRDefault="009D339E" w:rsidP="008B14C0">
      <w:pPr>
        <w:pStyle w:val="sig-1"/>
        <w:widowControl/>
        <w:tabs>
          <w:tab w:val="clear" w:pos="851"/>
          <w:tab w:val="clear" w:pos="2835"/>
          <w:tab w:val="clear" w:pos="4820"/>
          <w:tab w:val="center" w:pos="5103"/>
        </w:tabs>
        <w:ind w:left="0" w:right="1134"/>
        <w:rPr>
          <w:rFonts w:cs="FrankRuehl" w:hint="cs"/>
          <w:sz w:val="22"/>
          <w:rtl/>
        </w:rPr>
      </w:pPr>
      <w:r w:rsidRPr="008B14C0">
        <w:rPr>
          <w:rFonts w:cs="FrankRuehl" w:hint="cs"/>
          <w:sz w:val="22"/>
          <w:rtl/>
        </w:rPr>
        <w:tab/>
        <w:t>ראש עיריית ראשון-לציון</w:t>
      </w:r>
    </w:p>
    <w:p w:rsidR="009D339E" w:rsidRPr="008B14C0" w:rsidRDefault="009D339E" w:rsidP="008B14C0">
      <w:pPr>
        <w:pStyle w:val="P00"/>
        <w:spacing w:before="72"/>
        <w:ind w:left="0" w:right="1134"/>
        <w:rPr>
          <w:rFonts w:cs="FrankRuehl" w:hint="cs"/>
          <w:rtl/>
          <w:lang w:eastAsia="en-US"/>
        </w:rPr>
      </w:pPr>
    </w:p>
    <w:p w:rsidR="008B14C0" w:rsidRPr="008B14C0" w:rsidRDefault="008B14C0" w:rsidP="008B14C0">
      <w:pPr>
        <w:pStyle w:val="P00"/>
        <w:spacing w:before="72"/>
        <w:ind w:left="0" w:right="1134"/>
        <w:rPr>
          <w:rFonts w:cs="FrankRuehl" w:hint="cs"/>
          <w:rtl/>
          <w:lang w:eastAsia="en-US"/>
        </w:rPr>
      </w:pPr>
    </w:p>
    <w:p w:rsidR="009D339E" w:rsidRPr="008B14C0" w:rsidRDefault="009D339E" w:rsidP="008B14C0">
      <w:pPr>
        <w:pStyle w:val="P00"/>
        <w:spacing w:before="72"/>
        <w:ind w:left="0" w:right="1134"/>
        <w:rPr>
          <w:rFonts w:cs="FrankRuehl" w:hint="cs"/>
          <w:rtl/>
          <w:lang w:eastAsia="en-US"/>
        </w:rPr>
      </w:pPr>
      <w:bookmarkStart w:id="20" w:name="LawPartEnd"/>
      <w:bookmarkEnd w:id="20"/>
    </w:p>
    <w:p w:rsidR="006A71B6" w:rsidRPr="00FC2D8F" w:rsidRDefault="006A71B6" w:rsidP="006A71B6">
      <w:pPr>
        <w:pStyle w:val="P00"/>
        <w:spacing w:before="72"/>
        <w:ind w:left="0" w:right="1134"/>
        <w:rPr>
          <w:rStyle w:val="default"/>
          <w:rFonts w:hint="cs"/>
          <w:sz w:val="16"/>
          <w:szCs w:val="16"/>
          <w:rtl/>
        </w:rPr>
      </w:pPr>
      <w:r w:rsidRPr="00FC2D8F">
        <w:rPr>
          <w:rStyle w:val="default"/>
          <w:rFonts w:hint="cs"/>
          <w:sz w:val="16"/>
          <w:szCs w:val="16"/>
          <w:rtl/>
        </w:rPr>
        <w:t>גפני</w:t>
      </w:r>
    </w:p>
    <w:p w:rsidR="008B14C0" w:rsidRPr="008B14C0" w:rsidRDefault="008B14C0" w:rsidP="008B14C0">
      <w:pPr>
        <w:pStyle w:val="P00"/>
        <w:spacing w:before="72"/>
        <w:ind w:left="0" w:right="1134"/>
        <w:rPr>
          <w:rFonts w:cs="FrankRuehl" w:hint="cs"/>
          <w:rtl/>
          <w:lang w:eastAsia="en-US"/>
        </w:rPr>
      </w:pPr>
    </w:p>
    <w:sectPr w:rsidR="008B14C0" w:rsidRPr="008B14C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4066" w:rsidRDefault="00D84066">
      <w:r>
        <w:separator/>
      </w:r>
    </w:p>
  </w:endnote>
  <w:endnote w:type="continuationSeparator" w:id="0">
    <w:p w:rsidR="00D84066" w:rsidRDefault="00D8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339E" w:rsidRDefault="009D339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D339E" w:rsidRDefault="009D339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339E" w:rsidRDefault="009D339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1380">
      <w:rPr>
        <w:rFonts w:cs="TopType Jerushalmi"/>
        <w:noProof/>
        <w:color w:val="000000"/>
        <w:sz w:val="14"/>
        <w:szCs w:val="14"/>
      </w:rPr>
      <w:t>D:\Yael\hakika\mekomi\mek_007_001.doc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339E" w:rsidRDefault="009D339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2A7A">
      <w:rPr>
        <w:rFonts w:hAnsi="FrankRuehl" w:cs="FrankRuehl"/>
        <w:noProof/>
        <w:sz w:val="24"/>
        <w:szCs w:val="24"/>
        <w:rtl/>
      </w:rPr>
      <w:t>4</w:t>
    </w:r>
    <w:r>
      <w:rPr>
        <w:rFonts w:hAnsi="FrankRuehl" w:cs="FrankRuehl"/>
        <w:sz w:val="24"/>
        <w:szCs w:val="24"/>
        <w:rtl/>
      </w:rPr>
      <w:fldChar w:fldCharType="end"/>
    </w:r>
  </w:p>
  <w:p w:rsidR="009D339E" w:rsidRDefault="009D339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D339E" w:rsidRDefault="009D339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B1380">
      <w:rPr>
        <w:rFonts w:cs="TopType Jerushalmi"/>
        <w:noProof/>
        <w:color w:val="000000"/>
        <w:sz w:val="14"/>
        <w:szCs w:val="14"/>
      </w:rPr>
      <w:t>D:\Yael\hakika\mekomi\mek_007_001.doc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4066" w:rsidRDefault="00D84066" w:rsidP="005B1380">
      <w:pPr>
        <w:spacing w:before="60" w:line="240" w:lineRule="auto"/>
        <w:ind w:right="1134"/>
      </w:pPr>
      <w:r>
        <w:separator/>
      </w:r>
    </w:p>
  </w:footnote>
  <w:footnote w:type="continuationSeparator" w:id="0">
    <w:p w:rsidR="00D84066" w:rsidRDefault="00D84066">
      <w:r>
        <w:continuationSeparator/>
      </w:r>
    </w:p>
  </w:footnote>
  <w:footnote w:id="1">
    <w:p w:rsidR="009D339E" w:rsidRDefault="009D339E" w:rsidP="00370825">
      <w:pPr>
        <w:pStyle w:val="a5"/>
        <w:spacing w:before="72" w:line="240" w:lineRule="auto"/>
        <w:ind w:left="-3" w:right="1155" w:firstLine="3"/>
        <w:rPr>
          <w:rFonts w:cs="FrankRuehl" w:hint="cs"/>
          <w:sz w:val="22"/>
          <w:szCs w:val="22"/>
          <w:rtl/>
        </w:rPr>
      </w:pPr>
      <w:r>
        <w:rPr>
          <w:rStyle w:val="a6"/>
          <w:vertAlign w:val="baseline"/>
        </w:rPr>
        <w:t>*</w:t>
      </w:r>
      <w:r w:rsidR="00370825">
        <w:rPr>
          <w:rFonts w:cs="FrankRuehl" w:hint="cs"/>
          <w:sz w:val="22"/>
          <w:szCs w:val="22"/>
          <w:rtl/>
        </w:rPr>
        <w:t xml:space="preserve"> </w:t>
      </w:r>
      <w:r>
        <w:rPr>
          <w:rFonts w:cs="FrankRuehl"/>
          <w:sz w:val="22"/>
          <w:szCs w:val="22"/>
          <w:rtl/>
        </w:rPr>
        <w:t>פ</w:t>
      </w:r>
      <w:r>
        <w:rPr>
          <w:rFonts w:cs="FrankRuehl" w:hint="cs"/>
          <w:sz w:val="22"/>
          <w:szCs w:val="22"/>
          <w:rtl/>
        </w:rPr>
        <w:t xml:space="preserve">ורסמו </w:t>
      </w:r>
      <w:hyperlink r:id="rId1" w:history="1">
        <w:proofErr w:type="spellStart"/>
        <w:r>
          <w:rPr>
            <w:rStyle w:val="Hyperlink"/>
            <w:rFonts w:cs="FrankRuehl"/>
            <w:sz w:val="22"/>
            <w:szCs w:val="22"/>
            <w:rtl/>
          </w:rPr>
          <w:t>ק"ת</w:t>
        </w:r>
        <w:proofErr w:type="spellEnd"/>
        <w:r>
          <w:rPr>
            <w:rStyle w:val="Hyperlink"/>
            <w:rFonts w:cs="FrankRuehl"/>
            <w:sz w:val="22"/>
            <w:szCs w:val="22"/>
            <w:rtl/>
          </w:rPr>
          <w:t xml:space="preserve"> </w:t>
        </w:r>
        <w:proofErr w:type="spellStart"/>
        <w:r>
          <w:rPr>
            <w:rStyle w:val="Hyperlink"/>
            <w:rFonts w:cs="FrankRuehl"/>
            <w:sz w:val="22"/>
            <w:szCs w:val="22"/>
            <w:rtl/>
          </w:rPr>
          <w:t>חש"ם</w:t>
        </w:r>
        <w:proofErr w:type="spellEnd"/>
        <w:r>
          <w:rPr>
            <w:rStyle w:val="Hyperlink"/>
            <w:rFonts w:cs="FrankRuehl"/>
            <w:sz w:val="22"/>
            <w:szCs w:val="22"/>
            <w:rtl/>
          </w:rPr>
          <w:t xml:space="preserve"> תשנ"ה מס' 539</w:t>
        </w:r>
      </w:hyperlink>
      <w:r>
        <w:rPr>
          <w:rFonts w:cs="FrankRuehl" w:hint="cs"/>
          <w:sz w:val="22"/>
          <w:szCs w:val="22"/>
          <w:rtl/>
        </w:rPr>
        <w:t xml:space="preserve"> מיום 8.6.1995 </w:t>
      </w:r>
      <w:proofErr w:type="spellStart"/>
      <w:r>
        <w:rPr>
          <w:rFonts w:cs="FrankRuehl" w:hint="cs"/>
          <w:sz w:val="22"/>
          <w:szCs w:val="22"/>
          <w:rtl/>
        </w:rPr>
        <w:t>עמ</w:t>
      </w:r>
      <w:proofErr w:type="spellEnd"/>
      <w:r>
        <w:rPr>
          <w:rFonts w:cs="FrankRuehl" w:hint="cs"/>
          <w:sz w:val="22"/>
          <w:szCs w:val="22"/>
          <w:rtl/>
        </w:rPr>
        <w:t>' 400.</w:t>
      </w:r>
    </w:p>
    <w:p w:rsidR="00D27FD0" w:rsidRDefault="009D339E" w:rsidP="00812A7A">
      <w:pPr>
        <w:pStyle w:val="a5"/>
        <w:spacing w:before="72" w:line="240" w:lineRule="auto"/>
        <w:ind w:left="-3" w:right="1155" w:firstLine="3"/>
        <w:rPr>
          <w:rFonts w:cs="FrankRuehl" w:hint="cs"/>
          <w:sz w:val="22"/>
          <w:szCs w:val="22"/>
          <w:rtl/>
        </w:rPr>
      </w:pPr>
      <w:r w:rsidRPr="00812A7A">
        <w:rPr>
          <w:rFonts w:cs="FrankRuehl" w:hint="cs"/>
          <w:sz w:val="22"/>
          <w:szCs w:val="22"/>
          <w:highlight w:val="lightGray"/>
          <w:rtl/>
        </w:rPr>
        <w:t>ת"ט</w:t>
      </w:r>
      <w:r w:rsidRPr="00812A7A">
        <w:rPr>
          <w:rFonts w:hint="cs"/>
          <w:highlight w:val="lightGray"/>
          <w:rtl/>
        </w:rPr>
        <w:t xml:space="preserve"> </w:t>
      </w:r>
      <w:r w:rsidR="00D27FD0" w:rsidRPr="00812A7A">
        <w:rPr>
          <w:rFonts w:hint="cs"/>
          <w:highlight w:val="lightGray"/>
          <w:rtl/>
        </w:rPr>
        <w:t>***</w:t>
      </w:r>
      <w:r w:rsidR="00812A7A" w:rsidRPr="00812A7A">
        <w:rPr>
          <w:rFonts w:hint="cs"/>
          <w:highlight w:val="lightGray"/>
          <w:rtl/>
        </w:rPr>
        <w:t xml:space="preserve"> </w:t>
      </w:r>
      <w:hyperlink r:id="rId2" w:history="1">
        <w:proofErr w:type="spellStart"/>
        <w:r w:rsidRPr="00812A7A">
          <w:rPr>
            <w:rStyle w:val="Hyperlink"/>
            <w:rFonts w:cs="FrankRuehl"/>
            <w:sz w:val="22"/>
            <w:szCs w:val="22"/>
            <w:highlight w:val="lightGray"/>
            <w:rtl/>
          </w:rPr>
          <w:t>ק"ת</w:t>
        </w:r>
        <w:proofErr w:type="spellEnd"/>
        <w:r w:rsidRPr="00812A7A">
          <w:rPr>
            <w:rStyle w:val="Hyperlink"/>
            <w:rFonts w:cs="FrankRuehl"/>
            <w:sz w:val="22"/>
            <w:szCs w:val="22"/>
            <w:highlight w:val="lightGray"/>
            <w:rtl/>
          </w:rPr>
          <w:t xml:space="preserve"> </w:t>
        </w:r>
        <w:proofErr w:type="spellStart"/>
        <w:r w:rsidRPr="00812A7A">
          <w:rPr>
            <w:rStyle w:val="Hyperlink"/>
            <w:rFonts w:cs="FrankRuehl"/>
            <w:sz w:val="22"/>
            <w:szCs w:val="22"/>
            <w:highlight w:val="lightGray"/>
            <w:rtl/>
          </w:rPr>
          <w:t>חש"ם</w:t>
        </w:r>
        <w:proofErr w:type="spellEnd"/>
        <w:r w:rsidRPr="00812A7A">
          <w:rPr>
            <w:rStyle w:val="Hyperlink"/>
            <w:rFonts w:cs="FrankRuehl"/>
            <w:sz w:val="22"/>
            <w:szCs w:val="22"/>
            <w:highlight w:val="lightGray"/>
            <w:rtl/>
          </w:rPr>
          <w:t xml:space="preserve"> תשנ"ו מס' 553</w:t>
        </w:r>
      </w:hyperlink>
      <w:r w:rsidR="005B1380" w:rsidRPr="00812A7A">
        <w:rPr>
          <w:rFonts w:cs="FrankRuehl" w:hint="cs"/>
          <w:sz w:val="22"/>
          <w:szCs w:val="22"/>
          <w:highlight w:val="lightGray"/>
          <w:rtl/>
        </w:rPr>
        <w:t xml:space="preserve"> </w:t>
      </w:r>
      <w:r w:rsidRPr="00812A7A">
        <w:rPr>
          <w:rFonts w:cs="FrankRuehl" w:hint="cs"/>
          <w:sz w:val="22"/>
          <w:szCs w:val="22"/>
          <w:highlight w:val="lightGray"/>
          <w:rtl/>
        </w:rPr>
        <w:t xml:space="preserve">מיום 25.4.1996 </w:t>
      </w:r>
      <w:proofErr w:type="spellStart"/>
      <w:r w:rsidRPr="00812A7A">
        <w:rPr>
          <w:rFonts w:cs="FrankRuehl" w:hint="cs"/>
          <w:sz w:val="22"/>
          <w:szCs w:val="22"/>
          <w:highlight w:val="lightGray"/>
          <w:rtl/>
        </w:rPr>
        <w:t>עמ</w:t>
      </w:r>
      <w:proofErr w:type="spellEnd"/>
      <w:r w:rsidRPr="00812A7A">
        <w:rPr>
          <w:rFonts w:cs="FrankRuehl" w:hint="cs"/>
          <w:sz w:val="22"/>
          <w:szCs w:val="22"/>
          <w:highlight w:val="lightGray"/>
          <w:rtl/>
        </w:rPr>
        <w:t>' 320.</w:t>
      </w:r>
      <w:r w:rsidR="00812A7A" w:rsidRPr="00812A7A">
        <w:rPr>
          <w:rFonts w:cs="FrankRuehl" w:hint="cs"/>
          <w:sz w:val="22"/>
          <w:szCs w:val="22"/>
          <w:highlight w:val="lightGray"/>
          <w:rtl/>
        </w:rPr>
        <w:t xml:space="preserve"> </w:t>
      </w:r>
      <w:r w:rsidR="00D27FD0" w:rsidRPr="00812A7A">
        <w:rPr>
          <w:rFonts w:cs="FrankRuehl" w:hint="cs"/>
          <w:sz w:val="22"/>
          <w:szCs w:val="22"/>
          <w:highlight w:val="lightGray"/>
          <w:rtl/>
        </w:rPr>
        <w:t>###</w:t>
      </w:r>
    </w:p>
    <w:p w:rsidR="009D339E" w:rsidRDefault="009D339E" w:rsidP="00370825">
      <w:pPr>
        <w:pStyle w:val="a5"/>
        <w:spacing w:before="72" w:line="240" w:lineRule="auto"/>
        <w:ind w:left="-3" w:right="1155" w:firstLine="3"/>
        <w:rPr>
          <w:rFonts w:cs="FrankRuehl" w:hint="cs"/>
          <w:sz w:val="22"/>
          <w:szCs w:val="22"/>
          <w:rtl/>
        </w:rPr>
      </w:pPr>
      <w:r>
        <w:rPr>
          <w:rFonts w:cs="FrankRuehl" w:hint="cs"/>
          <w:sz w:val="22"/>
          <w:szCs w:val="22"/>
          <w:rtl/>
        </w:rPr>
        <w:t>תוקן</w:t>
      </w:r>
      <w:r>
        <w:rPr>
          <w:rFonts w:hint="cs"/>
          <w:rtl/>
        </w:rPr>
        <w:t xml:space="preserve"> </w:t>
      </w:r>
      <w:hyperlink r:id="rId3" w:history="1">
        <w:proofErr w:type="spellStart"/>
        <w:r>
          <w:rPr>
            <w:rStyle w:val="Hyperlink"/>
            <w:rFonts w:cs="FrankRuehl"/>
            <w:sz w:val="22"/>
            <w:szCs w:val="22"/>
            <w:rtl/>
          </w:rPr>
          <w:t>ק"ת</w:t>
        </w:r>
        <w:proofErr w:type="spellEnd"/>
        <w:r>
          <w:rPr>
            <w:rStyle w:val="Hyperlink"/>
            <w:rFonts w:cs="FrankRuehl"/>
            <w:sz w:val="22"/>
            <w:szCs w:val="22"/>
            <w:rtl/>
          </w:rPr>
          <w:t xml:space="preserve"> </w:t>
        </w:r>
        <w:proofErr w:type="spellStart"/>
        <w:r>
          <w:rPr>
            <w:rStyle w:val="Hyperlink"/>
            <w:rFonts w:cs="FrankRuehl"/>
            <w:sz w:val="22"/>
            <w:szCs w:val="22"/>
            <w:rtl/>
          </w:rPr>
          <w:t>חש"ם</w:t>
        </w:r>
        <w:proofErr w:type="spellEnd"/>
        <w:r>
          <w:rPr>
            <w:rStyle w:val="Hyperlink"/>
            <w:rFonts w:cs="FrankRuehl"/>
            <w:sz w:val="22"/>
            <w:szCs w:val="22"/>
            <w:rtl/>
          </w:rPr>
          <w:t xml:space="preserve"> תשנ"ח מס' 599</w:t>
        </w:r>
      </w:hyperlink>
      <w:r w:rsidR="005B1380">
        <w:rPr>
          <w:rFonts w:cs="FrankRuehl" w:hint="cs"/>
          <w:sz w:val="22"/>
          <w:szCs w:val="22"/>
          <w:rtl/>
        </w:rPr>
        <w:t xml:space="preserve"> </w:t>
      </w:r>
      <w:r>
        <w:rPr>
          <w:rFonts w:cs="FrankRuehl" w:hint="cs"/>
          <w:sz w:val="22"/>
          <w:szCs w:val="22"/>
          <w:rtl/>
        </w:rPr>
        <w:t xml:space="preserve">מיום 18.8.1998 עמ' 370 </w:t>
      </w:r>
      <w:r>
        <w:rPr>
          <w:rFonts w:cs="FrankRuehl" w:hint="eastAsia"/>
          <w:sz w:val="22"/>
          <w:szCs w:val="22"/>
          <w:rtl/>
        </w:rPr>
        <w:t xml:space="preserve">– </w:t>
      </w:r>
      <w:r>
        <w:rPr>
          <w:rFonts w:cs="FrankRuehl" w:hint="cs"/>
          <w:sz w:val="22"/>
          <w:szCs w:val="22"/>
          <w:rtl/>
        </w:rPr>
        <w:t>תיקון תשנ"ח-1998.</w:t>
      </w:r>
    </w:p>
    <w:p w:rsidR="009D339E" w:rsidRDefault="009D339E" w:rsidP="00370825">
      <w:pPr>
        <w:pStyle w:val="a5"/>
        <w:spacing w:before="72" w:line="240" w:lineRule="auto"/>
        <w:ind w:left="-3" w:right="1155" w:firstLine="3"/>
        <w:rPr>
          <w:rFonts w:cs="FrankRuehl" w:hint="cs"/>
          <w:sz w:val="22"/>
          <w:szCs w:val="22"/>
          <w:rtl/>
        </w:rPr>
      </w:pPr>
      <w:r>
        <w:rPr>
          <w:rtl/>
        </w:rPr>
        <w:fldChar w:fldCharType="begin"/>
      </w:r>
      <w:r>
        <w:instrText xml:space="preserve">HYPERLINK </w:instrText>
      </w:r>
      <w:r>
        <w:rPr>
          <w:rtl/>
        </w:rPr>
        <w:instrText>"</w:instrText>
      </w:r>
      <w:r>
        <w:instrText>http://www.nevo.co.il/Law_word/law07/mekomi-0615.pdf"</w:instrText>
      </w:r>
      <w:r>
        <w:rPr>
          <w:rtl/>
        </w:rPr>
        <w:fldChar w:fldCharType="separate"/>
      </w:r>
      <w:r>
        <w:rPr>
          <w:rStyle w:val="Hyperlink"/>
          <w:rFonts w:cs="FrankRuehl"/>
          <w:sz w:val="22"/>
          <w:szCs w:val="22"/>
          <w:rtl/>
        </w:rPr>
        <w:t>ק"ת חש"ם תש"ס מס' 615</w:t>
      </w:r>
      <w:r>
        <w:rPr>
          <w:rtl/>
        </w:rPr>
        <w:fldChar w:fldCharType="end"/>
      </w:r>
      <w:r w:rsidR="005B1380">
        <w:rPr>
          <w:rFonts w:cs="FrankRuehl" w:hint="cs"/>
          <w:sz w:val="22"/>
          <w:szCs w:val="22"/>
          <w:rtl/>
        </w:rPr>
        <w:t xml:space="preserve"> </w:t>
      </w:r>
      <w:r>
        <w:rPr>
          <w:rFonts w:cs="FrankRuehl" w:hint="cs"/>
          <w:sz w:val="22"/>
          <w:szCs w:val="22"/>
          <w:rtl/>
        </w:rPr>
        <w:t xml:space="preserve">מיום 30.12.1999 עמ' 68 </w:t>
      </w:r>
      <w:r>
        <w:rPr>
          <w:rFonts w:cs="FrankRuehl" w:hint="eastAsia"/>
          <w:sz w:val="22"/>
          <w:szCs w:val="22"/>
          <w:rtl/>
        </w:rPr>
        <w:t xml:space="preserve">– </w:t>
      </w:r>
      <w:r>
        <w:rPr>
          <w:rFonts w:cs="FrankRuehl" w:hint="cs"/>
          <w:sz w:val="22"/>
          <w:szCs w:val="22"/>
          <w:rtl/>
        </w:rPr>
        <w:t>תיקון תש"ס-1999.</w:t>
      </w:r>
    </w:p>
    <w:p w:rsidR="00BE775C" w:rsidRDefault="009D339E" w:rsidP="00812A7A">
      <w:pPr>
        <w:pStyle w:val="a5"/>
        <w:spacing w:before="72" w:line="240" w:lineRule="auto"/>
        <w:ind w:left="-3" w:right="1155" w:firstLine="3"/>
        <w:rPr>
          <w:rFonts w:cs="FrankRuehl" w:hint="cs"/>
          <w:sz w:val="22"/>
          <w:szCs w:val="22"/>
          <w:rtl/>
        </w:rPr>
      </w:pPr>
      <w:r>
        <w:rPr>
          <w:rtl/>
        </w:rPr>
        <w:fldChar w:fldCharType="begin"/>
      </w:r>
      <w:r>
        <w:instrText xml:space="preserve">HYPERLINK </w:instrText>
      </w:r>
      <w:r>
        <w:rPr>
          <w:rtl/>
        </w:rPr>
        <w:instrText>"</w:instrText>
      </w:r>
      <w:r>
        <w:instrText>http://www.nevo.co.il/Law_word/law07/mekomi-0674.pdf"</w:instrText>
      </w:r>
      <w:r>
        <w:rPr>
          <w:rtl/>
        </w:rPr>
        <w:fldChar w:fldCharType="separate"/>
      </w:r>
      <w:r>
        <w:rPr>
          <w:rStyle w:val="Hyperlink"/>
          <w:rFonts w:cs="FrankRuehl"/>
          <w:sz w:val="22"/>
          <w:szCs w:val="22"/>
          <w:rtl/>
        </w:rPr>
        <w:t>ק"ת חש"ם תשס"ד מס' 67</w:t>
      </w:r>
      <w:r>
        <w:rPr>
          <w:rStyle w:val="Hyperlink"/>
          <w:rFonts w:cs="FrankRuehl"/>
          <w:sz w:val="22"/>
          <w:szCs w:val="22"/>
          <w:rtl/>
        </w:rPr>
        <w:t>4</w:t>
      </w:r>
      <w:r>
        <w:rPr>
          <w:rtl/>
        </w:rPr>
        <w:fldChar w:fldCharType="end"/>
      </w:r>
      <w:r w:rsidR="005B1380">
        <w:rPr>
          <w:rFonts w:cs="FrankRuehl" w:hint="cs"/>
          <w:sz w:val="22"/>
          <w:szCs w:val="22"/>
          <w:rtl/>
        </w:rPr>
        <w:t xml:space="preserve"> </w:t>
      </w:r>
      <w:r>
        <w:rPr>
          <w:rFonts w:cs="FrankRuehl" w:hint="cs"/>
          <w:sz w:val="22"/>
          <w:szCs w:val="22"/>
          <w:rtl/>
        </w:rPr>
        <w:t>מיום 27.1.2004 עמ' 30</w:t>
      </w:r>
      <w:r w:rsidR="005B1380">
        <w:rPr>
          <w:rFonts w:cs="FrankRuehl" w:hint="cs"/>
          <w:sz w:val="22"/>
          <w:szCs w:val="22"/>
          <w:rtl/>
        </w:rPr>
        <w:t xml:space="preserve"> </w:t>
      </w:r>
      <w:r w:rsidR="005B1380">
        <w:rPr>
          <w:rFonts w:cs="FrankRuehl" w:hint="eastAsia"/>
          <w:sz w:val="22"/>
          <w:szCs w:val="22"/>
          <w:rtl/>
        </w:rPr>
        <w:t xml:space="preserve">– </w:t>
      </w:r>
      <w:r w:rsidR="005B1380">
        <w:rPr>
          <w:rFonts w:cs="FrankRuehl" w:hint="cs"/>
          <w:sz w:val="22"/>
          <w:szCs w:val="22"/>
          <w:rtl/>
        </w:rPr>
        <w:t>תיקון תשס"ד-2004</w:t>
      </w:r>
      <w:r>
        <w:rPr>
          <w:rFonts w:cs="FrankRuehl" w:hint="cs"/>
          <w:sz w:val="22"/>
          <w:szCs w:val="22"/>
          <w:rtl/>
        </w:rPr>
        <w:t xml:space="preserve">; ר' סעיף 3 </w:t>
      </w:r>
      <w:proofErr w:type="spellStart"/>
      <w:r>
        <w:rPr>
          <w:rFonts w:cs="FrankRuehl" w:hint="cs"/>
          <w:sz w:val="22"/>
          <w:szCs w:val="22"/>
          <w:rtl/>
        </w:rPr>
        <w:t>לענין</w:t>
      </w:r>
      <w:proofErr w:type="spellEnd"/>
      <w:r>
        <w:rPr>
          <w:rFonts w:cs="FrankRuehl" w:hint="cs"/>
          <w:sz w:val="22"/>
          <w:szCs w:val="22"/>
          <w:rtl/>
        </w:rPr>
        <w:t xml:space="preserve"> הוראת שעה.</w:t>
      </w:r>
      <w:r w:rsidR="00812A7A">
        <w:rPr>
          <w:rFonts w:cs="FrankRuehl" w:hint="cs"/>
          <w:sz w:val="22"/>
          <w:szCs w:val="22"/>
          <w:rtl/>
        </w:rPr>
        <w:t xml:space="preserve"> </w:t>
      </w:r>
      <w:r w:rsidR="00BE775C">
        <w:rPr>
          <w:rFonts w:cs="FrankRuehl" w:hint="cs"/>
          <w:sz w:val="22"/>
          <w:szCs w:val="22"/>
          <w:rtl/>
        </w:rPr>
        <w:t>$$$</w:t>
      </w:r>
      <w:r w:rsidR="00812A7A">
        <w:rPr>
          <w:rFonts w:cs="FrankRuehl" w:hint="cs"/>
          <w:sz w:val="22"/>
          <w:szCs w:val="22"/>
          <w:rtl/>
        </w:rPr>
        <w:t xml:space="preserve"> 3. </w:t>
      </w:r>
      <w:r w:rsidR="00BE775C">
        <w:rPr>
          <w:rFonts w:cs="FrankRuehl" w:hint="cs"/>
          <w:sz w:val="22"/>
          <w:szCs w:val="22"/>
          <w:rtl/>
        </w:rPr>
        <w:t xml:space="preserve">על אף האמור בסעיף 15 לחוק העזר העיקרי ובחוק עזר לראשון לציון (הצמדה למדד), </w:t>
      </w:r>
      <w:proofErr w:type="spellStart"/>
      <w:r w:rsidR="00BE775C">
        <w:rPr>
          <w:rFonts w:cs="FrankRuehl" w:hint="cs"/>
          <w:sz w:val="22"/>
          <w:szCs w:val="22"/>
          <w:rtl/>
        </w:rPr>
        <w:t>התשמ"ד</w:t>
      </w:r>
      <w:proofErr w:type="spellEnd"/>
      <w:r w:rsidR="00BE775C">
        <w:rPr>
          <w:rFonts w:cs="FrankRuehl" w:hint="cs"/>
          <w:sz w:val="22"/>
          <w:szCs w:val="22"/>
          <w:rtl/>
        </w:rPr>
        <w:t xml:space="preserve">-1984, יעודכנו סכומי האגרות המפורטים בפרטים 4 ו-5 לתוספת לחוק העזר העיקרי, כנוסחם בחוק עזר זה, במועד פרסומו של חוק עזר זה ברשומות (להלן יום העדכון הראשון), לפי שיעור שינוי מדד המחירים לצרכן שמפרסמת הלשכה המרכזית לסטטיסטיקה (להלן </w:t>
      </w:r>
      <w:r w:rsidR="00BE775C">
        <w:rPr>
          <w:rFonts w:cs="FrankRuehl"/>
          <w:sz w:val="22"/>
          <w:szCs w:val="22"/>
          <w:rtl/>
        </w:rPr>
        <w:t>–</w:t>
      </w:r>
      <w:r w:rsidR="00BE775C">
        <w:rPr>
          <w:rFonts w:cs="FrankRuehl" w:hint="cs"/>
          <w:sz w:val="22"/>
          <w:szCs w:val="22"/>
          <w:rtl/>
        </w:rPr>
        <w:t xml:space="preserve"> המדד), שפורסם לאחרונה לפני יום העדכון הראשון לעומת מדד חודש מרס 2002.</w:t>
      </w:r>
      <w:r w:rsidR="00812A7A">
        <w:rPr>
          <w:rFonts w:cs="FrankRuehl" w:hint="cs"/>
          <w:sz w:val="22"/>
          <w:szCs w:val="22"/>
          <w:rtl/>
        </w:rPr>
        <w:t xml:space="preserve"> </w:t>
      </w:r>
      <w:r w:rsidR="00BE775C">
        <w:rPr>
          <w:rFonts w:cs="FrankRuehl" w:hint="cs"/>
          <w:sz w:val="22"/>
          <w:szCs w:val="22"/>
          <w:rtl/>
        </w:rPr>
        <w:t>###</w:t>
      </w:r>
    </w:p>
    <w:p w:rsidR="009D339E" w:rsidRDefault="009D339E" w:rsidP="00370825">
      <w:pPr>
        <w:pStyle w:val="a5"/>
        <w:spacing w:before="72" w:line="240" w:lineRule="auto"/>
        <w:ind w:left="-3" w:right="1155" w:firstLine="3"/>
        <w:rPr>
          <w:rFonts w:cs="FrankRuehl" w:hint="cs"/>
          <w:sz w:val="22"/>
          <w:szCs w:val="22"/>
          <w:rtl/>
        </w:rPr>
      </w:pPr>
      <w:hyperlink r:id="rId4" w:history="1">
        <w:proofErr w:type="spellStart"/>
        <w:r>
          <w:rPr>
            <w:rStyle w:val="Hyperlink"/>
            <w:rFonts w:cs="FrankRuehl"/>
            <w:sz w:val="22"/>
            <w:szCs w:val="22"/>
            <w:rtl/>
          </w:rPr>
          <w:t>ק"ת</w:t>
        </w:r>
        <w:proofErr w:type="spellEnd"/>
        <w:r>
          <w:rPr>
            <w:rStyle w:val="Hyperlink"/>
            <w:rFonts w:cs="FrankRuehl"/>
            <w:sz w:val="22"/>
            <w:szCs w:val="22"/>
            <w:rtl/>
          </w:rPr>
          <w:t xml:space="preserve"> חש"ם תשס"ז מס' 696</w:t>
        </w:r>
      </w:hyperlink>
      <w:r w:rsidR="005B1380">
        <w:rPr>
          <w:rFonts w:cs="FrankRuehl" w:hint="cs"/>
          <w:sz w:val="22"/>
          <w:szCs w:val="22"/>
          <w:rtl/>
        </w:rPr>
        <w:t xml:space="preserve"> </w:t>
      </w:r>
      <w:r>
        <w:rPr>
          <w:rFonts w:cs="FrankRuehl" w:hint="cs"/>
          <w:sz w:val="22"/>
          <w:szCs w:val="22"/>
          <w:rtl/>
        </w:rPr>
        <w:t xml:space="preserve">מיום 18.0.2006 עמ' 8 </w:t>
      </w:r>
      <w:r>
        <w:rPr>
          <w:rFonts w:cs="FrankRuehl" w:hint="eastAsia"/>
          <w:sz w:val="22"/>
          <w:szCs w:val="22"/>
          <w:rtl/>
        </w:rPr>
        <w:t xml:space="preserve">– </w:t>
      </w:r>
      <w:r>
        <w:rPr>
          <w:rFonts w:cs="FrankRuehl" w:hint="cs"/>
          <w:sz w:val="22"/>
          <w:szCs w:val="22"/>
          <w:rtl/>
        </w:rPr>
        <w:t>תיקון תשס"ד-2004.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339E" w:rsidRDefault="009D339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9D339E" w:rsidRDefault="009D339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339E" w:rsidRDefault="009D339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339E" w:rsidRDefault="009D339E" w:rsidP="005B138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לראשון לציון (ביוב), תשנ"ה-1995</w:t>
    </w:r>
  </w:p>
  <w:p w:rsidR="009D339E" w:rsidRDefault="009D339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D339E" w:rsidRDefault="009D339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893"/>
    <w:multiLevelType w:val="hybridMultilevel"/>
    <w:tmpl w:val="52AE57DC"/>
    <w:lvl w:ilvl="0" w:tplc="DC3EC61A">
      <w:start w:val="1"/>
      <w:numFmt w:val="decimal"/>
      <w:lvlText w:val="(%1)"/>
      <w:lvlJc w:val="left"/>
      <w:pPr>
        <w:tabs>
          <w:tab w:val="num" w:pos="1350"/>
        </w:tabs>
        <w:ind w:left="1350" w:right="1350" w:hanging="360"/>
      </w:pPr>
      <w:rPr>
        <w:rFonts w:hint="default"/>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num w:numId="1" w16cid:durableId="1588539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339E"/>
    <w:rsid w:val="00105BA7"/>
    <w:rsid w:val="00370825"/>
    <w:rsid w:val="00521430"/>
    <w:rsid w:val="00523015"/>
    <w:rsid w:val="005B1380"/>
    <w:rsid w:val="00696794"/>
    <w:rsid w:val="006A71B6"/>
    <w:rsid w:val="00764042"/>
    <w:rsid w:val="007A504C"/>
    <w:rsid w:val="00812A7A"/>
    <w:rsid w:val="00844BCA"/>
    <w:rsid w:val="008B14C0"/>
    <w:rsid w:val="00921F23"/>
    <w:rsid w:val="009D339E"/>
    <w:rsid w:val="00BB0FB3"/>
    <w:rsid w:val="00BE775C"/>
    <w:rsid w:val="00C424C7"/>
    <w:rsid w:val="00C924CD"/>
    <w:rsid w:val="00D27FD0"/>
    <w:rsid w:val="00D84066"/>
    <w:rsid w:val="00F1556E"/>
    <w:rsid w:val="00F640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B391A09-434A-4875-B380-B7AC95D8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99.pdf" TargetMode="External"/><Relationship Id="rId2" Type="http://schemas.openxmlformats.org/officeDocument/2006/relationships/hyperlink" Target="http://www.nevo.co.il/Law_word/law07/mekomi-0553.pdf" TargetMode="External"/><Relationship Id="rId1" Type="http://schemas.openxmlformats.org/officeDocument/2006/relationships/hyperlink" Target="http://www.nevo.co.il/Law_word/law07/mekomi-0539.pdf" TargetMode="External"/><Relationship Id="rId4" Type="http://schemas.openxmlformats.org/officeDocument/2006/relationships/hyperlink" Target="http://www.nevo.co.il/Law_word/law07/mekomi-06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2377</Words>
  <Characters>13555</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15901</CharactersWithSpaces>
  <SharedDoc>false</SharedDoc>
  <HLinks>
    <vt:vector size="150" baseType="variant">
      <vt:variant>
        <vt:i4>5570569</vt:i4>
      </vt:variant>
      <vt:variant>
        <vt:i4>54</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Seif7</vt:lpwstr>
      </vt:variant>
      <vt:variant>
        <vt:i4>3407915</vt:i4>
      </vt:variant>
      <vt:variant>
        <vt:i4>45</vt:i4>
      </vt:variant>
      <vt:variant>
        <vt:i4>0</vt:i4>
      </vt:variant>
      <vt:variant>
        <vt:i4>5</vt:i4>
      </vt:variant>
      <vt:variant>
        <vt:lpwstr/>
      </vt:variant>
      <vt:variant>
        <vt:lpwstr>Seif17</vt:lpwstr>
      </vt:variant>
      <vt:variant>
        <vt:i4>3473451</vt:i4>
      </vt:variant>
      <vt:variant>
        <vt:i4>42</vt:i4>
      </vt:variant>
      <vt:variant>
        <vt:i4>0</vt:i4>
      </vt:variant>
      <vt:variant>
        <vt:i4>5</vt:i4>
      </vt:variant>
      <vt:variant>
        <vt:lpwstr/>
      </vt:variant>
      <vt:variant>
        <vt:lpwstr>Seif16</vt:lpwstr>
      </vt:variant>
      <vt:variant>
        <vt:i4>196634</vt:i4>
      </vt:variant>
      <vt:variant>
        <vt:i4>39</vt:i4>
      </vt:variant>
      <vt:variant>
        <vt:i4>0</vt:i4>
      </vt:variant>
      <vt:variant>
        <vt:i4>5</vt:i4>
      </vt:variant>
      <vt:variant>
        <vt:lpwstr/>
      </vt:variant>
      <vt:variant>
        <vt:lpwstr>Seif5</vt:lpwstr>
      </vt:variant>
      <vt:variant>
        <vt:i4>3538987</vt:i4>
      </vt:variant>
      <vt:variant>
        <vt:i4>36</vt:i4>
      </vt:variant>
      <vt:variant>
        <vt:i4>0</vt:i4>
      </vt:variant>
      <vt:variant>
        <vt:i4>5</vt:i4>
      </vt:variant>
      <vt:variant>
        <vt:lpwstr/>
      </vt:variant>
      <vt:variant>
        <vt:lpwstr>Seif15</vt:lpwstr>
      </vt:variant>
      <vt:variant>
        <vt:i4>3604523</vt:i4>
      </vt:variant>
      <vt:variant>
        <vt:i4>33</vt:i4>
      </vt:variant>
      <vt:variant>
        <vt:i4>0</vt:i4>
      </vt:variant>
      <vt:variant>
        <vt:i4>5</vt:i4>
      </vt:variant>
      <vt:variant>
        <vt:lpwstr/>
      </vt:variant>
      <vt:variant>
        <vt:lpwstr>Seif14</vt:lpwstr>
      </vt:variant>
      <vt:variant>
        <vt:i4>3211307</vt:i4>
      </vt:variant>
      <vt:variant>
        <vt:i4>30</vt:i4>
      </vt:variant>
      <vt:variant>
        <vt:i4>0</vt:i4>
      </vt:variant>
      <vt:variant>
        <vt:i4>5</vt:i4>
      </vt:variant>
      <vt:variant>
        <vt:lpwstr/>
      </vt:variant>
      <vt:variant>
        <vt:lpwstr>Seif12</vt:lpwstr>
      </vt:variant>
      <vt:variant>
        <vt:i4>3145771</vt:i4>
      </vt:variant>
      <vt:variant>
        <vt:i4>27</vt:i4>
      </vt:variant>
      <vt:variant>
        <vt:i4>0</vt:i4>
      </vt:variant>
      <vt:variant>
        <vt:i4>5</vt:i4>
      </vt:variant>
      <vt:variant>
        <vt:lpwstr/>
      </vt:variant>
      <vt:variant>
        <vt:lpwstr>Seif13</vt:lpwstr>
      </vt:variant>
      <vt:variant>
        <vt:i4>3276843</vt:i4>
      </vt:variant>
      <vt:variant>
        <vt:i4>24</vt:i4>
      </vt:variant>
      <vt:variant>
        <vt:i4>0</vt:i4>
      </vt:variant>
      <vt:variant>
        <vt:i4>5</vt:i4>
      </vt:variant>
      <vt:variant>
        <vt:lpwstr/>
      </vt:variant>
      <vt:variant>
        <vt:lpwstr>Seif11</vt:lpwstr>
      </vt:variant>
      <vt:variant>
        <vt:i4>3342379</vt:i4>
      </vt:variant>
      <vt:variant>
        <vt:i4>21</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Seif9</vt:lpwstr>
      </vt:variant>
      <vt:variant>
        <vt:i4>196634</vt:i4>
      </vt:variant>
      <vt:variant>
        <vt:i4>15</vt:i4>
      </vt:variant>
      <vt:variant>
        <vt:i4>0</vt:i4>
      </vt:variant>
      <vt:variant>
        <vt:i4>5</vt:i4>
      </vt:variant>
      <vt:variant>
        <vt:lpwstr/>
      </vt:variant>
      <vt:variant>
        <vt:lpwstr>Seif8</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8192020</vt:i4>
      </vt:variant>
      <vt:variant>
        <vt:i4>15</vt:i4>
      </vt:variant>
      <vt:variant>
        <vt:i4>0</vt:i4>
      </vt:variant>
      <vt:variant>
        <vt:i4>5</vt:i4>
      </vt:variant>
      <vt:variant>
        <vt:lpwstr>http://www.nevo.co.il/Law_word/law07/mekomi-0696.pdf</vt:lpwstr>
      </vt:variant>
      <vt:variant>
        <vt:lpwstr/>
      </vt:variant>
      <vt:variant>
        <vt:i4>8323098</vt:i4>
      </vt:variant>
      <vt:variant>
        <vt:i4>12</vt:i4>
      </vt:variant>
      <vt:variant>
        <vt:i4>0</vt:i4>
      </vt:variant>
      <vt:variant>
        <vt:i4>5</vt:i4>
      </vt:variant>
      <vt:variant>
        <vt:lpwstr>http://www.nevo.co.il/Law_word/law07/mekomi-0674.pdf</vt:lpwstr>
      </vt:variant>
      <vt:variant>
        <vt:lpwstr/>
      </vt:variant>
      <vt:variant>
        <vt:i4>8257564</vt:i4>
      </vt:variant>
      <vt:variant>
        <vt:i4>9</vt:i4>
      </vt:variant>
      <vt:variant>
        <vt:i4>0</vt:i4>
      </vt:variant>
      <vt:variant>
        <vt:i4>5</vt:i4>
      </vt:variant>
      <vt:variant>
        <vt:lpwstr>http://www.nevo.co.il/Law_word/law07/mekomi-0615.pdf</vt:lpwstr>
      </vt:variant>
      <vt:variant>
        <vt:lpwstr/>
      </vt:variant>
      <vt:variant>
        <vt:i4>7405588</vt:i4>
      </vt:variant>
      <vt:variant>
        <vt:i4>6</vt:i4>
      </vt:variant>
      <vt:variant>
        <vt:i4>0</vt:i4>
      </vt:variant>
      <vt:variant>
        <vt:i4>5</vt:i4>
      </vt:variant>
      <vt:variant>
        <vt:lpwstr>http://www.nevo.co.il/Law_word/law07/mekomi-0599.pdf</vt:lpwstr>
      </vt:variant>
      <vt:variant>
        <vt:lpwstr/>
      </vt:variant>
      <vt:variant>
        <vt:i4>8060952</vt:i4>
      </vt:variant>
      <vt:variant>
        <vt:i4>3</vt:i4>
      </vt:variant>
      <vt:variant>
        <vt:i4>0</vt:i4>
      </vt:variant>
      <vt:variant>
        <vt:i4>5</vt:i4>
      </vt:variant>
      <vt:variant>
        <vt:lpwstr>http://www.nevo.co.il/Law_word/law07/mekomi-0553.pdf</vt:lpwstr>
      </vt:variant>
      <vt:variant>
        <vt:lpwstr/>
      </vt:variant>
      <vt:variant>
        <vt:i4>7405598</vt:i4>
      </vt:variant>
      <vt:variant>
        <vt:i4>0</vt:i4>
      </vt:variant>
      <vt:variant>
        <vt:i4>0</vt:i4>
      </vt:variant>
      <vt:variant>
        <vt:i4>5</vt:i4>
      </vt:variant>
      <vt:variant>
        <vt:lpwstr>http://www.nevo.co.il/Law_word/law07/mekomi-0539.pdf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לראשון לציון (ביוב), תשנ"ה-1995</vt:lpwstr>
  </property>
  <property fmtid="{D5CDD505-2E9C-101B-9397-08002B2CF9AE}" pid="5" name="LAWNUMBER">
    <vt:lpwstr>007_001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ביוב</vt:lpwstr>
  </property>
  <property fmtid="{D5CDD505-2E9C-101B-9397-08002B2CF9AE}" pid="27" name="NOSE41">
    <vt:lpwstr/>
  </property>
  <property fmtid="{D5CDD505-2E9C-101B-9397-08002B2CF9AE}" pid="28" name="NOSE12">
    <vt:lpwstr>רשויות ומשפט מנהלי</vt:lpwstr>
  </property>
  <property fmtid="{D5CDD505-2E9C-101B-9397-08002B2CF9AE}" pid="29" name="NOSE22">
    <vt:lpwstr>רשויות מקומיות</vt:lpwstr>
  </property>
  <property fmtid="{D5CDD505-2E9C-101B-9397-08002B2CF9AE}" pid="30" name="NOSE32">
    <vt:lpwstr>חוקי עזר</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NAME2">
    <vt:lpwstr>חוק הרשויות המקומיות (ביוב)</vt:lpwstr>
  </property>
  <property fmtid="{D5CDD505-2E9C-101B-9397-08002B2CF9AE}" pid="65" name="MEKOR_SAIF2">
    <vt:lpwstr/>
  </property>
</Properties>
</file>