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05BD" w14:textId="77777777" w:rsidR="0091524D" w:rsidRDefault="0091524D" w:rsidP="00272BD9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272BD9">
        <w:rPr>
          <w:rFonts w:cs="FrankRuehl" w:hint="cs"/>
          <w:sz w:val="32"/>
          <w:rtl/>
        </w:rPr>
        <w:t>לראשון-לציון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ד-1984</w:t>
      </w:r>
    </w:p>
    <w:p w14:paraId="35A11600" w14:textId="77777777"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14:paraId="7FD5DF07" w14:textId="77777777" w:rsidR="00976500" w:rsidRDefault="00976500" w:rsidP="00976500">
      <w:pPr>
        <w:spacing w:line="320" w:lineRule="auto"/>
        <w:jc w:val="left"/>
        <w:rPr>
          <w:rtl/>
        </w:rPr>
      </w:pPr>
    </w:p>
    <w:p w14:paraId="4ADA185D" w14:textId="77777777"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14:paraId="2BE57556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6583" w:rsidRPr="006E6583" w14:paraId="6543997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D33E02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FE9D6D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8EA6279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D089D0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583" w:rsidRPr="006E6583" w14:paraId="71EB50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63978A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B96825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03DD1336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36A1D5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583" w:rsidRPr="006E6583" w14:paraId="7D0574F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7A5771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F797A11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024CCD4C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6C9E65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583" w:rsidRPr="006E6583" w14:paraId="1896EE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650444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F618B22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7C235670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ראת שעה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B804A4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583" w:rsidRPr="006E6583" w14:paraId="0C718A2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46C11D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26B61BB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2C9127DD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B31676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583" w:rsidRPr="006E6583" w14:paraId="360F06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CDD979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61CF8F5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567" w:type="dxa"/>
          </w:tcPr>
          <w:p w14:paraId="6087AE89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ה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3FAE50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6583" w:rsidRPr="006E6583" w14:paraId="5D196F5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6C173A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2C3FF16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567" w:type="dxa"/>
          </w:tcPr>
          <w:p w14:paraId="741DC1EF" w14:textId="77777777" w:rsidR="006E6583" w:rsidRPr="006E6583" w:rsidRDefault="006E6583" w:rsidP="006E658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תוספת שלישית" w:history="1">
              <w:r w:rsidRPr="006E65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A5F0F3" w14:textId="77777777" w:rsidR="006E6583" w:rsidRPr="006E6583" w:rsidRDefault="006E6583" w:rsidP="006E658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D07CD9" w14:textId="77777777"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14:paraId="6052656D" w14:textId="77777777" w:rsidR="0091524D" w:rsidRDefault="0091524D" w:rsidP="00272BD9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272BD9">
        <w:rPr>
          <w:rFonts w:cs="FrankRuehl" w:hint="cs"/>
          <w:sz w:val="32"/>
          <w:rtl/>
        </w:rPr>
        <w:t>לראשון-לציון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</w:t>
      </w:r>
      <w:r w:rsidR="00D70B3F">
        <w:rPr>
          <w:rFonts w:cs="FrankRuehl" w:hint="cs"/>
          <w:sz w:val="32"/>
          <w:rtl/>
        </w:rPr>
        <w:t>ד</w:t>
      </w:r>
      <w:r w:rsidR="0065674C">
        <w:rPr>
          <w:rFonts w:cs="FrankRuehl" w:hint="cs"/>
          <w:sz w:val="32"/>
          <w:rtl/>
        </w:rPr>
        <w:t>-198</w:t>
      </w:r>
      <w:r w:rsidR="00D70B3F">
        <w:rPr>
          <w:rFonts w:cs="FrankRuehl" w:hint="cs"/>
          <w:sz w:val="32"/>
          <w:rtl/>
        </w:rPr>
        <w:t>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409E335" w14:textId="77777777" w:rsidR="0091524D" w:rsidRDefault="0091524D" w:rsidP="00272BD9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272BD9">
        <w:rPr>
          <w:rFonts w:cs="FrankRuehl" w:hint="cs"/>
          <w:rtl/>
          <w:lang w:val="he-IL"/>
        </w:rPr>
        <w:t>ראשון-לציון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14:paraId="1A5E5594" w14:textId="77777777"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25ABCB99">
          <v:rect id="_x0000_s2050" style="position:absolute;left:0;text-align:left;margin-left:464.5pt;margin-top:8.05pt;width:75.05pt;height:12pt;z-index:251653632" o:allowincell="f" filled="f" stroked="f" strokecolor="lime" strokeweight=".25pt">
            <v:textbox style="mso-next-textbox:#_x0000_s2050" inset="0,0,0,0">
              <w:txbxContent>
                <w:p w14:paraId="7371331A" w14:textId="77777777"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3005C2C4" w14:textId="77777777" w:rsidR="006A2C45" w:rsidRDefault="006A2C45" w:rsidP="00914C4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914C43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14:paraId="680DB54A" w14:textId="77777777" w:rsidR="006A2C45" w:rsidRDefault="006A2C45" w:rsidP="00272BD9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272BD9">
        <w:rPr>
          <w:rStyle w:val="default"/>
          <w:rFonts w:hint="cs"/>
          <w:rtl/>
        </w:rPr>
        <w:t>ראשון-לציון</w:t>
      </w:r>
      <w:r>
        <w:rPr>
          <w:rStyle w:val="default"/>
          <w:rFonts w:hint="cs"/>
          <w:rtl/>
        </w:rPr>
        <w:t>.</w:t>
      </w:r>
    </w:p>
    <w:p w14:paraId="70F0BAC9" w14:textId="77777777" w:rsidR="0091524D" w:rsidRDefault="0091524D" w:rsidP="00165B29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1" w:name="Seif2"/>
      <w:bookmarkEnd w:id="1"/>
      <w:r>
        <w:rPr>
          <w:lang w:val="he-IL"/>
        </w:rPr>
        <w:pict w14:anchorId="4AAE75F0">
          <v:rect id="_x0000_s2051" style="position:absolute;left:0;text-align:left;margin-left:464.5pt;margin-top:8.05pt;width:75.05pt;height:28.95pt;z-index:251654656" o:allowincell="f" filled="f" stroked="f" strokecolor="lime" strokeweight=".25pt">
            <v:textbox style="mso-next-textbox:#_x0000_s2051" inset="0,0,0,0">
              <w:txbxContent>
                <w:p w14:paraId="351CB612" w14:textId="77777777" w:rsidR="00691789" w:rsidRDefault="00691789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  <w:p w14:paraId="2981A3DC" w14:textId="77777777" w:rsidR="00530EA6" w:rsidRDefault="00530EA6" w:rsidP="00165B29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165B29">
                    <w:rPr>
                      <w:rFonts w:cs="Miriam" w:hint="cs"/>
                      <w:sz w:val="18"/>
                      <w:szCs w:val="18"/>
                      <w:rtl/>
                    </w:rPr>
                    <w:t>תש"ס-2000</w:t>
                  </w:r>
                </w:p>
                <w:p w14:paraId="6D780829" w14:textId="77777777" w:rsidR="006D1219" w:rsidRDefault="006D1219" w:rsidP="00165B2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תשע"ט-2019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2B4FF8">
        <w:rPr>
          <w:rFonts w:cs="FrankRuehl" w:hint="cs"/>
          <w:rtl/>
          <w:lang w:eastAsia="en-US"/>
        </w:rPr>
        <w:t>(א)</w:t>
      </w:r>
      <w:r w:rsidR="002B4FF8">
        <w:rPr>
          <w:rFonts w:cs="FrankRuehl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</w:t>
      </w:r>
      <w:r w:rsidR="00272BD9">
        <w:rPr>
          <w:rFonts w:cs="FrankRuehl" w:hint="cs"/>
          <w:rtl/>
          <w:lang w:eastAsia="en-US"/>
        </w:rPr>
        <w:t>שהוטלו</w:t>
      </w:r>
      <w:r w:rsidR="006A2C45">
        <w:rPr>
          <w:rFonts w:cs="FrankRuehl" w:hint="cs"/>
          <w:rtl/>
          <w:lang w:eastAsia="en-US"/>
        </w:rPr>
        <w:t xml:space="preserve"> בחוקי העזר של העיריה הנקובים בתוספת</w:t>
      </w:r>
      <w:r w:rsidR="00530EA6">
        <w:rPr>
          <w:rFonts w:cs="FrankRuehl" w:hint="cs"/>
          <w:rtl/>
          <w:lang w:eastAsia="en-US"/>
        </w:rPr>
        <w:t xml:space="preserve"> הראשונה</w:t>
      </w:r>
      <w:r w:rsidR="00054C75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</w:t>
      </w:r>
      <w:r w:rsidR="006D1219">
        <w:rPr>
          <w:rFonts w:cs="FrankRuehl" w:hint="cs"/>
          <w:rtl/>
          <w:lang w:eastAsia="en-US"/>
        </w:rPr>
        <w:t>יעודכנו</w:t>
      </w:r>
      <w:r w:rsidR="006A2C45">
        <w:rPr>
          <w:rFonts w:cs="FrankRuehl" w:hint="cs"/>
          <w:rtl/>
          <w:lang w:eastAsia="en-US"/>
        </w:rPr>
        <w:t xml:space="preserve"> </w:t>
      </w:r>
      <w:r w:rsidR="00DA3DDE">
        <w:rPr>
          <w:rFonts w:cs="FrankRuehl" w:hint="cs"/>
          <w:rtl/>
          <w:lang w:eastAsia="en-US"/>
        </w:rPr>
        <w:t>ב-1</w:t>
      </w:r>
      <w:r w:rsidR="00165B29">
        <w:rPr>
          <w:rFonts w:cs="FrankRuehl" w:hint="cs"/>
          <w:rtl/>
          <w:lang w:eastAsia="en-US"/>
        </w:rPr>
        <w:t>6</w:t>
      </w:r>
      <w:r w:rsidR="00DA3DDE">
        <w:rPr>
          <w:rFonts w:cs="FrankRuehl" w:hint="cs"/>
          <w:rtl/>
          <w:lang w:eastAsia="en-US"/>
        </w:rPr>
        <w:t xml:space="preserve"> </w:t>
      </w:r>
      <w:r w:rsidR="00E4402F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 xml:space="preserve">כל חודש (להלן </w:t>
      </w:r>
      <w:r w:rsidR="00DA3DDE">
        <w:rPr>
          <w:rFonts w:cs="FrankRuehl"/>
          <w:rtl/>
          <w:lang w:eastAsia="en-US"/>
        </w:rPr>
        <w:t>–</w:t>
      </w:r>
      <w:r w:rsidR="00DA3DDE">
        <w:rPr>
          <w:rFonts w:cs="FrankRuehl" w:hint="cs"/>
          <w:rtl/>
          <w:lang w:eastAsia="en-US"/>
        </w:rPr>
        <w:t xml:space="preserve"> יום </w:t>
      </w:r>
      <w:r w:rsidR="006D1219">
        <w:rPr>
          <w:rFonts w:cs="FrankRuehl" w:hint="cs"/>
          <w:rtl/>
          <w:lang w:eastAsia="en-US"/>
        </w:rPr>
        <w:t>העדכון</w:t>
      </w:r>
      <w:r w:rsidR="00DA3DDE">
        <w:rPr>
          <w:rFonts w:cs="FrankRuehl" w:hint="cs"/>
          <w:rtl/>
          <w:lang w:eastAsia="en-US"/>
        </w:rPr>
        <w:t>)</w:t>
      </w:r>
      <w:r w:rsidR="00165B29">
        <w:rPr>
          <w:rFonts w:cs="FrankRuehl" w:hint="cs"/>
          <w:rtl/>
          <w:lang w:eastAsia="en-US"/>
        </w:rPr>
        <w:t>,</w:t>
      </w:r>
      <w:r w:rsidR="00DA3DDE">
        <w:rPr>
          <w:rFonts w:cs="FrankRuehl" w:hint="cs"/>
          <w:rtl/>
          <w:lang w:eastAsia="en-US"/>
        </w:rPr>
        <w:t xml:space="preserve"> לפי שיעור </w:t>
      </w:r>
      <w:r w:rsidR="006D1219">
        <w:rPr>
          <w:rFonts w:cs="FrankRuehl" w:hint="cs"/>
          <w:rtl/>
          <w:lang w:eastAsia="en-US"/>
        </w:rPr>
        <w:t>שינוי</w:t>
      </w:r>
      <w:r w:rsidR="00DA3DDE">
        <w:rPr>
          <w:rFonts w:cs="FrankRuehl" w:hint="cs"/>
          <w:rtl/>
          <w:lang w:eastAsia="en-US"/>
        </w:rPr>
        <w:t xml:space="preserve"> המדד שפורסם לאחרונה לפני יום </w:t>
      </w:r>
      <w:r w:rsidR="006D1219">
        <w:rPr>
          <w:rFonts w:cs="FrankRuehl" w:hint="cs"/>
          <w:rtl/>
          <w:lang w:eastAsia="en-US"/>
        </w:rPr>
        <w:t>העדכון</w:t>
      </w:r>
      <w:r w:rsidR="00DA3DDE">
        <w:rPr>
          <w:rFonts w:cs="FrankRuehl" w:hint="cs"/>
          <w:rtl/>
          <w:lang w:eastAsia="en-US"/>
        </w:rPr>
        <w:t xml:space="preserve"> </w:t>
      </w:r>
      <w:r w:rsidR="00165B29">
        <w:rPr>
          <w:rFonts w:cs="FrankRuehl" w:hint="cs"/>
          <w:rtl/>
          <w:lang w:eastAsia="en-US"/>
        </w:rPr>
        <w:t xml:space="preserve">לעומת </w:t>
      </w:r>
      <w:r w:rsidR="00DA3DDE">
        <w:rPr>
          <w:rFonts w:cs="FrankRuehl" w:hint="cs"/>
          <w:rtl/>
          <w:lang w:eastAsia="en-US"/>
        </w:rPr>
        <w:t xml:space="preserve">המדד שפורסם לאחרונה לפני יום </w:t>
      </w:r>
      <w:r w:rsidR="006D1219">
        <w:rPr>
          <w:rFonts w:cs="FrankRuehl" w:hint="cs"/>
          <w:rtl/>
          <w:lang w:eastAsia="en-US"/>
        </w:rPr>
        <w:t>העדכון</w:t>
      </w:r>
      <w:r w:rsidR="00165B29">
        <w:rPr>
          <w:rFonts w:cs="FrankRuehl" w:hint="cs"/>
          <w:rtl/>
          <w:lang w:eastAsia="en-US"/>
        </w:rPr>
        <w:t xml:space="preserve"> שקדם לו</w:t>
      </w:r>
      <w:r w:rsidR="00DA3DDE">
        <w:rPr>
          <w:rFonts w:cs="FrankRuehl" w:hint="cs"/>
          <w:rtl/>
          <w:lang w:eastAsia="en-US"/>
        </w:rPr>
        <w:t>.</w:t>
      </w:r>
    </w:p>
    <w:p w14:paraId="5E3AA83B" w14:textId="77777777" w:rsidR="002B4FF8" w:rsidRDefault="002B4FF8" w:rsidP="002B4FF8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pict w14:anchorId="21EF625D">
          <v:shapetype id="_x0000_t202" coordsize="21600,21600" o:spt="202" path="m,l,21600r21600,l21600,xe">
            <v:stroke joinstyle="miter"/>
            <v:path gradientshapeok="t" o:connecttype="rect"/>
          </v:shapetype>
          <v:shape id="_x0000_s2226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4DD51601" w14:textId="77777777" w:rsidR="002B4FF8" w:rsidRDefault="002B4FF8" w:rsidP="002B4FF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תשפ"ב-2021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rtl/>
          <w:lang w:eastAsia="en-US"/>
        </w:rPr>
        <w:tab/>
        <w:t>(ב)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 xml:space="preserve">על אף האמור בסעיף קטן (א), סכומי האגרות הקבועים בתוספת החמישית לחוק עזר לראשון לציון (שמירת הסדר והנקיון), התשמ"ט-1988, יעודכנו ביום 1 בינואר בכל שנה (להלן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יום העדכון), לפי שיעור שינוי מדד המחירים לצרכן שמפרסמת הלשכה המרכזית לסטטיסטיקה (להלן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המדד), ממדד חודש אוקטובר 2020 ועד מדד חודש אוקטובר של השנה הקודמת לשנת העדכון.</w:t>
      </w:r>
    </w:p>
    <w:p w14:paraId="0B54B8FA" w14:textId="77777777" w:rsidR="00E4402F" w:rsidRDefault="00E4402F" w:rsidP="00272BD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779D4C05">
          <v:rect id="_x0000_s2220" style="position:absolute;left:0;text-align:left;margin-left:464.5pt;margin-top:8.05pt;width:75.05pt;height:11.35pt;z-index:251656704" o:allowincell="f" filled="f" stroked="f" strokecolor="lime" strokeweight=".25pt">
            <v:textbox style="mso-next-textbox:#_x0000_s2220" inset="0,0,0,0">
              <w:txbxContent>
                <w:p w14:paraId="344003BA" w14:textId="77777777" w:rsidR="00E4402F" w:rsidRDefault="00E4402F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חוק </w:t>
      </w:r>
      <w:r w:rsidR="00272BD9">
        <w:rPr>
          <w:rFonts w:cs="FrankRuehl" w:hint="cs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 xml:space="preserve">עזר </w:t>
      </w:r>
      <w:r w:rsidR="00272BD9">
        <w:rPr>
          <w:rFonts w:cs="FrankRuehl" w:hint="cs"/>
          <w:rtl/>
          <w:lang w:eastAsia="en-US"/>
        </w:rPr>
        <w:t>לראשון-לציון</w:t>
      </w:r>
      <w:r>
        <w:rPr>
          <w:rFonts w:cs="FrankRuehl" w:hint="cs"/>
          <w:rtl/>
          <w:lang w:eastAsia="en-US"/>
        </w:rPr>
        <w:t xml:space="preserve"> (הצמדה למדד), התשמ"</w:t>
      </w:r>
      <w:r w:rsidR="00272BD9">
        <w:rPr>
          <w:rFonts w:cs="FrankRuehl" w:hint="cs"/>
          <w:rtl/>
          <w:lang w:eastAsia="en-US"/>
        </w:rPr>
        <w:t>א</w:t>
      </w:r>
      <w:r>
        <w:rPr>
          <w:rFonts w:cs="FrankRuehl" w:hint="cs"/>
          <w:rtl/>
          <w:lang w:eastAsia="en-US"/>
        </w:rPr>
        <w:t>-198</w:t>
      </w:r>
      <w:r w:rsidR="00272BD9">
        <w:rPr>
          <w:rFonts w:cs="FrankRuehl" w:hint="cs"/>
          <w:rtl/>
          <w:lang w:eastAsia="en-US"/>
        </w:rPr>
        <w:t>1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בטל.</w:t>
      </w:r>
    </w:p>
    <w:p w14:paraId="4C49049E" w14:textId="77777777" w:rsidR="00E4402F" w:rsidRDefault="00E4402F" w:rsidP="007563C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3" w:name="Seif4"/>
      <w:bookmarkEnd w:id="3"/>
      <w:r>
        <w:rPr>
          <w:lang w:val="he-IL"/>
        </w:rPr>
        <w:pict w14:anchorId="687A4B88">
          <v:rect id="_x0000_s2221" style="position:absolute;left:0;text-align:left;margin-left:464.5pt;margin-top:8.05pt;width:75.05pt;height:19.4pt;z-index:251657728" o:allowincell="f" filled="f" stroked="f" strokecolor="lime" strokeweight=".25pt">
            <v:textbox style="mso-next-textbox:#_x0000_s2221" inset="0,0,0,0">
              <w:txbxContent>
                <w:p w14:paraId="099517CC" w14:textId="77777777" w:rsidR="00E4402F" w:rsidRDefault="00E4402F" w:rsidP="007563C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הוראת </w:t>
                  </w:r>
                  <w:r w:rsidR="007563CB">
                    <w:rPr>
                      <w:rFonts w:cs="Miriam" w:hint="cs"/>
                      <w:sz w:val="18"/>
                      <w:szCs w:val="18"/>
                      <w:rtl/>
                    </w:rPr>
                    <w:t>שעה</w:t>
                  </w:r>
                </w:p>
                <w:p w14:paraId="37BEA921" w14:textId="77777777" w:rsidR="007563CB" w:rsidRDefault="007563CB" w:rsidP="007563C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על אף האמור בסעיף 2(א)</w:t>
      </w:r>
      <w:r w:rsidR="007563CB">
        <w:rPr>
          <w:rFonts w:cs="FrankRuehl" w:hint="cs"/>
          <w:rtl/>
          <w:lang w:eastAsia="en-US"/>
        </w:rPr>
        <w:t>, יעלו סכומי האגרות, ההיטלים והתשלומים האחרים, לפי הענין, שהוטלו בחוקי העזר של העיריה שנקבעו בתוספת</w:t>
      </w:r>
      <w:r>
        <w:rPr>
          <w:rFonts w:cs="FrankRuehl" w:hint="cs"/>
          <w:rtl/>
          <w:lang w:eastAsia="en-US"/>
        </w:rPr>
        <w:t xml:space="preserve"> ב-1 בחודש שלאחר </w:t>
      </w:r>
      <w:r w:rsidR="007563CB">
        <w:rPr>
          <w:rFonts w:cs="FrankRuehl" w:hint="cs"/>
          <w:rtl/>
          <w:lang w:eastAsia="en-US"/>
        </w:rPr>
        <w:t>פרסומו של</w:t>
      </w:r>
      <w:r>
        <w:rPr>
          <w:rFonts w:cs="FrankRuehl" w:hint="cs"/>
          <w:rtl/>
          <w:lang w:eastAsia="en-US"/>
        </w:rPr>
        <w:t xml:space="preserve"> חוק עזר זה </w:t>
      </w:r>
      <w:r w:rsidR="007563CB">
        <w:rPr>
          <w:rFonts w:cs="FrankRuehl" w:hint="cs"/>
          <w:rtl/>
          <w:lang w:eastAsia="en-US"/>
        </w:rPr>
        <w:t xml:space="preserve">ברשומות </w:t>
      </w:r>
      <w:r>
        <w:rPr>
          <w:rFonts w:cs="FrankRuehl" w:hint="cs"/>
          <w:rtl/>
          <w:lang w:eastAsia="en-US"/>
        </w:rPr>
        <w:t xml:space="preserve">(להלן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יום ההעלאה הראשון)</w:t>
      </w:r>
      <w:r w:rsidR="007563CB">
        <w:rPr>
          <w:rFonts w:cs="FrankRuehl" w:hint="cs"/>
          <w:rtl/>
          <w:lang w:eastAsia="en-US"/>
        </w:rPr>
        <w:t>,</w:t>
      </w:r>
      <w:r>
        <w:rPr>
          <w:rFonts w:cs="FrankRuehl" w:hint="cs"/>
          <w:rtl/>
          <w:lang w:eastAsia="en-US"/>
        </w:rPr>
        <w:t xml:space="preserve"> לפי שיעור עליית המדד ממדד חודש </w:t>
      </w:r>
      <w:r w:rsidR="007563CB">
        <w:rPr>
          <w:rFonts w:cs="FrankRuehl" w:hint="cs"/>
          <w:rtl/>
          <w:lang w:eastAsia="en-US"/>
        </w:rPr>
        <w:t xml:space="preserve">ינואר </w:t>
      </w:r>
      <w:r w:rsidR="00272BD9">
        <w:rPr>
          <w:rFonts w:cs="FrankRuehl" w:hint="cs"/>
          <w:rtl/>
          <w:lang w:eastAsia="en-US"/>
        </w:rPr>
        <w:t>1984</w:t>
      </w:r>
      <w:r>
        <w:rPr>
          <w:rFonts w:cs="FrankRuehl" w:hint="cs"/>
          <w:rtl/>
          <w:lang w:eastAsia="en-US"/>
        </w:rPr>
        <w:t xml:space="preserve"> עד המדד שפורסם לאחרונה לפני יום ההעלאה הראשון.</w:t>
      </w:r>
    </w:p>
    <w:p w14:paraId="28430B46" w14:textId="77777777" w:rsidR="00530EA6" w:rsidRDefault="00530EA6" w:rsidP="00165B2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lang w:val="he-IL"/>
        </w:rPr>
        <w:pict w14:anchorId="36B09A04">
          <v:rect id="_x0000_s2222" style="position:absolute;left:0;text-align:left;margin-left:464.5pt;margin-top:8.05pt;width:75.05pt;height:28.35pt;z-index:251658752" o:allowincell="f" filled="f" stroked="f" strokecolor="lime" strokeweight=".25pt">
            <v:textbox style="mso-next-textbox:#_x0000_s2222" inset="0,0,0,0">
              <w:txbxContent>
                <w:p w14:paraId="3054882F" w14:textId="77777777" w:rsidR="00530EA6" w:rsidRDefault="00530EA6" w:rsidP="00530EA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תשנ"ב-1991</w:t>
                  </w:r>
                </w:p>
                <w:p w14:paraId="35F945A5" w14:textId="77777777" w:rsidR="00165B29" w:rsidRDefault="00165B29" w:rsidP="00165B29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תש"ס-2000</w:t>
                  </w:r>
                </w:p>
                <w:p w14:paraId="36F1AB3A" w14:textId="77777777" w:rsidR="006D1219" w:rsidRDefault="006D1219" w:rsidP="00165B2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תשע"ט-2019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על אף האמור בסעיף </w:t>
      </w:r>
      <w:r w:rsidR="006D1219">
        <w:rPr>
          <w:rFonts w:cs="FrankRuehl" w:hint="cs"/>
          <w:rtl/>
          <w:lang w:eastAsia="en-US"/>
        </w:rPr>
        <w:t>2 לחוק העזר</w:t>
      </w:r>
      <w:r>
        <w:rPr>
          <w:rFonts w:cs="FrankRuehl" w:hint="cs"/>
          <w:rtl/>
          <w:lang w:eastAsia="en-US"/>
        </w:rPr>
        <w:t xml:space="preserve">, סכומי האגרות, ההיטלים והתשלומים האחרים, לפי הענין, </w:t>
      </w:r>
      <w:r w:rsidR="008C7BD0">
        <w:rPr>
          <w:rFonts w:cs="FrankRuehl" w:hint="cs"/>
          <w:rtl/>
          <w:lang w:eastAsia="en-US"/>
        </w:rPr>
        <w:t xml:space="preserve">שהוטלו בחוקי העזר של העיריה הנקובים בתוספת השניה </w:t>
      </w:r>
      <w:r w:rsidR="006D1219">
        <w:rPr>
          <w:rFonts w:cs="FrankRuehl" w:hint="cs"/>
          <w:rtl/>
          <w:lang w:eastAsia="en-US"/>
        </w:rPr>
        <w:t>יעודכנו</w:t>
      </w:r>
      <w:r w:rsidR="008C7BD0">
        <w:rPr>
          <w:rFonts w:cs="FrankRuehl" w:hint="cs"/>
          <w:rtl/>
          <w:lang w:eastAsia="en-US"/>
        </w:rPr>
        <w:t xml:space="preserve"> במועדים הקבועים להלן, לפי שיעור </w:t>
      </w:r>
      <w:r w:rsidR="006D1219">
        <w:rPr>
          <w:rFonts w:cs="FrankRuehl" w:hint="cs"/>
          <w:rtl/>
          <w:lang w:eastAsia="en-US"/>
        </w:rPr>
        <w:t>שינוי</w:t>
      </w:r>
      <w:r w:rsidR="008C7BD0">
        <w:rPr>
          <w:rFonts w:cs="FrankRuehl" w:hint="cs"/>
          <w:rtl/>
          <w:lang w:eastAsia="en-US"/>
        </w:rPr>
        <w:t xml:space="preserve"> המדד החדש לעומת המדד היסודי, כלהלן:</w:t>
      </w:r>
    </w:p>
    <w:p w14:paraId="2F144928" w14:textId="77777777" w:rsidR="008C7BD0" w:rsidRDefault="008C7BD0" w:rsidP="00151AC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(1)</w:t>
      </w:r>
      <w:r>
        <w:rPr>
          <w:rFonts w:cs="FrankRuehl" w:hint="cs"/>
          <w:rtl/>
          <w:lang w:eastAsia="en-US"/>
        </w:rPr>
        <w:tab/>
      </w:r>
      <w:r w:rsidR="00024793">
        <w:rPr>
          <w:rFonts w:cs="FrankRuehl" w:hint="cs"/>
          <w:rtl/>
          <w:lang w:eastAsia="en-US"/>
        </w:rPr>
        <w:t xml:space="preserve">ב-1 באפריל של שנה פלונית, אם </w:t>
      </w:r>
      <w:r w:rsidR="006D1219">
        <w:rPr>
          <w:rFonts w:cs="FrankRuehl" w:hint="cs"/>
          <w:rtl/>
          <w:lang w:eastAsia="en-US"/>
        </w:rPr>
        <w:t>עודכן</w:t>
      </w:r>
      <w:r w:rsidR="00024793">
        <w:rPr>
          <w:rFonts w:cs="FrankRuehl" w:hint="cs"/>
          <w:rtl/>
          <w:lang w:eastAsia="en-US"/>
        </w:rPr>
        <w:t xml:space="preserve"> המדד שפורסם לחודש ינואר של אותה שנה, שיראו אותו כמדד החדש, לעומת המדד שפורסם לחודש יולי בשנה האחרונה שקדמה לה, שיראו אותו כמדד היסודי;</w:t>
      </w:r>
    </w:p>
    <w:p w14:paraId="38475D5F" w14:textId="77777777" w:rsidR="00024793" w:rsidRDefault="00024793" w:rsidP="00151AC2">
      <w:pPr>
        <w:pStyle w:val="P00"/>
        <w:spacing w:before="72"/>
        <w:ind w:left="1021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(2)</w:t>
      </w:r>
      <w:r>
        <w:rPr>
          <w:rFonts w:cs="FrankRuehl" w:hint="cs"/>
          <w:rtl/>
          <w:lang w:eastAsia="en-US"/>
        </w:rPr>
        <w:tab/>
        <w:t xml:space="preserve">ב-1 באוקטובר של שנה פלונית, אם </w:t>
      </w:r>
      <w:r w:rsidR="006D1219">
        <w:rPr>
          <w:rFonts w:cs="FrankRuehl" w:hint="cs"/>
          <w:rtl/>
          <w:lang w:eastAsia="en-US"/>
        </w:rPr>
        <w:t>עודכן</w:t>
      </w:r>
      <w:r>
        <w:rPr>
          <w:rFonts w:cs="FrankRuehl" w:hint="cs"/>
          <w:rtl/>
          <w:lang w:eastAsia="en-US"/>
        </w:rPr>
        <w:t xml:space="preserve"> המדד שפורסם לחודש יולי של אותה שנה, שיראו אותו כמדד החדש, לעומת המדד שפורסם לחודש ינואר באותה שנה, שיראו אותו כמדד היסודי.</w:t>
      </w:r>
    </w:p>
    <w:p w14:paraId="24D5D72F" w14:textId="77777777" w:rsidR="00530EA6" w:rsidRPr="00BB55FC" w:rsidRDefault="00530EA6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AACFF77" w14:textId="77777777" w:rsidR="0091524D" w:rsidRPr="006D1219" w:rsidRDefault="00263EF2" w:rsidP="006A287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4" w:name="med0"/>
      <w:bookmarkEnd w:id="4"/>
      <w:r w:rsidRPr="006D1219">
        <w:rPr>
          <w:rFonts w:cs="FrankRuehl" w:hint="cs"/>
          <w:noProof/>
          <w:rtl/>
          <w:lang w:eastAsia="en-US"/>
        </w:rPr>
        <w:pict w14:anchorId="30115DBA">
          <v:shape id="_x0000_s2219" type="#_x0000_t202" style="position:absolute;left:0;text-align:left;margin-left:470.25pt;margin-top:7.1pt;width:1in;height:26.15pt;z-index:251655680" filled="f" stroked="f">
            <v:textbox inset="1mm,0,1mm,0">
              <w:txbxContent>
                <w:p w14:paraId="45162881" w14:textId="77777777" w:rsidR="00CE06E3" w:rsidRDefault="00691789" w:rsidP="00272BD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272BD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5A45C7">
                    <w:rPr>
                      <w:rFonts w:cs="Miriam" w:hint="cs"/>
                      <w:sz w:val="18"/>
                      <w:szCs w:val="18"/>
                      <w:rtl/>
                    </w:rPr>
                    <w:t>תשמ"ט-1988</w:t>
                  </w:r>
                </w:p>
                <w:p w14:paraId="7E1CA504" w14:textId="77777777" w:rsidR="00151AC2" w:rsidRDefault="00151AC2" w:rsidP="00151AC2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תשנ"ב-1991</w:t>
                  </w:r>
                </w:p>
                <w:p w14:paraId="2BF38796" w14:textId="77777777" w:rsidR="006D1219" w:rsidRDefault="006D1219" w:rsidP="00151AC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תשע"ט-2019</w:t>
                  </w:r>
                </w:p>
              </w:txbxContent>
            </v:textbox>
            <w10:anchorlock/>
          </v:shape>
        </w:pict>
      </w:r>
      <w:r w:rsidR="0091524D" w:rsidRPr="006D1219">
        <w:rPr>
          <w:rFonts w:cs="FrankRuehl" w:hint="cs"/>
          <w:noProof/>
          <w:rtl/>
        </w:rPr>
        <w:t>תוספ</w:t>
      </w:r>
      <w:r w:rsidR="006A287D" w:rsidRPr="006D1219">
        <w:rPr>
          <w:rFonts w:cs="FrankRuehl" w:hint="cs"/>
          <w:noProof/>
          <w:rtl/>
        </w:rPr>
        <w:t>ת</w:t>
      </w:r>
      <w:r w:rsidR="00151AC2" w:rsidRPr="006D1219">
        <w:rPr>
          <w:rFonts w:cs="FrankRuehl" w:hint="cs"/>
          <w:noProof/>
          <w:rtl/>
        </w:rPr>
        <w:t xml:space="preserve"> ראשונה</w:t>
      </w:r>
    </w:p>
    <w:p w14:paraId="19D14675" w14:textId="77777777" w:rsidR="0091524D" w:rsidRDefault="0091524D" w:rsidP="00773F82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 xml:space="preserve">(סעיף </w:t>
      </w:r>
      <w:r w:rsidR="00773F82">
        <w:rPr>
          <w:rFonts w:cs="FrankRuehl" w:hint="cs"/>
          <w:bCs w:val="0"/>
          <w:noProof/>
          <w:rtl/>
        </w:rPr>
        <w:t>2</w:t>
      </w:r>
      <w:r>
        <w:rPr>
          <w:rFonts w:cs="FrankRuehl" w:hint="cs"/>
          <w:bCs w:val="0"/>
          <w:noProof/>
          <w:rtl/>
        </w:rPr>
        <w:t>)</w:t>
      </w:r>
    </w:p>
    <w:p w14:paraId="0C88C243" w14:textId="77777777" w:rsidR="00272BD9" w:rsidRDefault="00272BD9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לראשון-לציון (תיעול), התשל"ג-1973.</w:t>
      </w:r>
    </w:p>
    <w:p w14:paraId="759129F3" w14:textId="77777777" w:rsidR="00272BD9" w:rsidRDefault="00272BD9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>חוק עזר לראשון</w:t>
      </w:r>
      <w:r w:rsidR="006D1219">
        <w:rPr>
          <w:rFonts w:cs="FrankRuehl" w:hint="cs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לציון (</w:t>
      </w:r>
      <w:r w:rsidR="006D1219">
        <w:rPr>
          <w:rFonts w:cs="FrankRuehl" w:hint="cs"/>
          <w:rtl/>
          <w:lang w:eastAsia="en-US"/>
        </w:rPr>
        <w:t>החזקת בעלי חיים ופיקוח על כלבים), התשנ"ט-1999</w:t>
      </w:r>
      <w:r>
        <w:rPr>
          <w:rFonts w:cs="FrankRuehl" w:hint="cs"/>
          <w:rtl/>
          <w:lang w:eastAsia="en-US"/>
        </w:rPr>
        <w:t>.</w:t>
      </w:r>
    </w:p>
    <w:p w14:paraId="5D035685" w14:textId="77777777" w:rsidR="00272BD9" w:rsidRDefault="00272BD9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לראשון-לציון (שחיטת עופות), התשכ"ז-1967.</w:t>
      </w:r>
    </w:p>
    <w:p w14:paraId="641B2746" w14:textId="77777777" w:rsidR="005A45C7" w:rsidRDefault="005A45C7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לראשון-לציון (סלילת רחובות), התשמ"ה-1985.</w:t>
      </w:r>
    </w:p>
    <w:p w14:paraId="00BE850C" w14:textId="77777777" w:rsidR="00151AC2" w:rsidRDefault="00151AC2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לראשון-לציון (שמירת הסדר והנקיון), התשמ"ט-1988.</w:t>
      </w:r>
    </w:p>
    <w:p w14:paraId="2802BDF4" w14:textId="77777777" w:rsidR="006D1219" w:rsidRDefault="006D1219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לראשון לציון (בדיקת בשר עוף), התשס"ה-2005.</w:t>
      </w:r>
    </w:p>
    <w:p w14:paraId="0C3E1402" w14:textId="77777777" w:rsidR="00272BD9" w:rsidRDefault="00272BD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449251F4" w14:textId="77777777" w:rsidR="00151AC2" w:rsidRPr="006D1219" w:rsidRDefault="00151AC2" w:rsidP="00165B29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5" w:name="med1"/>
      <w:bookmarkEnd w:id="5"/>
      <w:r w:rsidRPr="006D1219">
        <w:rPr>
          <w:rFonts w:cs="FrankRuehl" w:hint="cs"/>
          <w:noProof/>
          <w:rtl/>
          <w:lang w:eastAsia="en-US"/>
        </w:rPr>
        <w:pict w14:anchorId="25456CFB">
          <v:shape id="_x0000_s2223" type="#_x0000_t202" style="position:absolute;left:0;text-align:left;margin-left:470.25pt;margin-top:7.1pt;width:1in;height:12.35pt;z-index:251659776" filled="f" stroked="f">
            <v:textbox inset="1mm,0,1mm,0">
              <w:txbxContent>
                <w:p w14:paraId="37813D01" w14:textId="77777777" w:rsidR="00151AC2" w:rsidRDefault="00151AC2" w:rsidP="00151AC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תשנ"ב-1991</w:t>
                  </w:r>
                </w:p>
              </w:txbxContent>
            </v:textbox>
            <w10:anchorlock/>
          </v:shape>
        </w:pict>
      </w:r>
      <w:r w:rsidRPr="006D1219">
        <w:rPr>
          <w:rFonts w:cs="FrankRuehl" w:hint="cs"/>
          <w:noProof/>
          <w:rtl/>
        </w:rPr>
        <w:t xml:space="preserve">תוספת </w:t>
      </w:r>
      <w:r w:rsidR="00165B29" w:rsidRPr="006D1219">
        <w:rPr>
          <w:rFonts w:cs="FrankRuehl" w:hint="cs"/>
          <w:noProof/>
          <w:rtl/>
        </w:rPr>
        <w:t>שניה</w:t>
      </w:r>
    </w:p>
    <w:p w14:paraId="3C5EC8D5" w14:textId="77777777" w:rsidR="00151AC2" w:rsidRPr="00151AC2" w:rsidRDefault="00151AC2" w:rsidP="00151AC2">
      <w:pPr>
        <w:pStyle w:val="P00"/>
        <w:spacing w:before="72"/>
        <w:ind w:left="0" w:right="1134"/>
        <w:jc w:val="center"/>
        <w:rPr>
          <w:rFonts w:cs="FrankRuehl" w:hint="cs"/>
          <w:sz w:val="24"/>
          <w:szCs w:val="24"/>
          <w:rtl/>
          <w:lang w:eastAsia="en-US"/>
        </w:rPr>
      </w:pPr>
      <w:r w:rsidRPr="00151AC2">
        <w:rPr>
          <w:rFonts w:cs="FrankRuehl" w:hint="cs"/>
          <w:sz w:val="24"/>
          <w:szCs w:val="24"/>
          <w:rtl/>
          <w:lang w:eastAsia="en-US"/>
        </w:rPr>
        <w:t>(סעיף 5)</w:t>
      </w:r>
    </w:p>
    <w:p w14:paraId="1B4B649B" w14:textId="77777777" w:rsidR="00151AC2" w:rsidRDefault="00151AC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לראשון-לציון (רחצה בבריכות שחיה), התשמ"ג-1983.</w:t>
      </w:r>
    </w:p>
    <w:p w14:paraId="365F3DE4" w14:textId="77777777" w:rsidR="00151AC2" w:rsidRDefault="00151AC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ED6146A" w14:textId="77777777" w:rsidR="00165B29" w:rsidRPr="006D1219" w:rsidRDefault="00165B29" w:rsidP="00165B29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6" w:name="med2"/>
      <w:bookmarkEnd w:id="6"/>
      <w:r w:rsidRPr="006D1219">
        <w:rPr>
          <w:rFonts w:cs="FrankRuehl" w:hint="cs"/>
          <w:noProof/>
          <w:rtl/>
          <w:lang w:eastAsia="en-US"/>
        </w:rPr>
        <w:pict w14:anchorId="7372ACCD">
          <v:shape id="_x0000_s2225" type="#_x0000_t202" style="position:absolute;left:0;text-align:left;margin-left:470.25pt;margin-top:7.1pt;width:1in;height:12.35pt;z-index:251660800" filled="f" stroked="f">
            <v:textbox inset="1mm,0,1mm,0">
              <w:txbxContent>
                <w:p w14:paraId="5EC83C21" w14:textId="77777777" w:rsidR="00165B29" w:rsidRDefault="00165B29" w:rsidP="00165B2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6D1219">
                    <w:rPr>
                      <w:rFonts w:cs="Miriam" w:hint="cs"/>
                      <w:sz w:val="18"/>
                      <w:szCs w:val="18"/>
                      <w:rtl/>
                    </w:rPr>
                    <w:t>תשע"ט-2019</w:t>
                  </w:r>
                </w:p>
              </w:txbxContent>
            </v:textbox>
            <w10:anchorlock/>
          </v:shape>
        </w:pict>
      </w:r>
      <w:r w:rsidRPr="006D1219">
        <w:rPr>
          <w:rFonts w:cs="FrankRuehl" w:hint="cs"/>
          <w:noProof/>
          <w:rtl/>
        </w:rPr>
        <w:t>תוספת שלישית</w:t>
      </w:r>
    </w:p>
    <w:p w14:paraId="75DA165F" w14:textId="77777777" w:rsidR="00165B29" w:rsidRPr="00151AC2" w:rsidRDefault="00165B29" w:rsidP="00165B29">
      <w:pPr>
        <w:pStyle w:val="P00"/>
        <w:spacing w:before="72"/>
        <w:ind w:left="0" w:right="1134"/>
        <w:jc w:val="center"/>
        <w:rPr>
          <w:rFonts w:cs="FrankRuehl" w:hint="cs"/>
          <w:sz w:val="24"/>
          <w:szCs w:val="24"/>
          <w:rtl/>
          <w:lang w:eastAsia="en-US"/>
        </w:rPr>
      </w:pPr>
      <w:r w:rsidRPr="00151AC2">
        <w:rPr>
          <w:rFonts w:cs="FrankRuehl" w:hint="cs"/>
          <w:sz w:val="24"/>
          <w:szCs w:val="24"/>
          <w:rtl/>
          <w:lang w:eastAsia="en-US"/>
        </w:rPr>
        <w:t>(</w:t>
      </w:r>
      <w:r w:rsidR="006D1219">
        <w:rPr>
          <w:rFonts w:cs="FrankRuehl" w:hint="cs"/>
          <w:sz w:val="24"/>
          <w:szCs w:val="24"/>
          <w:rtl/>
          <w:lang w:eastAsia="en-US"/>
        </w:rPr>
        <w:t>בוטלה</w:t>
      </w:r>
      <w:r w:rsidRPr="00151AC2">
        <w:rPr>
          <w:rFonts w:cs="FrankRuehl" w:hint="cs"/>
          <w:sz w:val="24"/>
          <w:szCs w:val="24"/>
          <w:rtl/>
          <w:lang w:eastAsia="en-US"/>
        </w:rPr>
        <w:t>)</w:t>
      </w:r>
    </w:p>
    <w:p w14:paraId="4A99420F" w14:textId="77777777" w:rsidR="00165B29" w:rsidRDefault="00165B2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488038D" w14:textId="77777777"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20FD2AB7" w14:textId="77777777"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2B5C76F0" w14:textId="77777777" w:rsidR="0091524D" w:rsidRDefault="00272BD9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כ"ט באב התשמ"ד (27 באוגוסט</w:t>
      </w:r>
      <w:r w:rsidR="00DF5F74">
        <w:rPr>
          <w:rFonts w:cs="FrankRuehl" w:hint="cs"/>
          <w:rtl/>
          <w:lang w:eastAsia="en-US"/>
        </w:rPr>
        <w:t xml:space="preserve"> 1984)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מאיר ניצן</w:t>
      </w:r>
    </w:p>
    <w:p w14:paraId="154BA178" w14:textId="77777777" w:rsidR="0091524D" w:rsidRDefault="0091524D" w:rsidP="00272B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272BD9">
        <w:rPr>
          <w:rFonts w:cs="FrankRuehl" w:hint="cs"/>
          <w:sz w:val="22"/>
          <w:szCs w:val="22"/>
          <w:rtl/>
          <w:lang w:eastAsia="en-US"/>
        </w:rPr>
        <w:t>ראשון-לציון</w:t>
      </w:r>
    </w:p>
    <w:p w14:paraId="117E28A0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14:paraId="2FE94629" w14:textId="77777777"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14:paraId="23356A0A" w14:textId="77777777" w:rsidR="00272BD9" w:rsidRDefault="00272BD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331BEA0" w14:textId="77777777"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366AD46C" w14:textId="77777777"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7" w:name="LawPartEnd"/>
      <w:bookmarkEnd w:id="7"/>
    </w:p>
    <w:p w14:paraId="3B63F3F9" w14:textId="77777777" w:rsidR="006E6583" w:rsidRDefault="006E658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04936EE7" w14:textId="77777777" w:rsidR="006E6583" w:rsidRDefault="006E658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712466C" w14:textId="77777777" w:rsidR="006E6583" w:rsidRDefault="006E6583" w:rsidP="006E6583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324610C" w14:textId="77777777" w:rsidR="00A60385" w:rsidRPr="006E6583" w:rsidRDefault="00A60385" w:rsidP="006E6583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6E658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B89A" w14:textId="77777777" w:rsidR="0075594C" w:rsidRDefault="0075594C">
      <w:r>
        <w:separator/>
      </w:r>
    </w:p>
  </w:endnote>
  <w:endnote w:type="continuationSeparator" w:id="0">
    <w:p w14:paraId="112F5315" w14:textId="77777777" w:rsidR="0075594C" w:rsidRDefault="0075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C91F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E49B55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227C319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6583">
      <w:rPr>
        <w:rFonts w:cs="TopType Jerushalmi"/>
        <w:noProof/>
        <w:color w:val="000000"/>
        <w:sz w:val="14"/>
        <w:szCs w:val="14"/>
      </w:rPr>
      <w:t>Z:\000-law\yael\2011\11-07-20\mek_007_010.doc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A8DB" w14:textId="77777777"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6D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5BBA97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121550" w14:textId="77777777"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E6583">
      <w:rPr>
        <w:rFonts w:cs="TopType Jerushalmi"/>
        <w:noProof/>
        <w:color w:val="000000"/>
        <w:sz w:val="14"/>
        <w:szCs w:val="14"/>
      </w:rPr>
      <w:t>Z:\000-law\yael\2011\11-07-20\mek_007_010.doc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2997" w14:textId="77777777" w:rsidR="0075594C" w:rsidRDefault="0075594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77E49C1" w14:textId="77777777" w:rsidR="0075594C" w:rsidRDefault="0075594C">
      <w:r>
        <w:continuationSeparator/>
      </w:r>
    </w:p>
  </w:footnote>
  <w:footnote w:id="1">
    <w:p w14:paraId="6B709264" w14:textId="77777777" w:rsidR="00691789" w:rsidRDefault="00691789" w:rsidP="00272BD9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>
          <w:rPr>
            <w:rStyle w:val="Hyperlink"/>
            <w:rFonts w:cs="FrankRuehl" w:hint="cs"/>
            <w:sz w:val="22"/>
            <w:szCs w:val="22"/>
            <w:rtl/>
          </w:rPr>
          <w:t>מ"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272BD9">
          <w:rPr>
            <w:rStyle w:val="Hyperlink"/>
            <w:rFonts w:cs="FrankRuehl" w:hint="cs"/>
            <w:sz w:val="22"/>
            <w:szCs w:val="22"/>
            <w:rtl/>
          </w:rPr>
          <w:t>4</w:t>
        </w:r>
        <w:r w:rsidR="00E4402F">
          <w:rPr>
            <w:rStyle w:val="Hyperlink"/>
            <w:rFonts w:cs="FrankRuehl" w:hint="cs"/>
            <w:sz w:val="22"/>
            <w:szCs w:val="22"/>
            <w:rtl/>
          </w:rPr>
          <w:t>7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272BD9">
        <w:rPr>
          <w:rFonts w:cs="FrankRuehl" w:hint="cs"/>
          <w:sz w:val="22"/>
          <w:szCs w:val="22"/>
          <w:rtl/>
        </w:rPr>
        <w:t>24.9</w:t>
      </w:r>
      <w:r w:rsidR="00A71326">
        <w:rPr>
          <w:rFonts w:cs="FrankRuehl" w:hint="cs"/>
          <w:sz w:val="22"/>
          <w:szCs w:val="22"/>
          <w:rtl/>
        </w:rPr>
        <w:t>.19</w:t>
      </w:r>
      <w:r w:rsidR="00E4402F">
        <w:rPr>
          <w:rFonts w:cs="FrankRuehl" w:hint="cs"/>
          <w:sz w:val="22"/>
          <w:szCs w:val="22"/>
          <w:rtl/>
        </w:rPr>
        <w:t>84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272BD9">
        <w:rPr>
          <w:rFonts w:cs="FrankRuehl" w:hint="cs"/>
          <w:sz w:val="22"/>
          <w:szCs w:val="22"/>
          <w:rtl/>
        </w:rPr>
        <w:t>839</w:t>
      </w:r>
      <w:r>
        <w:rPr>
          <w:rFonts w:cs="FrankRuehl" w:hint="cs"/>
          <w:sz w:val="22"/>
          <w:szCs w:val="22"/>
          <w:rtl/>
        </w:rPr>
        <w:t>.</w:t>
      </w:r>
    </w:p>
    <w:p w14:paraId="58AD0974" w14:textId="77777777" w:rsidR="006911A2" w:rsidRDefault="00691789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940118" w:rsidRPr="003A6612">
          <w:rPr>
            <w:rStyle w:val="Hyperlink"/>
            <w:rFonts w:cs="FrankRuehl" w:hint="cs"/>
            <w:sz w:val="22"/>
            <w:szCs w:val="22"/>
            <w:rtl/>
          </w:rPr>
          <w:t>ק"ת חש"ם תשמ"ט מס' 385</w:t>
        </w:r>
      </w:hyperlink>
      <w:r w:rsidR="00940118">
        <w:rPr>
          <w:rFonts w:cs="FrankRuehl" w:hint="cs"/>
          <w:sz w:val="22"/>
          <w:szCs w:val="22"/>
          <w:rtl/>
        </w:rPr>
        <w:t xml:space="preserve"> מיום 13.10.1988 עמ' 27 </w:t>
      </w:r>
      <w:r w:rsidR="00940118">
        <w:rPr>
          <w:rFonts w:cs="FrankRuehl"/>
          <w:sz w:val="22"/>
          <w:szCs w:val="22"/>
          <w:rtl/>
        </w:rPr>
        <w:t>–</w:t>
      </w:r>
      <w:r w:rsidR="00940118">
        <w:rPr>
          <w:rFonts w:cs="FrankRuehl" w:hint="cs"/>
          <w:sz w:val="22"/>
          <w:szCs w:val="22"/>
          <w:rtl/>
        </w:rPr>
        <w:t xml:space="preserve"> תיקון תשמ"ט-1988.</w:t>
      </w:r>
    </w:p>
    <w:p w14:paraId="01507C30" w14:textId="77777777" w:rsidR="00530EA6" w:rsidRDefault="00151AC2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3" w:history="1">
        <w:r w:rsidR="00530EA6" w:rsidRPr="00151AC2">
          <w:rPr>
            <w:rStyle w:val="Hyperlink"/>
            <w:rFonts w:cs="FrankRuehl" w:hint="cs"/>
            <w:sz w:val="22"/>
            <w:szCs w:val="22"/>
            <w:rtl/>
          </w:rPr>
          <w:t>ק"ת חש"ם תשנ"ב מס' 467</w:t>
        </w:r>
      </w:hyperlink>
      <w:r w:rsidR="00530EA6">
        <w:rPr>
          <w:rFonts w:cs="FrankRuehl" w:hint="cs"/>
          <w:sz w:val="22"/>
          <w:szCs w:val="22"/>
          <w:rtl/>
        </w:rPr>
        <w:t xml:space="preserve"> מיום 22.10.1991 עמ' 61 </w:t>
      </w:r>
      <w:r w:rsidR="00530EA6">
        <w:rPr>
          <w:rFonts w:cs="FrankRuehl"/>
          <w:sz w:val="22"/>
          <w:szCs w:val="22"/>
          <w:rtl/>
        </w:rPr>
        <w:t>–</w:t>
      </w:r>
      <w:r w:rsidR="00530EA6">
        <w:rPr>
          <w:rFonts w:cs="FrankRuehl" w:hint="cs"/>
          <w:sz w:val="22"/>
          <w:szCs w:val="22"/>
          <w:rtl/>
        </w:rPr>
        <w:t xml:space="preserve"> תיקון תשנ"ב-1991.</w:t>
      </w:r>
    </w:p>
    <w:p w14:paraId="07B8F723" w14:textId="77777777" w:rsidR="007563CB" w:rsidRDefault="00D94EBC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7563CB" w:rsidRPr="00D94EBC">
          <w:rPr>
            <w:rStyle w:val="Hyperlink"/>
            <w:rFonts w:cs="FrankRuehl" w:hint="cs"/>
            <w:sz w:val="22"/>
            <w:szCs w:val="22"/>
            <w:rtl/>
          </w:rPr>
          <w:t>ק"ת חש"ם תשנ"ה מס' 531</w:t>
        </w:r>
      </w:hyperlink>
      <w:r w:rsidR="007563CB">
        <w:rPr>
          <w:rFonts w:cs="FrankRuehl" w:hint="cs"/>
          <w:sz w:val="22"/>
          <w:szCs w:val="22"/>
          <w:rtl/>
        </w:rPr>
        <w:t xml:space="preserve"> מיום 31.1.1995 עמ' 122 </w:t>
      </w:r>
      <w:r w:rsidR="007563CB">
        <w:rPr>
          <w:rFonts w:cs="FrankRuehl"/>
          <w:sz w:val="22"/>
          <w:szCs w:val="22"/>
          <w:rtl/>
        </w:rPr>
        <w:t>–</w:t>
      </w:r>
      <w:r w:rsidR="007563CB">
        <w:rPr>
          <w:rFonts w:cs="FrankRuehl" w:hint="cs"/>
          <w:sz w:val="22"/>
          <w:szCs w:val="22"/>
          <w:rtl/>
        </w:rPr>
        <w:t xml:space="preserve"> תיקון תשנ"ה-1995; תחילתו ביום 24.9.1984.</w:t>
      </w:r>
    </w:p>
    <w:p w14:paraId="5DEDA7F2" w14:textId="77777777" w:rsidR="00FC1337" w:rsidRDefault="001103CE" w:rsidP="00DA3DDE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="00FC1337" w:rsidRPr="001103CE">
          <w:rPr>
            <w:rStyle w:val="Hyperlink"/>
            <w:rFonts w:cs="FrankRuehl" w:hint="cs"/>
            <w:sz w:val="22"/>
            <w:szCs w:val="22"/>
            <w:rtl/>
          </w:rPr>
          <w:t>ק"ת חש"ם תשנ"ח מס' 588</w:t>
        </w:r>
      </w:hyperlink>
      <w:r w:rsidR="00FC1337">
        <w:rPr>
          <w:rFonts w:cs="FrankRuehl" w:hint="cs"/>
          <w:sz w:val="22"/>
          <w:szCs w:val="22"/>
          <w:rtl/>
        </w:rPr>
        <w:t xml:space="preserve"> מיום 4.12.1997 עמ' 87 </w:t>
      </w:r>
      <w:r w:rsidR="00FC1337">
        <w:rPr>
          <w:rFonts w:cs="FrankRuehl"/>
          <w:sz w:val="22"/>
          <w:szCs w:val="22"/>
          <w:rtl/>
        </w:rPr>
        <w:t>–</w:t>
      </w:r>
      <w:r w:rsidR="00FC1337">
        <w:rPr>
          <w:rFonts w:cs="FrankRuehl" w:hint="cs"/>
          <w:sz w:val="22"/>
          <w:szCs w:val="22"/>
          <w:rtl/>
        </w:rPr>
        <w:t xml:space="preserve"> תיקון תשנ"ח-1997.</w:t>
      </w:r>
    </w:p>
    <w:p w14:paraId="0150D708" w14:textId="77777777" w:rsidR="00165B29" w:rsidRDefault="00165B29" w:rsidP="00DA3DDE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6" w:history="1">
        <w:r w:rsidRPr="00165B29">
          <w:rPr>
            <w:rStyle w:val="Hyperlink"/>
            <w:rFonts w:cs="FrankRuehl" w:hint="cs"/>
            <w:sz w:val="22"/>
            <w:szCs w:val="22"/>
            <w:rtl/>
          </w:rPr>
          <w:t>ק"ת חש"ם תש"ס מס' 619</w:t>
        </w:r>
      </w:hyperlink>
      <w:r>
        <w:rPr>
          <w:rFonts w:cs="FrankRuehl" w:hint="cs"/>
          <w:sz w:val="22"/>
          <w:szCs w:val="22"/>
          <w:rtl/>
        </w:rPr>
        <w:t xml:space="preserve"> מיום 29.2.2000 עמ' 169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תש"ס-2000; ר' סעיף 3 לענין הוראת שעה.</w:t>
      </w:r>
    </w:p>
    <w:p w14:paraId="1555FD1D" w14:textId="77777777" w:rsidR="00D74A41" w:rsidRDefault="00D74A41" w:rsidP="00D74A41">
      <w:pPr>
        <w:pStyle w:val="a5"/>
        <w:spacing w:before="72" w:line="240" w:lineRule="auto"/>
        <w:ind w:right="1155"/>
        <w:rPr>
          <w:rFonts w:cs="FrankRuehl"/>
          <w:sz w:val="22"/>
          <w:szCs w:val="22"/>
          <w:rtl/>
        </w:rPr>
      </w:pPr>
      <w:hyperlink r:id="rId7" w:history="1">
        <w:r w:rsidR="006D1219" w:rsidRPr="00D74A41">
          <w:rPr>
            <w:rStyle w:val="Hyperlink"/>
            <w:rFonts w:cs="FrankRuehl" w:hint="cs"/>
            <w:sz w:val="22"/>
            <w:szCs w:val="22"/>
            <w:rtl/>
          </w:rPr>
          <w:t>ק"ת חש"ם תשע"ט מס' 957</w:t>
        </w:r>
      </w:hyperlink>
      <w:r w:rsidR="006D1219">
        <w:rPr>
          <w:rFonts w:cs="FrankRuehl" w:hint="cs"/>
          <w:sz w:val="22"/>
          <w:szCs w:val="22"/>
          <w:rtl/>
        </w:rPr>
        <w:t xml:space="preserve"> מיום 20.5.2019 עמ' 519 </w:t>
      </w:r>
      <w:r w:rsidR="006D1219">
        <w:rPr>
          <w:rFonts w:cs="FrankRuehl"/>
          <w:sz w:val="22"/>
          <w:szCs w:val="22"/>
          <w:rtl/>
        </w:rPr>
        <w:t>–</w:t>
      </w:r>
      <w:r w:rsidR="006D1219">
        <w:rPr>
          <w:rFonts w:cs="FrankRuehl" w:hint="cs"/>
          <w:sz w:val="22"/>
          <w:szCs w:val="22"/>
          <w:rtl/>
        </w:rPr>
        <w:t xml:space="preserve"> תיקון תשע"ט-2019.</w:t>
      </w:r>
    </w:p>
    <w:p w14:paraId="1EDC05A6" w14:textId="77777777" w:rsidR="00E66D08" w:rsidRDefault="00E66D08" w:rsidP="00E66D08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8" w:history="1">
        <w:r w:rsidR="002B4FF8" w:rsidRPr="00E66D08">
          <w:rPr>
            <w:rStyle w:val="Hyperlink"/>
            <w:rFonts w:cs="FrankRuehl" w:hint="cs"/>
            <w:sz w:val="22"/>
            <w:szCs w:val="22"/>
            <w:rtl/>
          </w:rPr>
          <w:t>ק"ת חש"ם תשפ"ב מס' 1157</w:t>
        </w:r>
      </w:hyperlink>
      <w:r w:rsidR="002B4FF8">
        <w:rPr>
          <w:rFonts w:cs="FrankRuehl" w:hint="cs"/>
          <w:sz w:val="22"/>
          <w:szCs w:val="22"/>
          <w:rtl/>
        </w:rPr>
        <w:t xml:space="preserve"> מיום 6.12.2021 עמ' 216 </w:t>
      </w:r>
      <w:r w:rsidR="002B4FF8">
        <w:rPr>
          <w:rFonts w:cs="FrankRuehl"/>
          <w:sz w:val="22"/>
          <w:szCs w:val="22"/>
          <w:rtl/>
        </w:rPr>
        <w:t>–</w:t>
      </w:r>
      <w:r w:rsidR="002B4FF8">
        <w:rPr>
          <w:rFonts w:cs="FrankRuehl" w:hint="cs"/>
          <w:sz w:val="22"/>
          <w:szCs w:val="22"/>
          <w:rtl/>
        </w:rPr>
        <w:t xml:space="preserve"> תיקון תשפ"ב-2021 בסעיף 18 לחוק עזר לראשון לציון (שמירת הסדר והניקיון) (תיקון), תשפ"ב-2021; תחילתו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8771" w14:textId="77777777"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574AB77E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6E3483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C234" w14:textId="77777777" w:rsidR="00691789" w:rsidRDefault="00691789" w:rsidP="00272BD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272BD9">
      <w:rPr>
        <w:rFonts w:hAnsi="FrankRuehl" w:cs="FrankRuehl" w:hint="cs"/>
        <w:color w:val="000000"/>
        <w:sz w:val="28"/>
        <w:szCs w:val="28"/>
        <w:rtl/>
      </w:rPr>
      <w:t>לראשון-לציון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תשמ"</w:t>
    </w:r>
    <w:r w:rsidR="00D70B3F">
      <w:rPr>
        <w:rFonts w:hAnsi="FrankRuehl" w:cs="FrankRuehl" w:hint="cs"/>
        <w:color w:val="000000"/>
        <w:sz w:val="28"/>
        <w:szCs w:val="28"/>
        <w:rtl/>
      </w:rPr>
      <w:t>ד-1984</w:t>
    </w:r>
  </w:p>
  <w:p w14:paraId="7E0D2EFC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D0818A" w14:textId="77777777"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24793"/>
    <w:rsid w:val="00036501"/>
    <w:rsid w:val="00054C75"/>
    <w:rsid w:val="000E036A"/>
    <w:rsid w:val="001103CE"/>
    <w:rsid w:val="00113B69"/>
    <w:rsid w:val="0014472A"/>
    <w:rsid w:val="00151AC2"/>
    <w:rsid w:val="00165B29"/>
    <w:rsid w:val="001D11AB"/>
    <w:rsid w:val="002470F4"/>
    <w:rsid w:val="00263EF2"/>
    <w:rsid w:val="0026591B"/>
    <w:rsid w:val="00272BD9"/>
    <w:rsid w:val="002A13EA"/>
    <w:rsid w:val="002A629E"/>
    <w:rsid w:val="002A768F"/>
    <w:rsid w:val="002B4FF8"/>
    <w:rsid w:val="0032093E"/>
    <w:rsid w:val="00360590"/>
    <w:rsid w:val="00360651"/>
    <w:rsid w:val="003A6612"/>
    <w:rsid w:val="003C3100"/>
    <w:rsid w:val="003E37DB"/>
    <w:rsid w:val="003F3A1E"/>
    <w:rsid w:val="003F5A42"/>
    <w:rsid w:val="004A16DC"/>
    <w:rsid w:val="005275D2"/>
    <w:rsid w:val="00530EA6"/>
    <w:rsid w:val="00582467"/>
    <w:rsid w:val="005A45C7"/>
    <w:rsid w:val="005C1B2F"/>
    <w:rsid w:val="00620D71"/>
    <w:rsid w:val="0065674C"/>
    <w:rsid w:val="0068533E"/>
    <w:rsid w:val="006911A2"/>
    <w:rsid w:val="00691789"/>
    <w:rsid w:val="00696BB4"/>
    <w:rsid w:val="006A287D"/>
    <w:rsid w:val="006A2C45"/>
    <w:rsid w:val="006A5DE3"/>
    <w:rsid w:val="006D1219"/>
    <w:rsid w:val="006E6583"/>
    <w:rsid w:val="00704FE1"/>
    <w:rsid w:val="00714158"/>
    <w:rsid w:val="007147BA"/>
    <w:rsid w:val="007176F7"/>
    <w:rsid w:val="00720AB8"/>
    <w:rsid w:val="00733571"/>
    <w:rsid w:val="00733981"/>
    <w:rsid w:val="0075594C"/>
    <w:rsid w:val="007563CB"/>
    <w:rsid w:val="007573AA"/>
    <w:rsid w:val="00773F82"/>
    <w:rsid w:val="00780D50"/>
    <w:rsid w:val="007C0F2F"/>
    <w:rsid w:val="007C395F"/>
    <w:rsid w:val="00833015"/>
    <w:rsid w:val="0087172C"/>
    <w:rsid w:val="00882529"/>
    <w:rsid w:val="008832D3"/>
    <w:rsid w:val="008A4A26"/>
    <w:rsid w:val="008C7BD0"/>
    <w:rsid w:val="008E1BE4"/>
    <w:rsid w:val="008E37EE"/>
    <w:rsid w:val="008F6615"/>
    <w:rsid w:val="009125FF"/>
    <w:rsid w:val="00914C43"/>
    <w:rsid w:val="0091524D"/>
    <w:rsid w:val="00923837"/>
    <w:rsid w:val="00940118"/>
    <w:rsid w:val="00940B6F"/>
    <w:rsid w:val="00976500"/>
    <w:rsid w:val="00992CC1"/>
    <w:rsid w:val="00A432FB"/>
    <w:rsid w:val="00A60385"/>
    <w:rsid w:val="00A64F2A"/>
    <w:rsid w:val="00A71326"/>
    <w:rsid w:val="00A9617D"/>
    <w:rsid w:val="00B131FE"/>
    <w:rsid w:val="00B971B7"/>
    <w:rsid w:val="00BB55FC"/>
    <w:rsid w:val="00BD495E"/>
    <w:rsid w:val="00C02872"/>
    <w:rsid w:val="00C13F50"/>
    <w:rsid w:val="00CA7379"/>
    <w:rsid w:val="00CB2BB9"/>
    <w:rsid w:val="00CD600C"/>
    <w:rsid w:val="00CE06E3"/>
    <w:rsid w:val="00D10264"/>
    <w:rsid w:val="00D12FCD"/>
    <w:rsid w:val="00D13893"/>
    <w:rsid w:val="00D50DAD"/>
    <w:rsid w:val="00D52A49"/>
    <w:rsid w:val="00D54DD2"/>
    <w:rsid w:val="00D64D20"/>
    <w:rsid w:val="00D70B3F"/>
    <w:rsid w:val="00D74A41"/>
    <w:rsid w:val="00D821E7"/>
    <w:rsid w:val="00D94EBC"/>
    <w:rsid w:val="00DA3DDE"/>
    <w:rsid w:val="00DB00A5"/>
    <w:rsid w:val="00DC533E"/>
    <w:rsid w:val="00DF5F74"/>
    <w:rsid w:val="00E21D69"/>
    <w:rsid w:val="00E4402F"/>
    <w:rsid w:val="00E51D7F"/>
    <w:rsid w:val="00E55C2A"/>
    <w:rsid w:val="00E57ADC"/>
    <w:rsid w:val="00E66D08"/>
    <w:rsid w:val="00E74B11"/>
    <w:rsid w:val="00E8696C"/>
    <w:rsid w:val="00E92E8C"/>
    <w:rsid w:val="00ED617B"/>
    <w:rsid w:val="00EE1EA6"/>
    <w:rsid w:val="00EF3526"/>
    <w:rsid w:val="00F03622"/>
    <w:rsid w:val="00F170B7"/>
    <w:rsid w:val="00FC1337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4AD94437"/>
  <w15:chartTrackingRefBased/>
  <w15:docId w15:val="{AB76E67B-B8D9-4287-AA90-4ED4ACBF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1157.pdf" TargetMode="External"/><Relationship Id="rId3" Type="http://schemas.openxmlformats.org/officeDocument/2006/relationships/hyperlink" Target="http://www.nevo.co.il/Law_word/law07/mekomi-0467.pdf" TargetMode="External"/><Relationship Id="rId7" Type="http://schemas.openxmlformats.org/officeDocument/2006/relationships/hyperlink" Target="http://www.nevo.co.il/Law_word/law07/mekomi-0957.pdf" TargetMode="External"/><Relationship Id="rId2" Type="http://schemas.openxmlformats.org/officeDocument/2006/relationships/hyperlink" Target="http://www.nevo.co.il/Law_word/law07/mekomi-0385.pdf" TargetMode="External"/><Relationship Id="rId1" Type="http://schemas.openxmlformats.org/officeDocument/2006/relationships/hyperlink" Target="http://www.nevo.co.il/Law_word/law07/mekomi-0247.pdf" TargetMode="External"/><Relationship Id="rId6" Type="http://schemas.openxmlformats.org/officeDocument/2006/relationships/hyperlink" Target="http://www.nevo.co.il/Law_word/law07/mekomi-0619.pdf" TargetMode="External"/><Relationship Id="rId5" Type="http://schemas.openxmlformats.org/officeDocument/2006/relationships/hyperlink" Target="http://www.nevo.co.il/Law_word/law07/mekomi-0588.pdf" TargetMode="External"/><Relationship Id="rId4" Type="http://schemas.openxmlformats.org/officeDocument/2006/relationships/hyperlink" Target="http://www.nevo.co.il/Law_word/law07/mekomi-05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3094</CharactersWithSpaces>
  <SharedDoc>false</SharedDoc>
  <HLinks>
    <vt:vector size="96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http://www.nevo.co.il/Law_word/law07/mekomi-1157.pdf</vt:lpwstr>
      </vt:variant>
      <vt:variant>
        <vt:lpwstr/>
      </vt:variant>
      <vt:variant>
        <vt:i4>7536664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http://www.nevo.co.il/Law_word/law07/mekomi-0957.pdf</vt:lpwstr>
      </vt:variant>
      <vt:variant>
        <vt:lpwstr/>
      </vt:variant>
      <vt:variant>
        <vt:i4>7471132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http://www.nevo.co.il/Law_word/law07/mekomi-0619.pdf</vt:lpwstr>
      </vt:variant>
      <vt:variant>
        <vt:lpwstr/>
      </vt:variant>
      <vt:variant>
        <vt:i4>7340053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http://www.nevo.co.il/Law_word/law07/mekomi-0588.pdf</vt:lpwstr>
      </vt:variant>
      <vt:variant>
        <vt:lpwstr/>
      </vt:variant>
      <vt:variant>
        <vt:i4>7929886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http://www.nevo.co.il/Law_word/law07/mekomi-0531.pdf</vt:lpwstr>
      </vt:variant>
      <vt:variant>
        <vt:lpwstr/>
      </vt:variant>
      <vt:variant>
        <vt:i4>8257563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http://www.nevo.co.il/Law_word/law07/mekomi-0467.pdf</vt:lpwstr>
      </vt:variant>
      <vt:variant>
        <vt:lpwstr/>
      </vt:variant>
      <vt:variant>
        <vt:i4>8060949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http://www.nevo.co.il/Law_word/law07/mekomi-0385.pdf</vt:lpwstr>
      </vt:variant>
      <vt:variant>
        <vt:lpwstr/>
      </vt:variant>
      <vt:variant>
        <vt:i4>7864345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לראשון-לציון (הצמדה למדד), תשמ"ד-1984</vt:lpwstr>
  </property>
  <property fmtid="{D5CDD505-2E9C-101B-9397-08002B2CF9AE}" pid="5" name="LAWNUMBER">
    <vt:lpwstr>007_010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http://www.nevo.co.il/Law_word/law07/mekomi-1157.pdf;‎רשומות - תקנות חש"ם#ק"ת חש"ם תשפ"ב מס' ‏‏1157 #מיום 6.12.2021 עמ' 216 – תיקון תשפ"ב-2021 בסעיף 18 לחוק עזר לראשון לציון (שמירת הסדר והניקיון) (תיקון), ‏תשפ"ב-2021; תחילתו ביום 1.1.2022‏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http://www.nevo.co.il/Law_word/law07/mekomi-0957.pdf;‎רשומות - תקנות חש"ם#ק"ת חש"ם תשע"ט מס' ‏‏957 #מיום 20.5.2019 עמ' 519 – תיקון תשע"ט-2019‏</vt:lpwstr>
  </property>
</Properties>
</file>