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C5AA" w14:textId="77777777" w:rsidR="00F62C56" w:rsidRDefault="00E36CFF" w:rsidP="00680267">
      <w:pPr>
        <w:pStyle w:val="big-header"/>
        <w:ind w:left="0" w:right="1134"/>
        <w:rPr>
          <w:rFonts w:cs="FrankRuehl"/>
          <w:sz w:val="32"/>
        </w:rPr>
      </w:pPr>
      <w:r>
        <w:rPr>
          <w:rFonts w:cs="FrankRuehl" w:hint="cs"/>
          <w:sz w:val="32"/>
          <w:rtl/>
        </w:rPr>
        <w:t xml:space="preserve">חוק עזר </w:t>
      </w:r>
      <w:r w:rsidR="00680267">
        <w:rPr>
          <w:rFonts w:cs="FrankRuehl" w:hint="cs"/>
          <w:sz w:val="32"/>
          <w:rtl/>
        </w:rPr>
        <w:t>לרמלה</w:t>
      </w:r>
      <w:r>
        <w:rPr>
          <w:rFonts w:cs="FrankRuehl" w:hint="cs"/>
          <w:sz w:val="32"/>
          <w:rtl/>
        </w:rPr>
        <w:t xml:space="preserve"> (ביוב), </w:t>
      </w:r>
      <w:r w:rsidR="00680267">
        <w:rPr>
          <w:rFonts w:cs="FrankRuehl" w:hint="cs"/>
          <w:sz w:val="32"/>
          <w:rtl/>
        </w:rPr>
        <w:t>תשנ"ט-1998</w:t>
      </w:r>
    </w:p>
    <w:p w14:paraId="34FFB970" w14:textId="77777777" w:rsidR="0077133C" w:rsidRPr="0077133C" w:rsidRDefault="0077133C" w:rsidP="0077133C">
      <w:pPr>
        <w:spacing w:line="320" w:lineRule="auto"/>
        <w:jc w:val="left"/>
        <w:rPr>
          <w:rFonts w:cs="FrankRuehl"/>
          <w:szCs w:val="26"/>
          <w:rtl/>
        </w:rPr>
      </w:pPr>
    </w:p>
    <w:p w14:paraId="5179DDBF" w14:textId="77777777" w:rsidR="0077133C" w:rsidRDefault="0077133C" w:rsidP="0077133C">
      <w:pPr>
        <w:spacing w:line="320" w:lineRule="auto"/>
        <w:jc w:val="left"/>
        <w:rPr>
          <w:rtl/>
        </w:rPr>
      </w:pPr>
    </w:p>
    <w:p w14:paraId="4B3CCB5E" w14:textId="77777777" w:rsidR="0077133C" w:rsidRDefault="0077133C" w:rsidP="0077133C">
      <w:pPr>
        <w:spacing w:line="320" w:lineRule="auto"/>
        <w:jc w:val="left"/>
        <w:rPr>
          <w:rFonts w:cs="FrankRuehl"/>
          <w:szCs w:val="26"/>
          <w:rtl/>
        </w:rPr>
      </w:pPr>
      <w:r w:rsidRPr="0077133C">
        <w:rPr>
          <w:rFonts w:cs="Miriam"/>
          <w:szCs w:val="22"/>
          <w:rtl/>
        </w:rPr>
        <w:t>רשויות ומשפט מנהלי</w:t>
      </w:r>
      <w:r w:rsidRPr="0077133C">
        <w:rPr>
          <w:rFonts w:cs="FrankRuehl"/>
          <w:szCs w:val="26"/>
          <w:rtl/>
        </w:rPr>
        <w:t xml:space="preserve"> – רשויות מקומיות – ביוב</w:t>
      </w:r>
    </w:p>
    <w:p w14:paraId="7652ACF6" w14:textId="77777777" w:rsidR="0077133C" w:rsidRPr="0077133C" w:rsidRDefault="0077133C" w:rsidP="0077133C">
      <w:pPr>
        <w:spacing w:line="320" w:lineRule="auto"/>
        <w:jc w:val="left"/>
        <w:rPr>
          <w:rFonts w:cs="Miriam"/>
          <w:szCs w:val="22"/>
          <w:rtl/>
        </w:rPr>
      </w:pPr>
      <w:r w:rsidRPr="0077133C">
        <w:rPr>
          <w:rFonts w:cs="Miriam"/>
          <w:szCs w:val="22"/>
          <w:rtl/>
        </w:rPr>
        <w:t>רשויות ומשפט מנהלי</w:t>
      </w:r>
      <w:r w:rsidRPr="0077133C">
        <w:rPr>
          <w:rFonts w:cs="FrankRuehl"/>
          <w:szCs w:val="26"/>
          <w:rtl/>
        </w:rPr>
        <w:t xml:space="preserve"> – רשויות מקומיות – חוקי עזר</w:t>
      </w:r>
    </w:p>
    <w:p w14:paraId="5CC25513" w14:textId="77777777" w:rsidR="00F62C56" w:rsidRDefault="00F62C56">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31098" w:rsidRPr="00631098" w14:paraId="78F82205" w14:textId="77777777">
        <w:tblPrEx>
          <w:tblCellMar>
            <w:top w:w="0" w:type="dxa"/>
            <w:bottom w:w="0" w:type="dxa"/>
          </w:tblCellMar>
        </w:tblPrEx>
        <w:tc>
          <w:tcPr>
            <w:tcW w:w="1247" w:type="dxa"/>
          </w:tcPr>
          <w:p w14:paraId="26468F8C" w14:textId="77777777" w:rsidR="00631098" w:rsidRPr="00631098" w:rsidRDefault="00631098" w:rsidP="00631098">
            <w:pPr>
              <w:spacing w:line="240" w:lineRule="auto"/>
              <w:jc w:val="left"/>
              <w:rPr>
                <w:rFonts w:cs="Frankruhel"/>
                <w:sz w:val="24"/>
                <w:rtl/>
              </w:rPr>
            </w:pPr>
            <w:r>
              <w:rPr>
                <w:sz w:val="24"/>
                <w:rtl/>
              </w:rPr>
              <w:t xml:space="preserve">סעיף 1 </w:t>
            </w:r>
          </w:p>
        </w:tc>
        <w:tc>
          <w:tcPr>
            <w:tcW w:w="5669" w:type="dxa"/>
          </w:tcPr>
          <w:p w14:paraId="7BFDB8EF" w14:textId="77777777" w:rsidR="00631098" w:rsidRPr="00631098" w:rsidRDefault="00631098" w:rsidP="00631098">
            <w:pPr>
              <w:spacing w:line="240" w:lineRule="auto"/>
              <w:jc w:val="left"/>
              <w:rPr>
                <w:rFonts w:cs="Frankruhel"/>
                <w:sz w:val="24"/>
                <w:rtl/>
              </w:rPr>
            </w:pPr>
            <w:r>
              <w:rPr>
                <w:sz w:val="24"/>
                <w:rtl/>
              </w:rPr>
              <w:t>הגדרות</w:t>
            </w:r>
          </w:p>
        </w:tc>
        <w:tc>
          <w:tcPr>
            <w:tcW w:w="567" w:type="dxa"/>
          </w:tcPr>
          <w:p w14:paraId="4FACA92D" w14:textId="77777777" w:rsidR="00631098" w:rsidRPr="00631098" w:rsidRDefault="00631098" w:rsidP="00631098">
            <w:pPr>
              <w:spacing w:line="240" w:lineRule="auto"/>
              <w:jc w:val="left"/>
              <w:rPr>
                <w:rStyle w:val="Hyperlink"/>
                <w:rtl/>
              </w:rPr>
            </w:pPr>
            <w:hyperlink w:anchor="Seif1" w:tooltip="הגדרות" w:history="1">
              <w:r w:rsidRPr="00631098">
                <w:rPr>
                  <w:rStyle w:val="Hyperlink"/>
                </w:rPr>
                <w:t>Go</w:t>
              </w:r>
            </w:hyperlink>
          </w:p>
        </w:tc>
        <w:tc>
          <w:tcPr>
            <w:tcW w:w="850" w:type="dxa"/>
          </w:tcPr>
          <w:p w14:paraId="2DE30308"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631098" w:rsidRPr="00631098" w14:paraId="6243A9AF" w14:textId="77777777">
        <w:tblPrEx>
          <w:tblCellMar>
            <w:top w:w="0" w:type="dxa"/>
            <w:bottom w:w="0" w:type="dxa"/>
          </w:tblCellMar>
        </w:tblPrEx>
        <w:tc>
          <w:tcPr>
            <w:tcW w:w="1247" w:type="dxa"/>
          </w:tcPr>
          <w:p w14:paraId="623E0B08" w14:textId="77777777" w:rsidR="00631098" w:rsidRPr="00631098" w:rsidRDefault="00631098" w:rsidP="00631098">
            <w:pPr>
              <w:spacing w:line="240" w:lineRule="auto"/>
              <w:jc w:val="left"/>
              <w:rPr>
                <w:rFonts w:cs="Frankruhel"/>
                <w:sz w:val="24"/>
                <w:rtl/>
              </w:rPr>
            </w:pPr>
            <w:r>
              <w:rPr>
                <w:sz w:val="24"/>
                <w:rtl/>
              </w:rPr>
              <w:t xml:space="preserve">סעיף 2 </w:t>
            </w:r>
          </w:p>
        </w:tc>
        <w:tc>
          <w:tcPr>
            <w:tcW w:w="5669" w:type="dxa"/>
          </w:tcPr>
          <w:p w14:paraId="013A1D6F" w14:textId="77777777" w:rsidR="00631098" w:rsidRPr="00631098" w:rsidRDefault="00631098" w:rsidP="00631098">
            <w:pPr>
              <w:spacing w:line="240" w:lineRule="auto"/>
              <w:jc w:val="left"/>
              <w:rPr>
                <w:rFonts w:cs="Frankruhel"/>
                <w:sz w:val="24"/>
                <w:rtl/>
              </w:rPr>
            </w:pPr>
            <w:r>
              <w:rPr>
                <w:sz w:val="24"/>
                <w:rtl/>
              </w:rPr>
              <w:t>היטל ביוב</w:t>
            </w:r>
          </w:p>
        </w:tc>
        <w:tc>
          <w:tcPr>
            <w:tcW w:w="567" w:type="dxa"/>
          </w:tcPr>
          <w:p w14:paraId="2D87D18A" w14:textId="77777777" w:rsidR="00631098" w:rsidRPr="00631098" w:rsidRDefault="00631098" w:rsidP="00631098">
            <w:pPr>
              <w:spacing w:line="240" w:lineRule="auto"/>
              <w:jc w:val="left"/>
              <w:rPr>
                <w:rStyle w:val="Hyperlink"/>
                <w:rtl/>
              </w:rPr>
            </w:pPr>
            <w:hyperlink w:anchor="Seif2" w:tooltip="היטל ביוב" w:history="1">
              <w:r w:rsidRPr="00631098">
                <w:rPr>
                  <w:rStyle w:val="Hyperlink"/>
                </w:rPr>
                <w:t>Go</w:t>
              </w:r>
            </w:hyperlink>
          </w:p>
        </w:tc>
        <w:tc>
          <w:tcPr>
            <w:tcW w:w="850" w:type="dxa"/>
          </w:tcPr>
          <w:p w14:paraId="4E7E6709"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31098" w:rsidRPr="00631098" w14:paraId="3F80DA4A" w14:textId="77777777">
        <w:tblPrEx>
          <w:tblCellMar>
            <w:top w:w="0" w:type="dxa"/>
            <w:bottom w:w="0" w:type="dxa"/>
          </w:tblCellMar>
        </w:tblPrEx>
        <w:tc>
          <w:tcPr>
            <w:tcW w:w="1247" w:type="dxa"/>
          </w:tcPr>
          <w:p w14:paraId="58D185D3" w14:textId="77777777" w:rsidR="00631098" w:rsidRPr="00631098" w:rsidRDefault="00631098" w:rsidP="00631098">
            <w:pPr>
              <w:spacing w:line="240" w:lineRule="auto"/>
              <w:jc w:val="left"/>
              <w:rPr>
                <w:rFonts w:cs="Frankruhel"/>
                <w:sz w:val="24"/>
                <w:rtl/>
              </w:rPr>
            </w:pPr>
            <w:r>
              <w:rPr>
                <w:sz w:val="24"/>
                <w:rtl/>
              </w:rPr>
              <w:t xml:space="preserve">סעיף 3 </w:t>
            </w:r>
          </w:p>
        </w:tc>
        <w:tc>
          <w:tcPr>
            <w:tcW w:w="5669" w:type="dxa"/>
          </w:tcPr>
          <w:p w14:paraId="7907D507" w14:textId="77777777" w:rsidR="00631098" w:rsidRPr="00631098" w:rsidRDefault="00631098" w:rsidP="00631098">
            <w:pPr>
              <w:spacing w:line="240" w:lineRule="auto"/>
              <w:jc w:val="left"/>
              <w:rPr>
                <w:rFonts w:cs="Frankruhel"/>
                <w:sz w:val="24"/>
                <w:rtl/>
              </w:rPr>
            </w:pPr>
            <w:r>
              <w:rPr>
                <w:sz w:val="24"/>
                <w:rtl/>
              </w:rPr>
              <w:t>חישוב ההיטל לנכס למגורים</w:t>
            </w:r>
          </w:p>
        </w:tc>
        <w:tc>
          <w:tcPr>
            <w:tcW w:w="567" w:type="dxa"/>
          </w:tcPr>
          <w:p w14:paraId="3C846488" w14:textId="77777777" w:rsidR="00631098" w:rsidRPr="00631098" w:rsidRDefault="00631098" w:rsidP="00631098">
            <w:pPr>
              <w:spacing w:line="240" w:lineRule="auto"/>
              <w:jc w:val="left"/>
              <w:rPr>
                <w:rStyle w:val="Hyperlink"/>
                <w:rtl/>
              </w:rPr>
            </w:pPr>
            <w:hyperlink w:anchor="Seif3" w:tooltip="חישוב ההיטל לנכס למגורים" w:history="1">
              <w:r w:rsidRPr="00631098">
                <w:rPr>
                  <w:rStyle w:val="Hyperlink"/>
                </w:rPr>
                <w:t>Go</w:t>
              </w:r>
            </w:hyperlink>
          </w:p>
        </w:tc>
        <w:tc>
          <w:tcPr>
            <w:tcW w:w="850" w:type="dxa"/>
          </w:tcPr>
          <w:p w14:paraId="3E1179F7"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631098" w:rsidRPr="00631098" w14:paraId="14A309AF" w14:textId="77777777">
        <w:tblPrEx>
          <w:tblCellMar>
            <w:top w:w="0" w:type="dxa"/>
            <w:bottom w:w="0" w:type="dxa"/>
          </w:tblCellMar>
        </w:tblPrEx>
        <w:tc>
          <w:tcPr>
            <w:tcW w:w="1247" w:type="dxa"/>
          </w:tcPr>
          <w:p w14:paraId="4D430F64" w14:textId="77777777" w:rsidR="00631098" w:rsidRPr="00631098" w:rsidRDefault="00631098" w:rsidP="00631098">
            <w:pPr>
              <w:spacing w:line="240" w:lineRule="auto"/>
              <w:jc w:val="left"/>
              <w:rPr>
                <w:rFonts w:cs="Frankruhel"/>
                <w:sz w:val="24"/>
                <w:rtl/>
              </w:rPr>
            </w:pPr>
            <w:r>
              <w:rPr>
                <w:sz w:val="24"/>
                <w:rtl/>
              </w:rPr>
              <w:t xml:space="preserve">סעיף 4 </w:t>
            </w:r>
          </w:p>
        </w:tc>
        <w:tc>
          <w:tcPr>
            <w:tcW w:w="5669" w:type="dxa"/>
          </w:tcPr>
          <w:p w14:paraId="20B2463F" w14:textId="77777777" w:rsidR="00631098" w:rsidRPr="00631098" w:rsidRDefault="00631098" w:rsidP="00631098">
            <w:pPr>
              <w:spacing w:line="240" w:lineRule="auto"/>
              <w:jc w:val="left"/>
              <w:rPr>
                <w:rFonts w:cs="Frankruhel"/>
                <w:sz w:val="24"/>
                <w:rtl/>
              </w:rPr>
            </w:pPr>
            <w:r>
              <w:rPr>
                <w:sz w:val="24"/>
                <w:rtl/>
              </w:rPr>
              <w:t>חישוב ההיטל לנכס לתעשיה ולבית עסק</w:t>
            </w:r>
          </w:p>
        </w:tc>
        <w:tc>
          <w:tcPr>
            <w:tcW w:w="567" w:type="dxa"/>
          </w:tcPr>
          <w:p w14:paraId="723DAD55" w14:textId="77777777" w:rsidR="00631098" w:rsidRPr="00631098" w:rsidRDefault="00631098" w:rsidP="00631098">
            <w:pPr>
              <w:spacing w:line="240" w:lineRule="auto"/>
              <w:jc w:val="left"/>
              <w:rPr>
                <w:rStyle w:val="Hyperlink"/>
                <w:rtl/>
              </w:rPr>
            </w:pPr>
            <w:hyperlink w:anchor="Seif4" w:tooltip="חישוב ההיטל לנכס לתעשיה ולבית עסק" w:history="1">
              <w:r w:rsidRPr="00631098">
                <w:rPr>
                  <w:rStyle w:val="Hyperlink"/>
                </w:rPr>
                <w:t>Go</w:t>
              </w:r>
            </w:hyperlink>
          </w:p>
        </w:tc>
        <w:tc>
          <w:tcPr>
            <w:tcW w:w="850" w:type="dxa"/>
          </w:tcPr>
          <w:p w14:paraId="432F9CE6"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1098" w:rsidRPr="00631098" w14:paraId="6B7F942A" w14:textId="77777777">
        <w:tblPrEx>
          <w:tblCellMar>
            <w:top w:w="0" w:type="dxa"/>
            <w:bottom w:w="0" w:type="dxa"/>
          </w:tblCellMar>
        </w:tblPrEx>
        <w:tc>
          <w:tcPr>
            <w:tcW w:w="1247" w:type="dxa"/>
          </w:tcPr>
          <w:p w14:paraId="4DB74827" w14:textId="77777777" w:rsidR="00631098" w:rsidRPr="00631098" w:rsidRDefault="00631098" w:rsidP="00631098">
            <w:pPr>
              <w:spacing w:line="240" w:lineRule="auto"/>
              <w:jc w:val="left"/>
              <w:rPr>
                <w:rFonts w:cs="Frankruhel"/>
                <w:sz w:val="24"/>
                <w:rtl/>
              </w:rPr>
            </w:pPr>
            <w:r>
              <w:rPr>
                <w:sz w:val="24"/>
                <w:rtl/>
              </w:rPr>
              <w:t xml:space="preserve">סעיף 5 </w:t>
            </w:r>
          </w:p>
        </w:tc>
        <w:tc>
          <w:tcPr>
            <w:tcW w:w="5669" w:type="dxa"/>
          </w:tcPr>
          <w:p w14:paraId="0B57E83F" w14:textId="77777777" w:rsidR="00631098" w:rsidRPr="00631098" w:rsidRDefault="00631098" w:rsidP="00631098">
            <w:pPr>
              <w:spacing w:line="240" w:lineRule="auto"/>
              <w:jc w:val="left"/>
              <w:rPr>
                <w:rFonts w:cs="Frankruhel"/>
                <w:sz w:val="24"/>
                <w:rtl/>
              </w:rPr>
            </w:pPr>
            <w:r>
              <w:rPr>
                <w:sz w:val="24"/>
                <w:rtl/>
              </w:rPr>
              <w:t>פטור לקרקע חקלאית</w:t>
            </w:r>
          </w:p>
        </w:tc>
        <w:tc>
          <w:tcPr>
            <w:tcW w:w="567" w:type="dxa"/>
          </w:tcPr>
          <w:p w14:paraId="467577D4" w14:textId="77777777" w:rsidR="00631098" w:rsidRPr="00631098" w:rsidRDefault="00631098" w:rsidP="00631098">
            <w:pPr>
              <w:spacing w:line="240" w:lineRule="auto"/>
              <w:jc w:val="left"/>
              <w:rPr>
                <w:rStyle w:val="Hyperlink"/>
                <w:rtl/>
              </w:rPr>
            </w:pPr>
            <w:hyperlink w:anchor="Seif5" w:tooltip="פטור לקרקע חקלאית" w:history="1">
              <w:r w:rsidRPr="00631098">
                <w:rPr>
                  <w:rStyle w:val="Hyperlink"/>
                </w:rPr>
                <w:t>Go</w:t>
              </w:r>
            </w:hyperlink>
          </w:p>
        </w:tc>
        <w:tc>
          <w:tcPr>
            <w:tcW w:w="850" w:type="dxa"/>
          </w:tcPr>
          <w:p w14:paraId="2382C9AC"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1098" w:rsidRPr="00631098" w14:paraId="512D6D79" w14:textId="77777777">
        <w:tblPrEx>
          <w:tblCellMar>
            <w:top w:w="0" w:type="dxa"/>
            <w:bottom w:w="0" w:type="dxa"/>
          </w:tblCellMar>
        </w:tblPrEx>
        <w:tc>
          <w:tcPr>
            <w:tcW w:w="1247" w:type="dxa"/>
          </w:tcPr>
          <w:p w14:paraId="1863F071" w14:textId="77777777" w:rsidR="00631098" w:rsidRPr="00631098" w:rsidRDefault="00631098" w:rsidP="00631098">
            <w:pPr>
              <w:spacing w:line="240" w:lineRule="auto"/>
              <w:jc w:val="left"/>
              <w:rPr>
                <w:rFonts w:cs="Frankruhel"/>
                <w:sz w:val="24"/>
                <w:rtl/>
              </w:rPr>
            </w:pPr>
            <w:r>
              <w:rPr>
                <w:sz w:val="24"/>
                <w:rtl/>
              </w:rPr>
              <w:t xml:space="preserve">סעיף 6 </w:t>
            </w:r>
          </w:p>
        </w:tc>
        <w:tc>
          <w:tcPr>
            <w:tcW w:w="5669" w:type="dxa"/>
          </w:tcPr>
          <w:p w14:paraId="4D0BE928" w14:textId="77777777" w:rsidR="00631098" w:rsidRPr="00631098" w:rsidRDefault="00631098" w:rsidP="00631098">
            <w:pPr>
              <w:spacing w:line="240" w:lineRule="auto"/>
              <w:jc w:val="left"/>
              <w:rPr>
                <w:rFonts w:cs="Frankruhel"/>
                <w:sz w:val="24"/>
                <w:rtl/>
              </w:rPr>
            </w:pPr>
            <w:r>
              <w:rPr>
                <w:sz w:val="24"/>
                <w:rtl/>
              </w:rPr>
              <w:t>חיבור ביב פרטי</w:t>
            </w:r>
          </w:p>
        </w:tc>
        <w:tc>
          <w:tcPr>
            <w:tcW w:w="567" w:type="dxa"/>
          </w:tcPr>
          <w:p w14:paraId="5CFC6FA8" w14:textId="77777777" w:rsidR="00631098" w:rsidRPr="00631098" w:rsidRDefault="00631098" w:rsidP="00631098">
            <w:pPr>
              <w:spacing w:line="240" w:lineRule="auto"/>
              <w:jc w:val="left"/>
              <w:rPr>
                <w:rStyle w:val="Hyperlink"/>
                <w:rtl/>
              </w:rPr>
            </w:pPr>
            <w:hyperlink w:anchor="Seif6" w:tooltip="חיבור ביב פרטי" w:history="1">
              <w:r w:rsidRPr="00631098">
                <w:rPr>
                  <w:rStyle w:val="Hyperlink"/>
                </w:rPr>
                <w:t>Go</w:t>
              </w:r>
            </w:hyperlink>
          </w:p>
        </w:tc>
        <w:tc>
          <w:tcPr>
            <w:tcW w:w="850" w:type="dxa"/>
          </w:tcPr>
          <w:p w14:paraId="5B546ED9"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1098" w:rsidRPr="00631098" w14:paraId="23A22A6C" w14:textId="77777777">
        <w:tblPrEx>
          <w:tblCellMar>
            <w:top w:w="0" w:type="dxa"/>
            <w:bottom w:w="0" w:type="dxa"/>
          </w:tblCellMar>
        </w:tblPrEx>
        <w:tc>
          <w:tcPr>
            <w:tcW w:w="1247" w:type="dxa"/>
          </w:tcPr>
          <w:p w14:paraId="56CD9159" w14:textId="77777777" w:rsidR="00631098" w:rsidRPr="00631098" w:rsidRDefault="00631098" w:rsidP="00631098">
            <w:pPr>
              <w:spacing w:line="240" w:lineRule="auto"/>
              <w:jc w:val="left"/>
              <w:rPr>
                <w:rFonts w:cs="Frankruhel"/>
                <w:sz w:val="24"/>
                <w:rtl/>
              </w:rPr>
            </w:pPr>
            <w:r>
              <w:rPr>
                <w:sz w:val="24"/>
                <w:rtl/>
              </w:rPr>
              <w:t xml:space="preserve">סעיף 7 </w:t>
            </w:r>
          </w:p>
        </w:tc>
        <w:tc>
          <w:tcPr>
            <w:tcW w:w="5669" w:type="dxa"/>
          </w:tcPr>
          <w:p w14:paraId="274DEDBB" w14:textId="77777777" w:rsidR="00631098" w:rsidRPr="00631098" w:rsidRDefault="00631098" w:rsidP="00631098">
            <w:pPr>
              <w:spacing w:line="240" w:lineRule="auto"/>
              <w:jc w:val="left"/>
              <w:rPr>
                <w:rFonts w:cs="Frankruhel"/>
                <w:sz w:val="24"/>
                <w:rtl/>
              </w:rPr>
            </w:pPr>
            <w:r>
              <w:rPr>
                <w:sz w:val="24"/>
                <w:rtl/>
              </w:rPr>
              <w:t>התקנת ביוב</w:t>
            </w:r>
          </w:p>
        </w:tc>
        <w:tc>
          <w:tcPr>
            <w:tcW w:w="567" w:type="dxa"/>
          </w:tcPr>
          <w:p w14:paraId="73A5F613" w14:textId="77777777" w:rsidR="00631098" w:rsidRPr="00631098" w:rsidRDefault="00631098" w:rsidP="00631098">
            <w:pPr>
              <w:spacing w:line="240" w:lineRule="auto"/>
              <w:jc w:val="left"/>
              <w:rPr>
                <w:rStyle w:val="Hyperlink"/>
                <w:rtl/>
              </w:rPr>
            </w:pPr>
            <w:hyperlink w:anchor="Seif7" w:tooltip="התקנת ביוב" w:history="1">
              <w:r w:rsidRPr="00631098">
                <w:rPr>
                  <w:rStyle w:val="Hyperlink"/>
                </w:rPr>
                <w:t>Go</w:t>
              </w:r>
            </w:hyperlink>
          </w:p>
        </w:tc>
        <w:tc>
          <w:tcPr>
            <w:tcW w:w="850" w:type="dxa"/>
          </w:tcPr>
          <w:p w14:paraId="40DE1A42"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631098" w:rsidRPr="00631098" w14:paraId="29EAE43B" w14:textId="77777777">
        <w:tblPrEx>
          <w:tblCellMar>
            <w:top w:w="0" w:type="dxa"/>
            <w:bottom w:w="0" w:type="dxa"/>
          </w:tblCellMar>
        </w:tblPrEx>
        <w:tc>
          <w:tcPr>
            <w:tcW w:w="1247" w:type="dxa"/>
          </w:tcPr>
          <w:p w14:paraId="1F423FE9" w14:textId="77777777" w:rsidR="00631098" w:rsidRPr="00631098" w:rsidRDefault="00631098" w:rsidP="00631098">
            <w:pPr>
              <w:spacing w:line="240" w:lineRule="auto"/>
              <w:jc w:val="left"/>
              <w:rPr>
                <w:rFonts w:cs="Frankruhel"/>
                <w:sz w:val="24"/>
                <w:rtl/>
              </w:rPr>
            </w:pPr>
            <w:r>
              <w:rPr>
                <w:sz w:val="24"/>
                <w:rtl/>
              </w:rPr>
              <w:t xml:space="preserve">סעיף 8 </w:t>
            </w:r>
          </w:p>
        </w:tc>
        <w:tc>
          <w:tcPr>
            <w:tcW w:w="5669" w:type="dxa"/>
          </w:tcPr>
          <w:p w14:paraId="4B9A9CD8" w14:textId="77777777" w:rsidR="00631098" w:rsidRPr="00631098" w:rsidRDefault="00631098" w:rsidP="00631098">
            <w:pPr>
              <w:spacing w:line="240" w:lineRule="auto"/>
              <w:jc w:val="left"/>
              <w:rPr>
                <w:rFonts w:cs="Frankruhel"/>
                <w:sz w:val="24"/>
                <w:rtl/>
              </w:rPr>
            </w:pPr>
            <w:r>
              <w:rPr>
                <w:sz w:val="24"/>
                <w:rtl/>
              </w:rPr>
              <w:t>ביצוע עבודות לפי הסכם</w:t>
            </w:r>
          </w:p>
        </w:tc>
        <w:tc>
          <w:tcPr>
            <w:tcW w:w="567" w:type="dxa"/>
          </w:tcPr>
          <w:p w14:paraId="057FE416" w14:textId="77777777" w:rsidR="00631098" w:rsidRPr="00631098" w:rsidRDefault="00631098" w:rsidP="00631098">
            <w:pPr>
              <w:spacing w:line="240" w:lineRule="auto"/>
              <w:jc w:val="left"/>
              <w:rPr>
                <w:rStyle w:val="Hyperlink"/>
                <w:rtl/>
              </w:rPr>
            </w:pPr>
            <w:hyperlink w:anchor="Seif8" w:tooltip="ביצוע עבודות לפי הסכם" w:history="1">
              <w:r w:rsidRPr="00631098">
                <w:rPr>
                  <w:rStyle w:val="Hyperlink"/>
                </w:rPr>
                <w:t>Go</w:t>
              </w:r>
            </w:hyperlink>
          </w:p>
        </w:tc>
        <w:tc>
          <w:tcPr>
            <w:tcW w:w="850" w:type="dxa"/>
          </w:tcPr>
          <w:p w14:paraId="165DDCC3"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31098" w:rsidRPr="00631098" w14:paraId="3233421E" w14:textId="77777777">
        <w:tblPrEx>
          <w:tblCellMar>
            <w:top w:w="0" w:type="dxa"/>
            <w:bottom w:w="0" w:type="dxa"/>
          </w:tblCellMar>
        </w:tblPrEx>
        <w:tc>
          <w:tcPr>
            <w:tcW w:w="1247" w:type="dxa"/>
          </w:tcPr>
          <w:p w14:paraId="33427889" w14:textId="77777777" w:rsidR="00631098" w:rsidRPr="00631098" w:rsidRDefault="00631098" w:rsidP="00631098">
            <w:pPr>
              <w:spacing w:line="240" w:lineRule="auto"/>
              <w:jc w:val="left"/>
              <w:rPr>
                <w:rFonts w:cs="Frankruhel"/>
                <w:sz w:val="24"/>
                <w:rtl/>
              </w:rPr>
            </w:pPr>
            <w:r>
              <w:rPr>
                <w:sz w:val="24"/>
                <w:rtl/>
              </w:rPr>
              <w:t xml:space="preserve">סעיף 9 </w:t>
            </w:r>
          </w:p>
        </w:tc>
        <w:tc>
          <w:tcPr>
            <w:tcW w:w="5669" w:type="dxa"/>
          </w:tcPr>
          <w:p w14:paraId="1816F617" w14:textId="77777777" w:rsidR="00631098" w:rsidRPr="00631098" w:rsidRDefault="00631098" w:rsidP="00631098">
            <w:pPr>
              <w:spacing w:line="240" w:lineRule="auto"/>
              <w:jc w:val="left"/>
              <w:rPr>
                <w:rFonts w:cs="Frankruhel"/>
                <w:sz w:val="24"/>
                <w:rtl/>
              </w:rPr>
            </w:pPr>
            <w:r>
              <w:rPr>
                <w:sz w:val="24"/>
                <w:rtl/>
              </w:rPr>
              <w:t>אגרת ביוב</w:t>
            </w:r>
          </w:p>
        </w:tc>
        <w:tc>
          <w:tcPr>
            <w:tcW w:w="567" w:type="dxa"/>
          </w:tcPr>
          <w:p w14:paraId="43EB8D6C" w14:textId="77777777" w:rsidR="00631098" w:rsidRPr="00631098" w:rsidRDefault="00631098" w:rsidP="00631098">
            <w:pPr>
              <w:spacing w:line="240" w:lineRule="auto"/>
              <w:jc w:val="left"/>
              <w:rPr>
                <w:rStyle w:val="Hyperlink"/>
                <w:rtl/>
              </w:rPr>
            </w:pPr>
            <w:hyperlink w:anchor="Seif9" w:tooltip="אגרת ביוב" w:history="1">
              <w:r w:rsidRPr="00631098">
                <w:rPr>
                  <w:rStyle w:val="Hyperlink"/>
                </w:rPr>
                <w:t>Go</w:t>
              </w:r>
            </w:hyperlink>
          </w:p>
        </w:tc>
        <w:tc>
          <w:tcPr>
            <w:tcW w:w="850" w:type="dxa"/>
          </w:tcPr>
          <w:p w14:paraId="3E9D437F"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31098" w:rsidRPr="00631098" w14:paraId="178DAFEF" w14:textId="77777777">
        <w:tblPrEx>
          <w:tblCellMar>
            <w:top w:w="0" w:type="dxa"/>
            <w:bottom w:w="0" w:type="dxa"/>
          </w:tblCellMar>
        </w:tblPrEx>
        <w:tc>
          <w:tcPr>
            <w:tcW w:w="1247" w:type="dxa"/>
          </w:tcPr>
          <w:p w14:paraId="737C50B6" w14:textId="77777777" w:rsidR="00631098" w:rsidRPr="00631098" w:rsidRDefault="00631098" w:rsidP="00631098">
            <w:pPr>
              <w:spacing w:line="240" w:lineRule="auto"/>
              <w:jc w:val="left"/>
              <w:rPr>
                <w:rFonts w:cs="Frankruhel"/>
                <w:sz w:val="24"/>
                <w:rtl/>
              </w:rPr>
            </w:pPr>
            <w:r>
              <w:rPr>
                <w:sz w:val="24"/>
                <w:rtl/>
              </w:rPr>
              <w:t xml:space="preserve">סעיף 10 </w:t>
            </w:r>
          </w:p>
        </w:tc>
        <w:tc>
          <w:tcPr>
            <w:tcW w:w="5669" w:type="dxa"/>
          </w:tcPr>
          <w:p w14:paraId="033151D4" w14:textId="77777777" w:rsidR="00631098" w:rsidRPr="00631098" w:rsidRDefault="00631098" w:rsidP="00631098">
            <w:pPr>
              <w:spacing w:line="240" w:lineRule="auto"/>
              <w:jc w:val="left"/>
              <w:rPr>
                <w:rFonts w:cs="Frankruhel"/>
                <w:sz w:val="24"/>
                <w:rtl/>
              </w:rPr>
            </w:pPr>
            <w:r>
              <w:rPr>
                <w:sz w:val="24"/>
                <w:rtl/>
              </w:rPr>
              <w:t>מועד תשלום האגרה</w:t>
            </w:r>
          </w:p>
        </w:tc>
        <w:tc>
          <w:tcPr>
            <w:tcW w:w="567" w:type="dxa"/>
          </w:tcPr>
          <w:p w14:paraId="161CE14C" w14:textId="77777777" w:rsidR="00631098" w:rsidRPr="00631098" w:rsidRDefault="00631098" w:rsidP="00631098">
            <w:pPr>
              <w:spacing w:line="240" w:lineRule="auto"/>
              <w:jc w:val="left"/>
              <w:rPr>
                <w:rStyle w:val="Hyperlink"/>
                <w:rtl/>
              </w:rPr>
            </w:pPr>
            <w:hyperlink w:anchor="Seif10" w:tooltip="מועד תשלום האגרה" w:history="1">
              <w:r w:rsidRPr="00631098">
                <w:rPr>
                  <w:rStyle w:val="Hyperlink"/>
                </w:rPr>
                <w:t>Go</w:t>
              </w:r>
            </w:hyperlink>
          </w:p>
        </w:tc>
        <w:tc>
          <w:tcPr>
            <w:tcW w:w="850" w:type="dxa"/>
          </w:tcPr>
          <w:p w14:paraId="6CFBEBB0"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31098" w:rsidRPr="00631098" w14:paraId="69554B53" w14:textId="77777777">
        <w:tblPrEx>
          <w:tblCellMar>
            <w:top w:w="0" w:type="dxa"/>
            <w:bottom w:w="0" w:type="dxa"/>
          </w:tblCellMar>
        </w:tblPrEx>
        <w:tc>
          <w:tcPr>
            <w:tcW w:w="1247" w:type="dxa"/>
          </w:tcPr>
          <w:p w14:paraId="31A31401" w14:textId="77777777" w:rsidR="00631098" w:rsidRPr="00631098" w:rsidRDefault="00631098" w:rsidP="00631098">
            <w:pPr>
              <w:spacing w:line="240" w:lineRule="auto"/>
              <w:jc w:val="left"/>
              <w:rPr>
                <w:rFonts w:cs="Frankruhel"/>
                <w:sz w:val="24"/>
                <w:rtl/>
              </w:rPr>
            </w:pPr>
            <w:r>
              <w:rPr>
                <w:sz w:val="24"/>
                <w:rtl/>
              </w:rPr>
              <w:t xml:space="preserve">סעיף 11 </w:t>
            </w:r>
          </w:p>
        </w:tc>
        <w:tc>
          <w:tcPr>
            <w:tcW w:w="5669" w:type="dxa"/>
          </w:tcPr>
          <w:p w14:paraId="58433C55" w14:textId="77777777" w:rsidR="00631098" w:rsidRPr="00631098" w:rsidRDefault="00631098" w:rsidP="00631098">
            <w:pPr>
              <w:spacing w:line="240" w:lineRule="auto"/>
              <w:jc w:val="left"/>
              <w:rPr>
                <w:rFonts w:cs="Frankruhel"/>
                <w:sz w:val="24"/>
                <w:rtl/>
              </w:rPr>
            </w:pPr>
            <w:r>
              <w:rPr>
                <w:sz w:val="24"/>
                <w:rtl/>
              </w:rPr>
              <w:t>סכום ההיטל או האגרה והודעה לחייב</w:t>
            </w:r>
          </w:p>
        </w:tc>
        <w:tc>
          <w:tcPr>
            <w:tcW w:w="567" w:type="dxa"/>
          </w:tcPr>
          <w:p w14:paraId="266E7E25" w14:textId="77777777" w:rsidR="00631098" w:rsidRPr="00631098" w:rsidRDefault="00631098" w:rsidP="00631098">
            <w:pPr>
              <w:spacing w:line="240" w:lineRule="auto"/>
              <w:jc w:val="left"/>
              <w:rPr>
                <w:rStyle w:val="Hyperlink"/>
                <w:rtl/>
              </w:rPr>
            </w:pPr>
            <w:hyperlink w:anchor="Seif11" w:tooltip="סכום ההיטל או האגרה והודעה לחייב" w:history="1">
              <w:r w:rsidRPr="00631098">
                <w:rPr>
                  <w:rStyle w:val="Hyperlink"/>
                </w:rPr>
                <w:t>Go</w:t>
              </w:r>
            </w:hyperlink>
          </w:p>
        </w:tc>
        <w:tc>
          <w:tcPr>
            <w:tcW w:w="850" w:type="dxa"/>
          </w:tcPr>
          <w:p w14:paraId="77EA0F2E"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631098" w:rsidRPr="00631098" w14:paraId="3C7F1FBA" w14:textId="77777777">
        <w:tblPrEx>
          <w:tblCellMar>
            <w:top w:w="0" w:type="dxa"/>
            <w:bottom w:w="0" w:type="dxa"/>
          </w:tblCellMar>
        </w:tblPrEx>
        <w:tc>
          <w:tcPr>
            <w:tcW w:w="1247" w:type="dxa"/>
          </w:tcPr>
          <w:p w14:paraId="0837937C" w14:textId="77777777" w:rsidR="00631098" w:rsidRPr="00631098" w:rsidRDefault="00631098" w:rsidP="00631098">
            <w:pPr>
              <w:spacing w:line="240" w:lineRule="auto"/>
              <w:jc w:val="left"/>
              <w:rPr>
                <w:rFonts w:cs="Frankruhel"/>
                <w:sz w:val="24"/>
                <w:rtl/>
              </w:rPr>
            </w:pPr>
            <w:r>
              <w:rPr>
                <w:sz w:val="24"/>
                <w:rtl/>
              </w:rPr>
              <w:t xml:space="preserve">סעיף 12 </w:t>
            </w:r>
          </w:p>
        </w:tc>
        <w:tc>
          <w:tcPr>
            <w:tcW w:w="5669" w:type="dxa"/>
          </w:tcPr>
          <w:p w14:paraId="5721B7D7" w14:textId="77777777" w:rsidR="00631098" w:rsidRPr="00631098" w:rsidRDefault="00631098" w:rsidP="00631098">
            <w:pPr>
              <w:spacing w:line="240" w:lineRule="auto"/>
              <w:jc w:val="left"/>
              <w:rPr>
                <w:rFonts w:cs="Frankruhel"/>
                <w:sz w:val="24"/>
                <w:rtl/>
              </w:rPr>
            </w:pPr>
            <w:r>
              <w:rPr>
                <w:sz w:val="24"/>
                <w:rtl/>
              </w:rPr>
              <w:t>חיוב בעלים במשותף</w:t>
            </w:r>
          </w:p>
        </w:tc>
        <w:tc>
          <w:tcPr>
            <w:tcW w:w="567" w:type="dxa"/>
          </w:tcPr>
          <w:p w14:paraId="43968AFF" w14:textId="77777777" w:rsidR="00631098" w:rsidRPr="00631098" w:rsidRDefault="00631098" w:rsidP="00631098">
            <w:pPr>
              <w:spacing w:line="240" w:lineRule="auto"/>
              <w:jc w:val="left"/>
              <w:rPr>
                <w:rStyle w:val="Hyperlink"/>
                <w:rtl/>
              </w:rPr>
            </w:pPr>
            <w:hyperlink w:anchor="Seif12" w:tooltip="חיוב בעלים במשותף" w:history="1">
              <w:r w:rsidRPr="00631098">
                <w:rPr>
                  <w:rStyle w:val="Hyperlink"/>
                </w:rPr>
                <w:t>Go</w:t>
              </w:r>
            </w:hyperlink>
          </w:p>
        </w:tc>
        <w:tc>
          <w:tcPr>
            <w:tcW w:w="850" w:type="dxa"/>
          </w:tcPr>
          <w:p w14:paraId="015F34F4"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1098" w:rsidRPr="00631098" w14:paraId="4B5C7DEE" w14:textId="77777777">
        <w:tblPrEx>
          <w:tblCellMar>
            <w:top w:w="0" w:type="dxa"/>
            <w:bottom w:w="0" w:type="dxa"/>
          </w:tblCellMar>
        </w:tblPrEx>
        <w:tc>
          <w:tcPr>
            <w:tcW w:w="1247" w:type="dxa"/>
          </w:tcPr>
          <w:p w14:paraId="73F0E70E" w14:textId="77777777" w:rsidR="00631098" w:rsidRPr="00631098" w:rsidRDefault="00631098" w:rsidP="00631098">
            <w:pPr>
              <w:spacing w:line="240" w:lineRule="auto"/>
              <w:jc w:val="left"/>
              <w:rPr>
                <w:rFonts w:cs="Frankruhel"/>
                <w:sz w:val="24"/>
                <w:rtl/>
              </w:rPr>
            </w:pPr>
            <w:r>
              <w:rPr>
                <w:sz w:val="24"/>
                <w:rtl/>
              </w:rPr>
              <w:t xml:space="preserve">סעיף 13 </w:t>
            </w:r>
          </w:p>
        </w:tc>
        <w:tc>
          <w:tcPr>
            <w:tcW w:w="5669" w:type="dxa"/>
          </w:tcPr>
          <w:p w14:paraId="7BDCEA23" w14:textId="77777777" w:rsidR="00631098" w:rsidRPr="00631098" w:rsidRDefault="00631098" w:rsidP="00631098">
            <w:pPr>
              <w:spacing w:line="240" w:lineRule="auto"/>
              <w:jc w:val="left"/>
              <w:rPr>
                <w:rFonts w:cs="Frankruhel"/>
                <w:sz w:val="24"/>
                <w:rtl/>
              </w:rPr>
            </w:pPr>
            <w:r>
              <w:rPr>
                <w:sz w:val="24"/>
                <w:rtl/>
              </w:rPr>
              <w:t>פגיעה בביוב</w:t>
            </w:r>
          </w:p>
        </w:tc>
        <w:tc>
          <w:tcPr>
            <w:tcW w:w="567" w:type="dxa"/>
          </w:tcPr>
          <w:p w14:paraId="650F29D6" w14:textId="77777777" w:rsidR="00631098" w:rsidRPr="00631098" w:rsidRDefault="00631098" w:rsidP="00631098">
            <w:pPr>
              <w:spacing w:line="240" w:lineRule="auto"/>
              <w:jc w:val="left"/>
              <w:rPr>
                <w:rStyle w:val="Hyperlink"/>
                <w:rtl/>
              </w:rPr>
            </w:pPr>
            <w:hyperlink w:anchor="Seif13" w:tooltip="פגיעה בביוב" w:history="1">
              <w:r w:rsidRPr="00631098">
                <w:rPr>
                  <w:rStyle w:val="Hyperlink"/>
                </w:rPr>
                <w:t>Go</w:t>
              </w:r>
            </w:hyperlink>
          </w:p>
        </w:tc>
        <w:tc>
          <w:tcPr>
            <w:tcW w:w="850" w:type="dxa"/>
          </w:tcPr>
          <w:p w14:paraId="11C4F0F4"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1098" w:rsidRPr="00631098" w14:paraId="1DF1B986" w14:textId="77777777">
        <w:tblPrEx>
          <w:tblCellMar>
            <w:top w:w="0" w:type="dxa"/>
            <w:bottom w:w="0" w:type="dxa"/>
          </w:tblCellMar>
        </w:tblPrEx>
        <w:tc>
          <w:tcPr>
            <w:tcW w:w="1247" w:type="dxa"/>
          </w:tcPr>
          <w:p w14:paraId="365803A1" w14:textId="77777777" w:rsidR="00631098" w:rsidRPr="00631098" w:rsidRDefault="00631098" w:rsidP="00631098">
            <w:pPr>
              <w:spacing w:line="240" w:lineRule="auto"/>
              <w:jc w:val="left"/>
              <w:rPr>
                <w:rFonts w:cs="Frankruhel"/>
                <w:sz w:val="24"/>
                <w:rtl/>
              </w:rPr>
            </w:pPr>
            <w:r>
              <w:rPr>
                <w:sz w:val="24"/>
                <w:rtl/>
              </w:rPr>
              <w:t xml:space="preserve">סעיף 14 </w:t>
            </w:r>
          </w:p>
        </w:tc>
        <w:tc>
          <w:tcPr>
            <w:tcW w:w="5669" w:type="dxa"/>
          </w:tcPr>
          <w:p w14:paraId="69900E1A" w14:textId="77777777" w:rsidR="00631098" w:rsidRPr="00631098" w:rsidRDefault="00631098" w:rsidP="00631098">
            <w:pPr>
              <w:spacing w:line="240" w:lineRule="auto"/>
              <w:jc w:val="left"/>
              <w:rPr>
                <w:rFonts w:cs="Frankruhel"/>
                <w:sz w:val="24"/>
                <w:rtl/>
              </w:rPr>
            </w:pPr>
            <w:r>
              <w:rPr>
                <w:sz w:val="24"/>
                <w:rtl/>
              </w:rPr>
              <w:t>מסירת הודעה</w:t>
            </w:r>
          </w:p>
        </w:tc>
        <w:tc>
          <w:tcPr>
            <w:tcW w:w="567" w:type="dxa"/>
          </w:tcPr>
          <w:p w14:paraId="5679FABF" w14:textId="77777777" w:rsidR="00631098" w:rsidRPr="00631098" w:rsidRDefault="00631098" w:rsidP="00631098">
            <w:pPr>
              <w:spacing w:line="240" w:lineRule="auto"/>
              <w:jc w:val="left"/>
              <w:rPr>
                <w:rStyle w:val="Hyperlink"/>
                <w:rtl/>
              </w:rPr>
            </w:pPr>
            <w:hyperlink w:anchor="Seif14" w:tooltip="מסירת הודעה" w:history="1">
              <w:r w:rsidRPr="00631098">
                <w:rPr>
                  <w:rStyle w:val="Hyperlink"/>
                </w:rPr>
                <w:t>Go</w:t>
              </w:r>
            </w:hyperlink>
          </w:p>
        </w:tc>
        <w:tc>
          <w:tcPr>
            <w:tcW w:w="850" w:type="dxa"/>
          </w:tcPr>
          <w:p w14:paraId="20956288"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1098" w:rsidRPr="00631098" w14:paraId="7ADDF0F1" w14:textId="77777777">
        <w:tblPrEx>
          <w:tblCellMar>
            <w:top w:w="0" w:type="dxa"/>
            <w:bottom w:w="0" w:type="dxa"/>
          </w:tblCellMar>
        </w:tblPrEx>
        <w:tc>
          <w:tcPr>
            <w:tcW w:w="1247" w:type="dxa"/>
          </w:tcPr>
          <w:p w14:paraId="5D671368" w14:textId="77777777" w:rsidR="00631098" w:rsidRPr="00631098" w:rsidRDefault="00631098" w:rsidP="00631098">
            <w:pPr>
              <w:spacing w:line="240" w:lineRule="auto"/>
              <w:jc w:val="left"/>
              <w:rPr>
                <w:rFonts w:cs="Frankruhel"/>
                <w:sz w:val="24"/>
                <w:rtl/>
              </w:rPr>
            </w:pPr>
            <w:r>
              <w:rPr>
                <w:sz w:val="24"/>
                <w:rtl/>
              </w:rPr>
              <w:t xml:space="preserve">סעיף 15 </w:t>
            </w:r>
          </w:p>
        </w:tc>
        <w:tc>
          <w:tcPr>
            <w:tcW w:w="5669" w:type="dxa"/>
          </w:tcPr>
          <w:p w14:paraId="566072CB" w14:textId="77777777" w:rsidR="00631098" w:rsidRPr="00631098" w:rsidRDefault="00631098" w:rsidP="00631098">
            <w:pPr>
              <w:spacing w:line="240" w:lineRule="auto"/>
              <w:jc w:val="left"/>
              <w:rPr>
                <w:rFonts w:cs="Frankruhel"/>
                <w:sz w:val="24"/>
                <w:rtl/>
              </w:rPr>
            </w:pPr>
            <w:r>
              <w:rPr>
                <w:sz w:val="24"/>
                <w:rtl/>
              </w:rPr>
              <w:t>הצמדה</w:t>
            </w:r>
          </w:p>
        </w:tc>
        <w:tc>
          <w:tcPr>
            <w:tcW w:w="567" w:type="dxa"/>
          </w:tcPr>
          <w:p w14:paraId="4D20B2CE" w14:textId="77777777" w:rsidR="00631098" w:rsidRPr="00631098" w:rsidRDefault="00631098" w:rsidP="00631098">
            <w:pPr>
              <w:spacing w:line="240" w:lineRule="auto"/>
              <w:jc w:val="left"/>
              <w:rPr>
                <w:rStyle w:val="Hyperlink"/>
                <w:rtl/>
              </w:rPr>
            </w:pPr>
            <w:hyperlink w:anchor="Seif15" w:tooltip="הצמדה" w:history="1">
              <w:r w:rsidRPr="00631098">
                <w:rPr>
                  <w:rStyle w:val="Hyperlink"/>
                </w:rPr>
                <w:t>Go</w:t>
              </w:r>
            </w:hyperlink>
          </w:p>
        </w:tc>
        <w:tc>
          <w:tcPr>
            <w:tcW w:w="850" w:type="dxa"/>
          </w:tcPr>
          <w:p w14:paraId="7A78799A"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1098" w:rsidRPr="00631098" w14:paraId="33BC3A9C" w14:textId="77777777">
        <w:tblPrEx>
          <w:tblCellMar>
            <w:top w:w="0" w:type="dxa"/>
            <w:bottom w:w="0" w:type="dxa"/>
          </w:tblCellMar>
        </w:tblPrEx>
        <w:tc>
          <w:tcPr>
            <w:tcW w:w="1247" w:type="dxa"/>
          </w:tcPr>
          <w:p w14:paraId="2F715240" w14:textId="77777777" w:rsidR="00631098" w:rsidRPr="00631098" w:rsidRDefault="00631098" w:rsidP="00631098">
            <w:pPr>
              <w:spacing w:line="240" w:lineRule="auto"/>
              <w:jc w:val="left"/>
              <w:rPr>
                <w:rFonts w:cs="Frankruhel"/>
                <w:sz w:val="24"/>
                <w:rtl/>
              </w:rPr>
            </w:pPr>
            <w:r>
              <w:rPr>
                <w:sz w:val="24"/>
                <w:rtl/>
              </w:rPr>
              <w:t xml:space="preserve">סעיף 16 </w:t>
            </w:r>
          </w:p>
        </w:tc>
        <w:tc>
          <w:tcPr>
            <w:tcW w:w="5669" w:type="dxa"/>
          </w:tcPr>
          <w:p w14:paraId="296D2F1A" w14:textId="77777777" w:rsidR="00631098" w:rsidRPr="00631098" w:rsidRDefault="00631098" w:rsidP="00631098">
            <w:pPr>
              <w:spacing w:line="240" w:lineRule="auto"/>
              <w:jc w:val="left"/>
              <w:rPr>
                <w:rFonts w:cs="Frankruhel"/>
                <w:sz w:val="24"/>
                <w:rtl/>
              </w:rPr>
            </w:pPr>
            <w:r>
              <w:rPr>
                <w:sz w:val="24"/>
                <w:rtl/>
              </w:rPr>
              <w:t>הוראת שעה</w:t>
            </w:r>
          </w:p>
        </w:tc>
        <w:tc>
          <w:tcPr>
            <w:tcW w:w="567" w:type="dxa"/>
          </w:tcPr>
          <w:p w14:paraId="5CB4C7B8" w14:textId="77777777" w:rsidR="00631098" w:rsidRPr="00631098" w:rsidRDefault="00631098" w:rsidP="00631098">
            <w:pPr>
              <w:spacing w:line="240" w:lineRule="auto"/>
              <w:jc w:val="left"/>
              <w:rPr>
                <w:rStyle w:val="Hyperlink"/>
                <w:rtl/>
              </w:rPr>
            </w:pPr>
            <w:hyperlink w:anchor="Seif16" w:tooltip="הוראת שעה" w:history="1">
              <w:r w:rsidRPr="00631098">
                <w:rPr>
                  <w:rStyle w:val="Hyperlink"/>
                </w:rPr>
                <w:t>Go</w:t>
              </w:r>
            </w:hyperlink>
          </w:p>
        </w:tc>
        <w:tc>
          <w:tcPr>
            <w:tcW w:w="850" w:type="dxa"/>
          </w:tcPr>
          <w:p w14:paraId="1E5EBE6E"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1098" w:rsidRPr="00631098" w14:paraId="3F87B63D" w14:textId="77777777">
        <w:tblPrEx>
          <w:tblCellMar>
            <w:top w:w="0" w:type="dxa"/>
            <w:bottom w:w="0" w:type="dxa"/>
          </w:tblCellMar>
        </w:tblPrEx>
        <w:tc>
          <w:tcPr>
            <w:tcW w:w="1247" w:type="dxa"/>
          </w:tcPr>
          <w:p w14:paraId="5721326F" w14:textId="77777777" w:rsidR="00631098" w:rsidRPr="00631098" w:rsidRDefault="00631098" w:rsidP="00631098">
            <w:pPr>
              <w:spacing w:line="240" w:lineRule="auto"/>
              <w:jc w:val="left"/>
              <w:rPr>
                <w:rFonts w:cs="Frankruhel"/>
                <w:sz w:val="24"/>
                <w:rtl/>
              </w:rPr>
            </w:pPr>
            <w:r>
              <w:rPr>
                <w:sz w:val="24"/>
                <w:rtl/>
              </w:rPr>
              <w:t xml:space="preserve">סעיף 17 </w:t>
            </w:r>
          </w:p>
        </w:tc>
        <w:tc>
          <w:tcPr>
            <w:tcW w:w="5669" w:type="dxa"/>
          </w:tcPr>
          <w:p w14:paraId="2F98BC45" w14:textId="77777777" w:rsidR="00631098" w:rsidRPr="00631098" w:rsidRDefault="00631098" w:rsidP="00631098">
            <w:pPr>
              <w:spacing w:line="240" w:lineRule="auto"/>
              <w:jc w:val="left"/>
              <w:rPr>
                <w:rFonts w:cs="Frankruhel"/>
                <w:sz w:val="24"/>
                <w:rtl/>
              </w:rPr>
            </w:pPr>
            <w:r>
              <w:rPr>
                <w:sz w:val="24"/>
                <w:rtl/>
              </w:rPr>
              <w:t>שמירת דינים</w:t>
            </w:r>
          </w:p>
        </w:tc>
        <w:tc>
          <w:tcPr>
            <w:tcW w:w="567" w:type="dxa"/>
          </w:tcPr>
          <w:p w14:paraId="117B64C8" w14:textId="77777777" w:rsidR="00631098" w:rsidRPr="00631098" w:rsidRDefault="00631098" w:rsidP="00631098">
            <w:pPr>
              <w:spacing w:line="240" w:lineRule="auto"/>
              <w:jc w:val="left"/>
              <w:rPr>
                <w:rStyle w:val="Hyperlink"/>
                <w:rtl/>
              </w:rPr>
            </w:pPr>
            <w:hyperlink w:anchor="Seif17" w:tooltip="שמירת דינים" w:history="1">
              <w:r w:rsidRPr="00631098">
                <w:rPr>
                  <w:rStyle w:val="Hyperlink"/>
                </w:rPr>
                <w:t>Go</w:t>
              </w:r>
            </w:hyperlink>
          </w:p>
        </w:tc>
        <w:tc>
          <w:tcPr>
            <w:tcW w:w="850" w:type="dxa"/>
          </w:tcPr>
          <w:p w14:paraId="45D60B99"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1098" w:rsidRPr="00631098" w14:paraId="16E58347" w14:textId="77777777">
        <w:tblPrEx>
          <w:tblCellMar>
            <w:top w:w="0" w:type="dxa"/>
            <w:bottom w:w="0" w:type="dxa"/>
          </w:tblCellMar>
        </w:tblPrEx>
        <w:tc>
          <w:tcPr>
            <w:tcW w:w="1247" w:type="dxa"/>
          </w:tcPr>
          <w:p w14:paraId="54670AD7" w14:textId="77777777" w:rsidR="00631098" w:rsidRPr="00631098" w:rsidRDefault="00631098" w:rsidP="00631098">
            <w:pPr>
              <w:spacing w:line="240" w:lineRule="auto"/>
              <w:jc w:val="left"/>
              <w:rPr>
                <w:rFonts w:cs="Frankruhel"/>
                <w:sz w:val="24"/>
                <w:rtl/>
              </w:rPr>
            </w:pPr>
            <w:r>
              <w:rPr>
                <w:sz w:val="24"/>
                <w:rtl/>
              </w:rPr>
              <w:t xml:space="preserve">סעיף 18 </w:t>
            </w:r>
          </w:p>
        </w:tc>
        <w:tc>
          <w:tcPr>
            <w:tcW w:w="5669" w:type="dxa"/>
          </w:tcPr>
          <w:p w14:paraId="1017BB4A" w14:textId="77777777" w:rsidR="00631098" w:rsidRPr="00631098" w:rsidRDefault="00631098" w:rsidP="00631098">
            <w:pPr>
              <w:spacing w:line="240" w:lineRule="auto"/>
              <w:jc w:val="left"/>
              <w:rPr>
                <w:rFonts w:cs="Frankruhel"/>
                <w:sz w:val="24"/>
                <w:rtl/>
              </w:rPr>
            </w:pPr>
            <w:r>
              <w:rPr>
                <w:sz w:val="24"/>
                <w:rtl/>
              </w:rPr>
              <w:t>תחילה</w:t>
            </w:r>
          </w:p>
        </w:tc>
        <w:tc>
          <w:tcPr>
            <w:tcW w:w="567" w:type="dxa"/>
          </w:tcPr>
          <w:p w14:paraId="7978CFE9" w14:textId="77777777" w:rsidR="00631098" w:rsidRPr="00631098" w:rsidRDefault="00631098" w:rsidP="00631098">
            <w:pPr>
              <w:spacing w:line="240" w:lineRule="auto"/>
              <w:jc w:val="left"/>
              <w:rPr>
                <w:rStyle w:val="Hyperlink"/>
                <w:rtl/>
              </w:rPr>
            </w:pPr>
            <w:hyperlink w:anchor="Seif18" w:tooltip="תחילה" w:history="1">
              <w:r w:rsidRPr="00631098">
                <w:rPr>
                  <w:rStyle w:val="Hyperlink"/>
                </w:rPr>
                <w:t>Go</w:t>
              </w:r>
            </w:hyperlink>
          </w:p>
        </w:tc>
        <w:tc>
          <w:tcPr>
            <w:tcW w:w="850" w:type="dxa"/>
          </w:tcPr>
          <w:p w14:paraId="2ACD092B"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1098" w:rsidRPr="00631098" w14:paraId="7425C49A" w14:textId="77777777">
        <w:tblPrEx>
          <w:tblCellMar>
            <w:top w:w="0" w:type="dxa"/>
            <w:bottom w:w="0" w:type="dxa"/>
          </w:tblCellMar>
        </w:tblPrEx>
        <w:tc>
          <w:tcPr>
            <w:tcW w:w="1247" w:type="dxa"/>
          </w:tcPr>
          <w:p w14:paraId="7DE9E74C" w14:textId="77777777" w:rsidR="00631098" w:rsidRPr="00631098" w:rsidRDefault="00631098" w:rsidP="00631098">
            <w:pPr>
              <w:spacing w:line="240" w:lineRule="auto"/>
              <w:jc w:val="left"/>
              <w:rPr>
                <w:rFonts w:cs="Frankruhel"/>
                <w:sz w:val="24"/>
                <w:rtl/>
              </w:rPr>
            </w:pPr>
            <w:r>
              <w:rPr>
                <w:sz w:val="24"/>
                <w:rtl/>
              </w:rPr>
              <w:t xml:space="preserve">סעיף 19 </w:t>
            </w:r>
          </w:p>
        </w:tc>
        <w:tc>
          <w:tcPr>
            <w:tcW w:w="5669" w:type="dxa"/>
          </w:tcPr>
          <w:p w14:paraId="115B4AC5" w14:textId="77777777" w:rsidR="00631098" w:rsidRPr="00631098" w:rsidRDefault="00631098" w:rsidP="00631098">
            <w:pPr>
              <w:spacing w:line="240" w:lineRule="auto"/>
              <w:jc w:val="left"/>
              <w:rPr>
                <w:rFonts w:cs="Frankruhel"/>
                <w:sz w:val="24"/>
                <w:rtl/>
              </w:rPr>
            </w:pPr>
            <w:r>
              <w:rPr>
                <w:sz w:val="24"/>
                <w:rtl/>
              </w:rPr>
              <w:t>ביטול</w:t>
            </w:r>
          </w:p>
        </w:tc>
        <w:tc>
          <w:tcPr>
            <w:tcW w:w="567" w:type="dxa"/>
          </w:tcPr>
          <w:p w14:paraId="76501A4A" w14:textId="77777777" w:rsidR="00631098" w:rsidRPr="00631098" w:rsidRDefault="00631098" w:rsidP="00631098">
            <w:pPr>
              <w:spacing w:line="240" w:lineRule="auto"/>
              <w:jc w:val="left"/>
              <w:rPr>
                <w:rStyle w:val="Hyperlink"/>
                <w:rtl/>
              </w:rPr>
            </w:pPr>
            <w:hyperlink w:anchor="Seif19" w:tooltip="ביטול" w:history="1">
              <w:r w:rsidRPr="00631098">
                <w:rPr>
                  <w:rStyle w:val="Hyperlink"/>
                </w:rPr>
                <w:t>Go</w:t>
              </w:r>
            </w:hyperlink>
          </w:p>
        </w:tc>
        <w:tc>
          <w:tcPr>
            <w:tcW w:w="850" w:type="dxa"/>
          </w:tcPr>
          <w:p w14:paraId="7A0D87F5"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1098" w:rsidRPr="00631098" w14:paraId="2AAB30A7" w14:textId="77777777">
        <w:tblPrEx>
          <w:tblCellMar>
            <w:top w:w="0" w:type="dxa"/>
            <w:bottom w:w="0" w:type="dxa"/>
          </w:tblCellMar>
        </w:tblPrEx>
        <w:tc>
          <w:tcPr>
            <w:tcW w:w="1247" w:type="dxa"/>
          </w:tcPr>
          <w:p w14:paraId="67F438DC" w14:textId="77777777" w:rsidR="00631098" w:rsidRPr="00631098" w:rsidRDefault="00631098" w:rsidP="00631098">
            <w:pPr>
              <w:spacing w:line="240" w:lineRule="auto"/>
              <w:jc w:val="left"/>
              <w:rPr>
                <w:rFonts w:cs="Frankruhel"/>
                <w:sz w:val="24"/>
                <w:rtl/>
              </w:rPr>
            </w:pPr>
          </w:p>
        </w:tc>
        <w:tc>
          <w:tcPr>
            <w:tcW w:w="5669" w:type="dxa"/>
          </w:tcPr>
          <w:p w14:paraId="1F3645F0" w14:textId="77777777" w:rsidR="00631098" w:rsidRPr="00631098" w:rsidRDefault="00631098" w:rsidP="00631098">
            <w:pPr>
              <w:spacing w:line="240" w:lineRule="auto"/>
              <w:jc w:val="left"/>
              <w:rPr>
                <w:rFonts w:cs="Frankruhel"/>
                <w:sz w:val="24"/>
                <w:rtl/>
              </w:rPr>
            </w:pPr>
            <w:r>
              <w:rPr>
                <w:sz w:val="24"/>
                <w:rtl/>
              </w:rPr>
              <w:t>תוספת</w:t>
            </w:r>
          </w:p>
        </w:tc>
        <w:tc>
          <w:tcPr>
            <w:tcW w:w="567" w:type="dxa"/>
          </w:tcPr>
          <w:p w14:paraId="0025BEE4" w14:textId="77777777" w:rsidR="00631098" w:rsidRPr="00631098" w:rsidRDefault="00631098" w:rsidP="00631098">
            <w:pPr>
              <w:spacing w:line="240" w:lineRule="auto"/>
              <w:jc w:val="left"/>
              <w:rPr>
                <w:rStyle w:val="Hyperlink"/>
                <w:rtl/>
              </w:rPr>
            </w:pPr>
            <w:hyperlink w:anchor="med0" w:tooltip="תוספת" w:history="1">
              <w:r w:rsidRPr="00631098">
                <w:rPr>
                  <w:rStyle w:val="Hyperlink"/>
                </w:rPr>
                <w:t>Go</w:t>
              </w:r>
            </w:hyperlink>
          </w:p>
        </w:tc>
        <w:tc>
          <w:tcPr>
            <w:tcW w:w="850" w:type="dxa"/>
          </w:tcPr>
          <w:p w14:paraId="4318D4DE"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1098" w:rsidRPr="00631098" w14:paraId="25359AE5" w14:textId="77777777">
        <w:tblPrEx>
          <w:tblCellMar>
            <w:top w:w="0" w:type="dxa"/>
            <w:bottom w:w="0" w:type="dxa"/>
          </w:tblCellMar>
        </w:tblPrEx>
        <w:tc>
          <w:tcPr>
            <w:tcW w:w="1247" w:type="dxa"/>
          </w:tcPr>
          <w:p w14:paraId="04763D08" w14:textId="77777777" w:rsidR="00631098" w:rsidRPr="00631098" w:rsidRDefault="00631098" w:rsidP="00631098">
            <w:pPr>
              <w:spacing w:line="240" w:lineRule="auto"/>
              <w:jc w:val="left"/>
              <w:rPr>
                <w:rFonts w:cs="Frankruhel"/>
                <w:sz w:val="24"/>
                <w:rtl/>
              </w:rPr>
            </w:pPr>
          </w:p>
        </w:tc>
        <w:tc>
          <w:tcPr>
            <w:tcW w:w="5669" w:type="dxa"/>
          </w:tcPr>
          <w:p w14:paraId="470FFE86" w14:textId="77777777" w:rsidR="00631098" w:rsidRPr="00631098" w:rsidRDefault="00631098" w:rsidP="00631098">
            <w:pPr>
              <w:spacing w:line="240" w:lineRule="auto"/>
              <w:jc w:val="left"/>
              <w:rPr>
                <w:rFonts w:cs="Frankruhel"/>
                <w:sz w:val="24"/>
                <w:rtl/>
              </w:rPr>
            </w:pPr>
            <w:r>
              <w:rPr>
                <w:sz w:val="24"/>
                <w:rtl/>
              </w:rPr>
              <w:t>היטל ביוב</w:t>
            </w:r>
          </w:p>
        </w:tc>
        <w:tc>
          <w:tcPr>
            <w:tcW w:w="567" w:type="dxa"/>
          </w:tcPr>
          <w:p w14:paraId="4BA4315F" w14:textId="77777777" w:rsidR="00631098" w:rsidRPr="00631098" w:rsidRDefault="00631098" w:rsidP="00631098">
            <w:pPr>
              <w:spacing w:line="240" w:lineRule="auto"/>
              <w:jc w:val="left"/>
              <w:rPr>
                <w:rStyle w:val="Hyperlink"/>
                <w:rtl/>
              </w:rPr>
            </w:pPr>
            <w:hyperlink w:anchor="med1" w:tooltip="היטל ביוב" w:history="1">
              <w:r w:rsidRPr="00631098">
                <w:rPr>
                  <w:rStyle w:val="Hyperlink"/>
                </w:rPr>
                <w:t>Go</w:t>
              </w:r>
            </w:hyperlink>
          </w:p>
        </w:tc>
        <w:tc>
          <w:tcPr>
            <w:tcW w:w="850" w:type="dxa"/>
          </w:tcPr>
          <w:p w14:paraId="7506E96B"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631098" w:rsidRPr="00631098" w14:paraId="002BFFEB" w14:textId="77777777">
        <w:tblPrEx>
          <w:tblCellMar>
            <w:top w:w="0" w:type="dxa"/>
            <w:bottom w:w="0" w:type="dxa"/>
          </w:tblCellMar>
        </w:tblPrEx>
        <w:tc>
          <w:tcPr>
            <w:tcW w:w="1247" w:type="dxa"/>
          </w:tcPr>
          <w:p w14:paraId="148401C2" w14:textId="77777777" w:rsidR="00631098" w:rsidRPr="00631098" w:rsidRDefault="00631098" w:rsidP="00631098">
            <w:pPr>
              <w:spacing w:line="240" w:lineRule="auto"/>
              <w:jc w:val="left"/>
              <w:rPr>
                <w:rFonts w:cs="Frankruhel"/>
                <w:sz w:val="24"/>
                <w:rtl/>
              </w:rPr>
            </w:pPr>
          </w:p>
        </w:tc>
        <w:tc>
          <w:tcPr>
            <w:tcW w:w="5669" w:type="dxa"/>
          </w:tcPr>
          <w:p w14:paraId="27443CA8" w14:textId="77777777" w:rsidR="00631098" w:rsidRPr="00631098" w:rsidRDefault="00631098" w:rsidP="00631098">
            <w:pPr>
              <w:spacing w:line="240" w:lineRule="auto"/>
              <w:jc w:val="left"/>
              <w:rPr>
                <w:rFonts w:cs="Frankruhel"/>
                <w:sz w:val="24"/>
                <w:rtl/>
              </w:rPr>
            </w:pPr>
            <w:r>
              <w:rPr>
                <w:sz w:val="24"/>
                <w:rtl/>
              </w:rPr>
              <w:t>אגרת ביוב</w:t>
            </w:r>
          </w:p>
        </w:tc>
        <w:tc>
          <w:tcPr>
            <w:tcW w:w="567" w:type="dxa"/>
          </w:tcPr>
          <w:p w14:paraId="7FD7AFF3" w14:textId="77777777" w:rsidR="00631098" w:rsidRPr="00631098" w:rsidRDefault="00631098" w:rsidP="00631098">
            <w:pPr>
              <w:spacing w:line="240" w:lineRule="auto"/>
              <w:jc w:val="left"/>
              <w:rPr>
                <w:rStyle w:val="Hyperlink"/>
                <w:rtl/>
              </w:rPr>
            </w:pPr>
            <w:hyperlink w:anchor="med2" w:tooltip="אגרת ביוב" w:history="1">
              <w:r w:rsidRPr="00631098">
                <w:rPr>
                  <w:rStyle w:val="Hyperlink"/>
                </w:rPr>
                <w:t>Go</w:t>
              </w:r>
            </w:hyperlink>
          </w:p>
        </w:tc>
        <w:tc>
          <w:tcPr>
            <w:tcW w:w="850" w:type="dxa"/>
          </w:tcPr>
          <w:p w14:paraId="108602F4" w14:textId="77777777" w:rsidR="00631098" w:rsidRPr="00631098" w:rsidRDefault="00631098" w:rsidP="0063109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33059378" w14:textId="77777777" w:rsidR="00F62C56" w:rsidRDefault="00F62C56">
      <w:pPr>
        <w:pStyle w:val="big-header"/>
        <w:ind w:left="0" w:right="1134"/>
        <w:rPr>
          <w:rFonts w:cs="FrankRuehl"/>
          <w:sz w:val="32"/>
          <w:rtl/>
        </w:rPr>
      </w:pPr>
    </w:p>
    <w:p w14:paraId="77F725CE" w14:textId="77777777" w:rsidR="00F62C56" w:rsidRDefault="00F62C56" w:rsidP="00680267">
      <w:pPr>
        <w:pStyle w:val="big-header"/>
        <w:ind w:left="0" w:right="1134"/>
        <w:rPr>
          <w:rFonts w:cs="FrankRuehl"/>
          <w:sz w:val="32"/>
        </w:rPr>
      </w:pPr>
      <w:r>
        <w:rPr>
          <w:rtl/>
        </w:rPr>
        <w:br w:type="page"/>
      </w:r>
      <w:r w:rsidR="00680267">
        <w:rPr>
          <w:rFonts w:cs="FrankRuehl" w:hint="cs"/>
          <w:sz w:val="32"/>
          <w:rtl/>
        </w:rPr>
        <w:lastRenderedPageBreak/>
        <w:t>חוק עזר לרמלה (ביוב), תשנ"ט-1998</w:t>
      </w:r>
      <w:r>
        <w:rPr>
          <w:rStyle w:val="a6"/>
          <w:rFonts w:cs="FrankRuehl"/>
          <w:sz w:val="32"/>
          <w:rtl/>
        </w:rPr>
        <w:footnoteReference w:customMarkFollows="1" w:id="1"/>
        <w:t>*</w:t>
      </w:r>
    </w:p>
    <w:p w14:paraId="5F723570" w14:textId="77777777" w:rsidR="00F62C56" w:rsidRDefault="006F4B7D" w:rsidP="00C66894">
      <w:pPr>
        <w:pStyle w:val="P00"/>
        <w:spacing w:before="72"/>
        <w:ind w:left="0" w:right="1134"/>
        <w:rPr>
          <w:rFonts w:cs="FrankRuehl" w:hint="cs"/>
          <w:rtl/>
          <w:lang w:val="he-IL"/>
        </w:rPr>
      </w:pPr>
      <w:r>
        <w:rPr>
          <w:rFonts w:cs="FrankRuehl" w:hint="cs"/>
          <w:rtl/>
        </w:rPr>
        <w:tab/>
      </w:r>
      <w:r w:rsidR="00F62C56">
        <w:rPr>
          <w:rFonts w:cs="FrankRuehl"/>
          <w:rtl/>
          <w:lang w:val="he-IL"/>
        </w:rPr>
        <w:t xml:space="preserve">בתוקף סמכותה לפי </w:t>
      </w:r>
      <w:r w:rsidR="00D644AE">
        <w:rPr>
          <w:rFonts w:cs="FrankRuehl" w:hint="cs"/>
          <w:rtl/>
          <w:lang w:val="he-IL"/>
        </w:rPr>
        <w:t>סעיפים</w:t>
      </w:r>
      <w:r w:rsidR="00745676">
        <w:rPr>
          <w:rFonts w:cs="FrankRuehl" w:hint="cs"/>
          <w:rtl/>
          <w:lang w:val="he-IL"/>
        </w:rPr>
        <w:t xml:space="preserve"> </w:t>
      </w:r>
      <w:r w:rsidR="00AA2323">
        <w:rPr>
          <w:rFonts w:cs="FrankRuehl" w:hint="cs"/>
          <w:rtl/>
          <w:lang w:val="he-IL"/>
        </w:rPr>
        <w:t xml:space="preserve">250 ו-251 לפקודת העיריות (להלן </w:t>
      </w:r>
      <w:r w:rsidR="00AA2323">
        <w:rPr>
          <w:rFonts w:cs="FrankRuehl"/>
          <w:rtl/>
          <w:lang w:val="he-IL"/>
        </w:rPr>
        <w:t>–</w:t>
      </w:r>
      <w:r w:rsidR="00AA2323">
        <w:rPr>
          <w:rFonts w:cs="FrankRuehl" w:hint="cs"/>
          <w:rtl/>
          <w:lang w:val="he-IL"/>
        </w:rPr>
        <w:t xml:space="preserve"> הפקודה)</w:t>
      </w:r>
      <w:r w:rsidR="00C66894">
        <w:rPr>
          <w:rFonts w:cs="FrankRuehl" w:hint="cs"/>
          <w:rtl/>
          <w:lang w:val="he-IL"/>
        </w:rPr>
        <w:t>,</w:t>
      </w:r>
      <w:r w:rsidR="00AA2323">
        <w:rPr>
          <w:rFonts w:cs="FrankRuehl" w:hint="cs"/>
          <w:rtl/>
          <w:lang w:val="he-IL"/>
        </w:rPr>
        <w:t xml:space="preserve"> </w:t>
      </w:r>
      <w:r w:rsidR="00FC1785">
        <w:rPr>
          <w:rFonts w:cs="FrankRuehl" w:hint="cs"/>
          <w:rtl/>
          <w:lang w:val="he-IL"/>
        </w:rPr>
        <w:t>ו</w:t>
      </w:r>
      <w:r w:rsidR="00F62C56">
        <w:rPr>
          <w:rFonts w:cs="FrankRuehl"/>
          <w:rtl/>
          <w:lang w:val="he-IL"/>
        </w:rPr>
        <w:t>חוק הרש</w:t>
      </w:r>
      <w:r w:rsidR="00F62C56">
        <w:rPr>
          <w:rFonts w:cs="FrankRuehl" w:hint="cs"/>
          <w:rtl/>
          <w:lang w:val="he-IL"/>
        </w:rPr>
        <w:t>וי</w:t>
      </w:r>
      <w:r w:rsidR="00F62C56">
        <w:rPr>
          <w:rFonts w:cs="FrankRuehl"/>
          <w:rtl/>
          <w:lang w:val="he-IL"/>
        </w:rPr>
        <w:t>ות המקומיות (</w:t>
      </w:r>
      <w:r w:rsidR="00F62C56">
        <w:rPr>
          <w:rFonts w:cs="FrankRuehl" w:hint="cs"/>
          <w:rtl/>
          <w:lang w:val="he-IL"/>
        </w:rPr>
        <w:t xml:space="preserve">ביוב), </w:t>
      </w:r>
      <w:r w:rsidR="00AA2323">
        <w:rPr>
          <w:rFonts w:cs="FrankRuehl" w:hint="cs"/>
          <w:rtl/>
          <w:lang w:val="he-IL"/>
        </w:rPr>
        <w:t>ה</w:t>
      </w:r>
      <w:r w:rsidR="00F62C56">
        <w:rPr>
          <w:rFonts w:cs="FrankRuehl" w:hint="cs"/>
          <w:rtl/>
          <w:lang w:val="he-IL"/>
        </w:rPr>
        <w:t xml:space="preserve">תשכ"ב-1962 </w:t>
      </w:r>
      <w:r w:rsidR="00F62C56">
        <w:rPr>
          <w:rFonts w:cs="FrankRuehl"/>
          <w:rtl/>
          <w:lang w:val="he-IL"/>
        </w:rPr>
        <w:t xml:space="preserve">(להלן </w:t>
      </w:r>
      <w:r>
        <w:rPr>
          <w:rFonts w:cs="FrankRuehl"/>
          <w:rtl/>
          <w:lang w:val="he-IL"/>
        </w:rPr>
        <w:t>–</w:t>
      </w:r>
      <w:r w:rsidR="00F62C56">
        <w:rPr>
          <w:rFonts w:cs="FrankRuehl"/>
          <w:rtl/>
          <w:lang w:val="he-IL"/>
        </w:rPr>
        <w:t xml:space="preserve"> </w:t>
      </w:r>
      <w:r w:rsidR="00C66894">
        <w:rPr>
          <w:rFonts w:cs="FrankRuehl" w:hint="cs"/>
          <w:rtl/>
          <w:lang w:val="he-IL"/>
        </w:rPr>
        <w:t>ה</w:t>
      </w:r>
      <w:r w:rsidR="00F62C56">
        <w:rPr>
          <w:rFonts w:cs="FrankRuehl" w:hint="cs"/>
          <w:rtl/>
          <w:lang w:val="he-IL"/>
        </w:rPr>
        <w:t>ח</w:t>
      </w:r>
      <w:r w:rsidR="00F62C56">
        <w:rPr>
          <w:rFonts w:cs="FrankRuehl"/>
          <w:rtl/>
          <w:lang w:val="he-IL"/>
        </w:rPr>
        <w:t>וק</w:t>
      </w:r>
      <w:r w:rsidR="00F62C56">
        <w:rPr>
          <w:rFonts w:cs="FrankRuehl" w:hint="cs"/>
          <w:rtl/>
          <w:lang w:val="he-IL"/>
        </w:rPr>
        <w:t>),</w:t>
      </w:r>
      <w:r w:rsidR="00F62C56">
        <w:rPr>
          <w:rFonts w:cs="FrankRuehl"/>
          <w:rtl/>
          <w:lang w:val="he-IL"/>
        </w:rPr>
        <w:t xml:space="preserve"> מתקינה </w:t>
      </w:r>
      <w:r w:rsidR="00AA2323">
        <w:rPr>
          <w:rFonts w:cs="FrankRuehl" w:hint="cs"/>
          <w:rtl/>
          <w:lang w:val="he-IL"/>
        </w:rPr>
        <w:t>מועצת</w:t>
      </w:r>
      <w:r w:rsidR="008A0D79">
        <w:rPr>
          <w:rFonts w:cs="FrankRuehl" w:hint="cs"/>
          <w:rtl/>
          <w:lang w:val="he-IL"/>
        </w:rPr>
        <w:t xml:space="preserve"> </w:t>
      </w:r>
      <w:r w:rsidR="00AA2323">
        <w:rPr>
          <w:rFonts w:cs="FrankRuehl" w:hint="cs"/>
          <w:rtl/>
          <w:lang w:val="he-IL"/>
        </w:rPr>
        <w:t xml:space="preserve">עיריית </w:t>
      </w:r>
      <w:r w:rsidR="00C66894">
        <w:rPr>
          <w:rFonts w:cs="FrankRuehl" w:hint="cs"/>
          <w:rtl/>
          <w:lang w:val="he-IL"/>
        </w:rPr>
        <w:t>רמלה</w:t>
      </w:r>
      <w:r w:rsidR="00AA2323">
        <w:rPr>
          <w:rFonts w:cs="FrankRuehl" w:hint="cs"/>
          <w:rtl/>
          <w:lang w:val="he-IL"/>
        </w:rPr>
        <w:t xml:space="preserve"> </w:t>
      </w:r>
      <w:r w:rsidR="00F62C56">
        <w:rPr>
          <w:rFonts w:cs="FrankRuehl"/>
          <w:rtl/>
          <w:lang w:val="he-IL"/>
        </w:rPr>
        <w:t>חוק עזר</w:t>
      </w:r>
      <w:r w:rsidR="00F62C56">
        <w:rPr>
          <w:rFonts w:cs="FrankRuehl" w:hint="cs"/>
          <w:rtl/>
          <w:lang w:val="he-IL"/>
        </w:rPr>
        <w:t xml:space="preserve"> זה:</w:t>
      </w:r>
    </w:p>
    <w:p w14:paraId="3B78EF37" w14:textId="77777777" w:rsidR="00F62C56" w:rsidRDefault="00F62C56">
      <w:pPr>
        <w:pStyle w:val="P00"/>
        <w:spacing w:before="72"/>
        <w:ind w:left="0" w:right="1134"/>
        <w:rPr>
          <w:rStyle w:val="default"/>
          <w:rFonts w:hint="cs"/>
          <w:rtl/>
        </w:rPr>
      </w:pPr>
      <w:bookmarkStart w:id="0" w:name="Seif1"/>
      <w:bookmarkEnd w:id="0"/>
      <w:r>
        <w:rPr>
          <w:lang w:val="he-IL"/>
        </w:rPr>
        <w:pict w14:anchorId="12E62D44">
          <v:rect id="_x0000_s1026" style="position:absolute;left:0;text-align:left;margin-left:464.5pt;margin-top:8.05pt;width:75.05pt;height:10.6pt;z-index:251645952" o:allowincell="f" filled="f" stroked="f" strokecolor="lime" strokeweight=".25pt">
            <v:textbox style="mso-next-textbox:#_x0000_s1026" inset="0,0,0,0">
              <w:txbxContent>
                <w:p w14:paraId="45AE8198" w14:textId="77777777" w:rsidR="00720A6A" w:rsidRDefault="00720A6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297DEF8B" w14:textId="77777777" w:rsidR="00AA2323" w:rsidRDefault="00AA2323" w:rsidP="00C66894">
      <w:pPr>
        <w:pStyle w:val="P00"/>
        <w:spacing w:before="72"/>
        <w:ind w:left="0" w:right="1134"/>
        <w:rPr>
          <w:rStyle w:val="default"/>
          <w:rFonts w:hint="cs"/>
          <w:rtl/>
        </w:rPr>
      </w:pPr>
      <w:r>
        <w:rPr>
          <w:rStyle w:val="default"/>
          <w:rFonts w:hint="cs"/>
          <w:rtl/>
        </w:rPr>
        <w:tab/>
        <w:t xml:space="preserve">"אגרת ביוב" או "אגרה" </w:t>
      </w:r>
      <w:r>
        <w:rPr>
          <w:rStyle w:val="default"/>
          <w:rtl/>
        </w:rPr>
        <w:t>–</w:t>
      </w:r>
      <w:r>
        <w:rPr>
          <w:rStyle w:val="default"/>
          <w:rFonts w:hint="cs"/>
          <w:rtl/>
        </w:rPr>
        <w:t xml:space="preserve"> אגרה המוטלת לכיסוי הוצאות החזקת ביוב כאמור בסעיף 37 לחוק;</w:t>
      </w:r>
    </w:p>
    <w:p w14:paraId="5F5B63D0" w14:textId="77777777" w:rsidR="001E6480" w:rsidRDefault="001E6480" w:rsidP="00C66894">
      <w:pPr>
        <w:pStyle w:val="P00"/>
        <w:spacing w:before="72"/>
        <w:ind w:left="0" w:right="1134"/>
        <w:rPr>
          <w:rStyle w:val="default"/>
          <w:rFonts w:hint="cs"/>
          <w:rtl/>
        </w:rPr>
      </w:pPr>
      <w:r>
        <w:rPr>
          <w:rStyle w:val="default"/>
          <w:rFonts w:hint="cs"/>
          <w:rtl/>
        </w:rPr>
        <w:tab/>
      </w:r>
      <w:r w:rsidRPr="001E6480">
        <w:rPr>
          <w:rStyle w:val="default"/>
          <w:rtl/>
        </w:rPr>
        <w:t>"ביוב</w:t>
      </w:r>
      <w:r w:rsidR="00A92049">
        <w:rPr>
          <w:rStyle w:val="default"/>
          <w:rFonts w:hint="cs"/>
          <w:rtl/>
        </w:rPr>
        <w:t>"</w:t>
      </w:r>
      <w:r w:rsidR="00AA2323">
        <w:rPr>
          <w:rStyle w:val="default"/>
          <w:rFonts w:hint="cs"/>
          <w:rtl/>
        </w:rPr>
        <w:t>, "ביב פרטי", "בי</w:t>
      </w:r>
      <w:r w:rsidR="00C66894">
        <w:rPr>
          <w:rStyle w:val="default"/>
          <w:rFonts w:hint="cs"/>
          <w:rtl/>
        </w:rPr>
        <w:t>ת</w:t>
      </w:r>
      <w:r w:rsidR="00AA2323">
        <w:rPr>
          <w:rStyle w:val="default"/>
          <w:rFonts w:hint="cs"/>
          <w:rtl/>
        </w:rPr>
        <w:t xml:space="preserve"> ציבורי", "ביב מאסף", "נכס", "בעל" ו"מחזיק" של נכס</w:t>
      </w:r>
      <w:r w:rsidR="00A92049">
        <w:rPr>
          <w:rStyle w:val="default"/>
          <w:rFonts w:hint="cs"/>
          <w:rtl/>
        </w:rPr>
        <w:t xml:space="preserve"> </w:t>
      </w:r>
      <w:r>
        <w:rPr>
          <w:rStyle w:val="default"/>
          <w:rFonts w:hint="cs"/>
          <w:rtl/>
        </w:rPr>
        <w:t>–</w:t>
      </w:r>
      <w:r w:rsidR="00A92049">
        <w:rPr>
          <w:rStyle w:val="default"/>
          <w:rtl/>
        </w:rPr>
        <w:t xml:space="preserve"> </w:t>
      </w:r>
      <w:r w:rsidR="00AA2323">
        <w:rPr>
          <w:rStyle w:val="default"/>
          <w:rFonts w:hint="cs"/>
          <w:rtl/>
        </w:rPr>
        <w:t>כהגדרתם בסעיף 1 לחוק</w:t>
      </w:r>
      <w:r w:rsidR="00A92049">
        <w:rPr>
          <w:rStyle w:val="default"/>
          <w:rtl/>
        </w:rPr>
        <w:t>;</w:t>
      </w:r>
    </w:p>
    <w:p w14:paraId="501104DE" w14:textId="77777777" w:rsidR="00C66894" w:rsidRDefault="00C66894" w:rsidP="00C66894">
      <w:pPr>
        <w:pStyle w:val="P00"/>
        <w:spacing w:before="72"/>
        <w:ind w:left="0" w:right="1134"/>
        <w:rPr>
          <w:rStyle w:val="default"/>
          <w:rFonts w:hint="cs"/>
          <w:rtl/>
        </w:rPr>
      </w:pPr>
      <w:r>
        <w:rPr>
          <w:rStyle w:val="default"/>
          <w:rFonts w:hint="cs"/>
          <w:rtl/>
        </w:rPr>
        <w:tab/>
        <w:t xml:space="preserve">"בית עסק" </w:t>
      </w:r>
      <w:r>
        <w:rPr>
          <w:rStyle w:val="default"/>
          <w:rtl/>
        </w:rPr>
        <w:t>–</w:t>
      </w:r>
      <w:r>
        <w:rPr>
          <w:rStyle w:val="default"/>
          <w:rFonts w:hint="cs"/>
          <w:rtl/>
        </w:rPr>
        <w:t xml:space="preserve"> נכס המשמש או מיועד לשמש למטרה שאינה מגורים, לרבות נכס שנמצא בו בנין המשמש או מיועד לשמש למטרה כאמור, למעט נכס לתעשיה;</w:t>
      </w:r>
    </w:p>
    <w:p w14:paraId="37F49E7A" w14:textId="77777777" w:rsidR="00AA2323" w:rsidRDefault="00AA2323" w:rsidP="00C66894">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w:t>
      </w:r>
      <w:r w:rsidR="00C66894">
        <w:rPr>
          <w:rStyle w:val="default"/>
          <w:rFonts w:hint="cs"/>
          <w:rtl/>
        </w:rPr>
        <w:t xml:space="preserve">כל </w:t>
      </w:r>
      <w:r>
        <w:rPr>
          <w:rStyle w:val="default"/>
          <w:rFonts w:hint="cs"/>
          <w:rtl/>
        </w:rPr>
        <w:t xml:space="preserve">מבנה בתחום </w:t>
      </w:r>
      <w:r w:rsidR="00C66894">
        <w:rPr>
          <w:rStyle w:val="default"/>
          <w:rFonts w:hint="cs"/>
          <w:rtl/>
        </w:rPr>
        <w:t xml:space="preserve">שטח השיפוט של </w:t>
      </w:r>
      <w:r>
        <w:rPr>
          <w:rStyle w:val="default"/>
          <w:rFonts w:hint="cs"/>
          <w:rtl/>
        </w:rPr>
        <w:t xml:space="preserve">העיריה, בין שהוא ארעי ובין שהוא קבוע, בין שבנייתו הושלמה ובין אם לאו, הבנוי אבן, בטון, טיט, ברזל, עץ או חומר אחר, לרבות </w:t>
      </w:r>
      <w:r w:rsidR="00C66894">
        <w:rPr>
          <w:rStyle w:val="default"/>
          <w:rFonts w:hint="cs"/>
          <w:rtl/>
        </w:rPr>
        <w:t xml:space="preserve">כל </w:t>
      </w:r>
      <w:r>
        <w:rPr>
          <w:rStyle w:val="default"/>
          <w:rFonts w:hint="cs"/>
          <w:rtl/>
        </w:rPr>
        <w:t xml:space="preserve">חלק של מבנה כאמור וכל דבר המחובר </w:t>
      </w:r>
      <w:r w:rsidR="00C66894">
        <w:rPr>
          <w:rStyle w:val="default"/>
          <w:rFonts w:hint="cs"/>
          <w:rtl/>
        </w:rPr>
        <w:t>א</w:t>
      </w:r>
      <w:r>
        <w:rPr>
          <w:rStyle w:val="default"/>
          <w:rFonts w:hint="cs"/>
          <w:rtl/>
        </w:rPr>
        <w:t>ל</w:t>
      </w:r>
      <w:r w:rsidR="00C66894">
        <w:rPr>
          <w:rStyle w:val="default"/>
          <w:rFonts w:hint="cs"/>
          <w:rtl/>
        </w:rPr>
        <w:t>י</w:t>
      </w:r>
      <w:r>
        <w:rPr>
          <w:rStyle w:val="default"/>
          <w:rFonts w:hint="cs"/>
          <w:rtl/>
        </w:rPr>
        <w:t>ו חיבור של קבע;</w:t>
      </w:r>
    </w:p>
    <w:p w14:paraId="3E708264" w14:textId="77777777" w:rsidR="00AA2323" w:rsidRDefault="00AA2323" w:rsidP="00C66894">
      <w:pPr>
        <w:pStyle w:val="P00"/>
        <w:spacing w:before="72"/>
        <w:ind w:left="0" w:right="1134"/>
        <w:rPr>
          <w:rStyle w:val="default"/>
          <w:rFonts w:hint="cs"/>
          <w:rtl/>
        </w:rPr>
      </w:pPr>
      <w:r>
        <w:rPr>
          <w:rStyle w:val="default"/>
          <w:rFonts w:hint="cs"/>
          <w:rtl/>
        </w:rPr>
        <w:tab/>
      </w:r>
      <w:r w:rsidRPr="001E6480">
        <w:rPr>
          <w:rStyle w:val="default"/>
          <w:rtl/>
        </w:rPr>
        <w:t>"היטל ביוב"</w:t>
      </w:r>
      <w:r>
        <w:rPr>
          <w:rStyle w:val="default"/>
          <w:rFonts w:hint="cs"/>
          <w:rtl/>
        </w:rPr>
        <w:t xml:space="preserve"> או "היטל"</w:t>
      </w:r>
      <w:r w:rsidRPr="001E6480">
        <w:rPr>
          <w:rStyle w:val="default"/>
          <w:rtl/>
        </w:rPr>
        <w:t xml:space="preserve"> </w:t>
      </w:r>
      <w:r>
        <w:rPr>
          <w:rStyle w:val="default"/>
          <w:rFonts w:hint="cs"/>
          <w:rtl/>
        </w:rPr>
        <w:t>–</w:t>
      </w:r>
      <w:r w:rsidRPr="001E6480">
        <w:rPr>
          <w:rStyle w:val="default"/>
          <w:rtl/>
        </w:rPr>
        <w:t xml:space="preserve"> היטל המוטל לכיסוי </w:t>
      </w:r>
      <w:r>
        <w:rPr>
          <w:rStyle w:val="default"/>
          <w:rFonts w:hint="cs"/>
          <w:rtl/>
        </w:rPr>
        <w:t>הוצא</w:t>
      </w:r>
      <w:r w:rsidRPr="001E6480">
        <w:rPr>
          <w:rStyle w:val="default"/>
          <w:rtl/>
        </w:rPr>
        <w:t xml:space="preserve">ות </w:t>
      </w:r>
      <w:r>
        <w:rPr>
          <w:rStyle w:val="default"/>
          <w:rFonts w:hint="cs"/>
          <w:rtl/>
        </w:rPr>
        <w:t xml:space="preserve">התקנת </w:t>
      </w:r>
      <w:r w:rsidRPr="001E6480">
        <w:rPr>
          <w:rStyle w:val="default"/>
          <w:rtl/>
        </w:rPr>
        <w:t xml:space="preserve">ביוב או קנייתו </w:t>
      </w:r>
      <w:r>
        <w:rPr>
          <w:rStyle w:val="default"/>
          <w:rFonts w:hint="cs"/>
          <w:rtl/>
        </w:rPr>
        <w:t xml:space="preserve">לפי </w:t>
      </w:r>
      <w:r w:rsidRPr="001E6480">
        <w:rPr>
          <w:rStyle w:val="default"/>
          <w:rtl/>
        </w:rPr>
        <w:t>סעיף 17 לחוק</w:t>
      </w:r>
      <w:r>
        <w:rPr>
          <w:rStyle w:val="default"/>
          <w:rtl/>
        </w:rPr>
        <w:t>;</w:t>
      </w:r>
    </w:p>
    <w:p w14:paraId="7D470885" w14:textId="77777777" w:rsidR="00AA2323" w:rsidRDefault="00AA2323" w:rsidP="00083502">
      <w:pPr>
        <w:pStyle w:val="P00"/>
        <w:spacing w:before="72"/>
        <w:ind w:left="0" w:right="1134"/>
        <w:rPr>
          <w:rStyle w:val="default"/>
          <w:rFonts w:hint="cs"/>
          <w:rtl/>
        </w:rPr>
      </w:pPr>
      <w:r>
        <w:rPr>
          <w:rStyle w:val="default"/>
          <w:rFonts w:hint="cs"/>
          <w:rtl/>
        </w:rPr>
        <w:tab/>
        <w:t>"היתר בניה", "סטיה מהיתר"</w:t>
      </w:r>
      <w:r w:rsidR="00083502">
        <w:rPr>
          <w:rStyle w:val="default"/>
          <w:rFonts w:hint="cs"/>
          <w:rtl/>
        </w:rPr>
        <w:t>,</w:t>
      </w:r>
      <w:r>
        <w:rPr>
          <w:rStyle w:val="default"/>
          <w:rFonts w:hint="cs"/>
          <w:rtl/>
        </w:rPr>
        <w:t xml:space="preserve"> "שימוש חורג"</w:t>
      </w:r>
      <w:r w:rsidR="00C66894">
        <w:rPr>
          <w:rStyle w:val="default"/>
          <w:rFonts w:hint="cs"/>
          <w:rtl/>
        </w:rPr>
        <w:t>, "הקלה", "תעודת גמר למבנה"</w:t>
      </w:r>
      <w:r>
        <w:rPr>
          <w:rStyle w:val="default"/>
          <w:rFonts w:hint="cs"/>
          <w:rtl/>
        </w:rPr>
        <w:t xml:space="preserve"> </w:t>
      </w:r>
      <w:r>
        <w:rPr>
          <w:rStyle w:val="default"/>
          <w:rtl/>
        </w:rPr>
        <w:t>–</w:t>
      </w:r>
      <w:r>
        <w:rPr>
          <w:rStyle w:val="default"/>
          <w:rFonts w:hint="cs"/>
          <w:rtl/>
        </w:rPr>
        <w:t xml:space="preserve"> כמשמעותם בחוק התכנון</w:t>
      </w:r>
      <w:r w:rsidR="00C66894">
        <w:rPr>
          <w:rStyle w:val="default"/>
          <w:rFonts w:hint="cs"/>
          <w:rtl/>
        </w:rPr>
        <w:t xml:space="preserve"> והבניה, התשכ"ה-1965 (להלן </w:t>
      </w:r>
      <w:r w:rsidR="00C66894">
        <w:rPr>
          <w:rStyle w:val="default"/>
          <w:rtl/>
        </w:rPr>
        <w:t>–</w:t>
      </w:r>
      <w:r w:rsidR="00C66894">
        <w:rPr>
          <w:rStyle w:val="default"/>
          <w:rFonts w:hint="cs"/>
          <w:rtl/>
        </w:rPr>
        <w:t xml:space="preserve"> חוק התכנון והבניה) והתקנות שהותקנו מכוחו</w:t>
      </w:r>
      <w:r>
        <w:rPr>
          <w:rStyle w:val="default"/>
          <w:rFonts w:hint="cs"/>
          <w:rtl/>
        </w:rPr>
        <w:t>;</w:t>
      </w:r>
    </w:p>
    <w:p w14:paraId="291EE07C" w14:textId="77777777" w:rsidR="00C66894" w:rsidRDefault="00C66894" w:rsidP="00083502">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העיריה;</w:t>
      </w:r>
    </w:p>
    <w:p w14:paraId="2096CCCA" w14:textId="77777777" w:rsidR="00C66894" w:rsidRDefault="00C66894" w:rsidP="00A83B71">
      <w:pPr>
        <w:pStyle w:val="P00"/>
        <w:spacing w:before="72"/>
        <w:ind w:left="0" w:right="1134"/>
        <w:rPr>
          <w:rStyle w:val="default"/>
          <w:rFonts w:hint="cs"/>
          <w:rtl/>
        </w:rPr>
      </w:pPr>
      <w:r>
        <w:rPr>
          <w:rStyle w:val="default"/>
          <w:rFonts w:hint="cs"/>
          <w:rtl/>
        </w:rPr>
        <w:tab/>
        <w:t xml:space="preserve">"המנהל" </w:t>
      </w:r>
      <w:r w:rsidR="00A83B71">
        <w:rPr>
          <w:rStyle w:val="default"/>
          <w:rtl/>
        </w:rPr>
        <w:t>–</w:t>
      </w:r>
      <w:r>
        <w:rPr>
          <w:rStyle w:val="default"/>
          <w:rFonts w:hint="cs"/>
          <w:rtl/>
        </w:rPr>
        <w:t xml:space="preserve"> </w:t>
      </w:r>
      <w:r w:rsidR="00A83B71">
        <w:rPr>
          <w:rStyle w:val="default"/>
          <w:rFonts w:hint="cs"/>
          <w:rtl/>
        </w:rPr>
        <w:t>אדם שמינתה העיריה למלא תפקידים ולהפעיל סמכויות לענין הוראות חוק עזר זה, כולן או מקצתן;</w:t>
      </w:r>
    </w:p>
    <w:p w14:paraId="543B2FC2" w14:textId="77777777" w:rsidR="00A83B71" w:rsidRDefault="00A83B71" w:rsidP="00A83B71">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עיריית רמלה;</w:t>
      </w:r>
    </w:p>
    <w:p w14:paraId="7DA3FF2A" w14:textId="77777777" w:rsidR="00F10984" w:rsidRDefault="00F10984" w:rsidP="00F10984">
      <w:pPr>
        <w:pStyle w:val="P00"/>
        <w:spacing w:before="72"/>
        <w:ind w:left="0" w:right="1134"/>
        <w:rPr>
          <w:rStyle w:val="default"/>
          <w:rFonts w:hint="cs"/>
          <w:rtl/>
        </w:rPr>
      </w:pPr>
      <w:r>
        <w:rPr>
          <w:rFonts w:ascii="FrankRuehl" w:hAnsi="FrankRuehl" w:cs="FrankRuehl" w:hint="cs"/>
          <w:sz w:val="26"/>
          <w:rtl/>
          <w:lang w:eastAsia="en-US"/>
        </w:rPr>
        <w:pict w14:anchorId="23635528">
          <v:shapetype id="_x0000_t202" coordsize="21600,21600" o:spt="202" path="m,l,21600r21600,l21600,xe">
            <v:stroke joinstyle="miter"/>
            <v:path gradientshapeok="t" o:connecttype="rect"/>
          </v:shapetype>
          <v:shape id="_x0000_s1148" type="#_x0000_t202" style="position:absolute;left:0;text-align:left;margin-left:470.35pt;margin-top:7.1pt;width:1in;height:11.2pt;z-index:251665408" filled="f" stroked="f">
            <v:textbox inset="1mm,0,1mm,0">
              <w:txbxContent>
                <w:p w14:paraId="16999121" w14:textId="77777777" w:rsidR="00F10984" w:rsidRDefault="00F10984" w:rsidP="00F10984">
                  <w:pPr>
                    <w:spacing w:line="160" w:lineRule="exact"/>
                    <w:jc w:val="left"/>
                    <w:rPr>
                      <w:rFonts w:cs="Miriam" w:hint="cs"/>
                      <w:sz w:val="18"/>
                      <w:szCs w:val="18"/>
                      <w:rtl/>
                    </w:rPr>
                  </w:pPr>
                  <w:r>
                    <w:rPr>
                      <w:rFonts w:cs="Miriam" w:hint="cs"/>
                      <w:sz w:val="18"/>
                      <w:szCs w:val="18"/>
                      <w:rtl/>
                    </w:rPr>
                    <w:t>תיקון תש"ס-2000</w:t>
                  </w:r>
                </w:p>
              </w:txbxContent>
            </v:textbox>
            <w10:anchorlock/>
          </v:shape>
        </w:pict>
      </w:r>
      <w:r>
        <w:rPr>
          <w:rStyle w:val="default"/>
          <w:rFonts w:hint="cs"/>
          <w:rtl/>
        </w:rPr>
        <w:tab/>
        <w:t xml:space="preserve">"יציע", "מרפסת", "מרתף", "עליית גג" </w:t>
      </w:r>
      <w:r>
        <w:rPr>
          <w:rStyle w:val="default"/>
          <w:rtl/>
        </w:rPr>
        <w:t>–</w:t>
      </w:r>
      <w:r>
        <w:rPr>
          <w:rStyle w:val="default"/>
          <w:rFonts w:hint="cs"/>
          <w:rtl/>
        </w:rPr>
        <w:t xml:space="preserve"> כמשמעותם בפרט 1.00.1 לסימן א' לתוספת השלישית לתקנות התכנון והבניה (בקשה להיתר תנאיו ואגרות), התש"ל-1970 (להלן </w:t>
      </w:r>
      <w:r>
        <w:rPr>
          <w:rStyle w:val="default"/>
          <w:rtl/>
        </w:rPr>
        <w:t>–</w:t>
      </w:r>
      <w:r>
        <w:rPr>
          <w:rStyle w:val="default"/>
          <w:rFonts w:hint="cs"/>
          <w:rtl/>
        </w:rPr>
        <w:t xml:space="preserve"> תקנות היתר בניה);</w:t>
      </w:r>
    </w:p>
    <w:p w14:paraId="1780D85C" w14:textId="77777777" w:rsidR="00AA2323" w:rsidRDefault="00AA2323" w:rsidP="00A83B71">
      <w:pPr>
        <w:pStyle w:val="P00"/>
        <w:spacing w:before="72"/>
        <w:ind w:left="0" w:right="1134"/>
        <w:rPr>
          <w:rStyle w:val="default"/>
          <w:rFonts w:hint="cs"/>
          <w:rtl/>
        </w:rPr>
      </w:pPr>
      <w:r>
        <w:rPr>
          <w:rStyle w:val="default"/>
          <w:rFonts w:hint="cs"/>
          <w:rtl/>
        </w:rPr>
        <w:tab/>
        <w:t>"מהנדס</w:t>
      </w:r>
      <w:r w:rsidR="00A83B71">
        <w:rPr>
          <w:rStyle w:val="default"/>
          <w:rFonts w:hint="cs"/>
          <w:rtl/>
        </w:rPr>
        <w:t xml:space="preserve"> העיריה</w:t>
      </w:r>
      <w:r>
        <w:rPr>
          <w:rStyle w:val="default"/>
          <w:rFonts w:hint="cs"/>
          <w:rtl/>
        </w:rPr>
        <w:t>"</w:t>
      </w:r>
      <w:r w:rsidR="00A83B71">
        <w:rPr>
          <w:rStyle w:val="default"/>
          <w:rFonts w:hint="cs"/>
          <w:rtl/>
        </w:rPr>
        <w:t xml:space="preserve"> או "המהנדס"</w:t>
      </w:r>
      <w:r>
        <w:rPr>
          <w:rStyle w:val="default"/>
          <w:rFonts w:hint="cs"/>
          <w:rtl/>
        </w:rPr>
        <w:t xml:space="preserve"> </w:t>
      </w:r>
      <w:r w:rsidR="00BD4B1F">
        <w:rPr>
          <w:rStyle w:val="default"/>
          <w:rtl/>
        </w:rPr>
        <w:t>–</w:t>
      </w:r>
      <w:r>
        <w:rPr>
          <w:rStyle w:val="default"/>
          <w:rFonts w:hint="cs"/>
          <w:rtl/>
        </w:rPr>
        <w:t xml:space="preserve"> </w:t>
      </w:r>
      <w:r w:rsidR="00BD4B1F">
        <w:rPr>
          <w:rStyle w:val="default"/>
          <w:rFonts w:hint="cs"/>
          <w:rtl/>
        </w:rPr>
        <w:t xml:space="preserve">מהנדס </w:t>
      </w:r>
      <w:r w:rsidR="00A83B71">
        <w:rPr>
          <w:rStyle w:val="default"/>
          <w:rFonts w:hint="cs"/>
          <w:rtl/>
        </w:rPr>
        <w:t xml:space="preserve">שנתמנה למהנדס </w:t>
      </w:r>
      <w:r w:rsidR="00BD4B1F">
        <w:rPr>
          <w:rStyle w:val="default"/>
          <w:rFonts w:hint="cs"/>
          <w:rtl/>
        </w:rPr>
        <w:t>העיריה</w:t>
      </w:r>
      <w:r w:rsidR="009F6510">
        <w:rPr>
          <w:rStyle w:val="default"/>
          <w:rFonts w:hint="cs"/>
          <w:rtl/>
        </w:rPr>
        <w:t xml:space="preserve"> לפי </w:t>
      </w:r>
      <w:r w:rsidR="00A83B71">
        <w:rPr>
          <w:rStyle w:val="default"/>
          <w:rFonts w:hint="cs"/>
          <w:rtl/>
        </w:rPr>
        <w:t xml:space="preserve">הוראות סעיף 167(א) לפקודה, לרבות מי שהוא הסמיך בכתב לענין הוראות </w:t>
      </w:r>
      <w:r w:rsidR="00BD4B1F">
        <w:rPr>
          <w:rStyle w:val="default"/>
          <w:rFonts w:hint="cs"/>
          <w:rtl/>
        </w:rPr>
        <w:t>חוק עזר זה, כולן או מקצתן;</w:t>
      </w:r>
    </w:p>
    <w:p w14:paraId="44F8FCB1" w14:textId="77777777" w:rsidR="009F6510" w:rsidRDefault="009F6510" w:rsidP="00A83B71">
      <w:pPr>
        <w:pStyle w:val="P00"/>
        <w:spacing w:before="72"/>
        <w:ind w:left="0" w:right="1134"/>
        <w:rPr>
          <w:rStyle w:val="default"/>
          <w:rFonts w:hint="cs"/>
          <w:rtl/>
        </w:rPr>
      </w:pPr>
      <w:r>
        <w:rPr>
          <w:rStyle w:val="default"/>
          <w:rFonts w:hint="cs"/>
          <w:rtl/>
        </w:rPr>
        <w:tab/>
        <w:t>"מערכת ביוב"</w:t>
      </w:r>
      <w:r w:rsidR="00A83B71">
        <w:rPr>
          <w:rStyle w:val="default"/>
          <w:rFonts w:hint="cs"/>
          <w:rtl/>
        </w:rPr>
        <w:t>, "מפעל טעון היתר"</w:t>
      </w:r>
      <w:r>
        <w:rPr>
          <w:rStyle w:val="default"/>
          <w:rFonts w:hint="cs"/>
          <w:rtl/>
        </w:rPr>
        <w:t xml:space="preserve"> </w:t>
      </w:r>
      <w:r>
        <w:rPr>
          <w:rStyle w:val="default"/>
          <w:rtl/>
        </w:rPr>
        <w:t>–</w:t>
      </w:r>
      <w:r>
        <w:rPr>
          <w:rStyle w:val="default"/>
          <w:rFonts w:hint="cs"/>
          <w:rtl/>
        </w:rPr>
        <w:t xml:space="preserve"> כהגדרת</w:t>
      </w:r>
      <w:r w:rsidR="00A83B71">
        <w:rPr>
          <w:rStyle w:val="default"/>
          <w:rFonts w:hint="cs"/>
          <w:rtl/>
        </w:rPr>
        <w:t>ם</w:t>
      </w:r>
      <w:r>
        <w:rPr>
          <w:rStyle w:val="default"/>
          <w:rFonts w:hint="cs"/>
          <w:rtl/>
        </w:rPr>
        <w:t xml:space="preserve"> בחוק עזר לדוגמה לרשויות מקומיות (הזרמת שפכי תעשיה למערכת ביוב), התשמ"ב-1981;</w:t>
      </w:r>
    </w:p>
    <w:p w14:paraId="1F02DFC7" w14:textId="77777777" w:rsidR="006D1847" w:rsidRDefault="006D1847" w:rsidP="00A83B71">
      <w:pPr>
        <w:pStyle w:val="P00"/>
        <w:spacing w:before="72"/>
        <w:ind w:left="0" w:right="1134"/>
        <w:rPr>
          <w:rStyle w:val="default"/>
          <w:rFonts w:hint="cs"/>
          <w:rtl/>
        </w:rPr>
      </w:pPr>
      <w:r>
        <w:rPr>
          <w:rStyle w:val="default"/>
          <w:rFonts w:hint="cs"/>
          <w:rtl/>
        </w:rPr>
        <w:tab/>
        <w:t xml:space="preserve">"נכס </w:t>
      </w:r>
      <w:r w:rsidR="00A83B71">
        <w:rPr>
          <w:rStyle w:val="default"/>
          <w:rFonts w:hint="cs"/>
          <w:rtl/>
        </w:rPr>
        <w:t>לתעשיה</w:t>
      </w:r>
      <w:r>
        <w:rPr>
          <w:rStyle w:val="default"/>
          <w:rFonts w:hint="cs"/>
          <w:rtl/>
        </w:rPr>
        <w:t xml:space="preserve">" </w:t>
      </w:r>
      <w:r>
        <w:rPr>
          <w:rStyle w:val="default"/>
          <w:rtl/>
        </w:rPr>
        <w:t>–</w:t>
      </w:r>
      <w:r>
        <w:rPr>
          <w:rStyle w:val="default"/>
          <w:rFonts w:hint="cs"/>
          <w:rtl/>
        </w:rPr>
        <w:t xml:space="preserve"> נכס </w:t>
      </w:r>
      <w:r w:rsidR="00A83B71">
        <w:rPr>
          <w:rStyle w:val="default"/>
          <w:rFonts w:hint="cs"/>
          <w:rtl/>
        </w:rPr>
        <w:t>המשמש או מיועד לשמש לתעשיה, לרבות נכס שנמצא בו בנין המשמש או מיועד לשמש לתעשיה</w:t>
      </w:r>
      <w:r>
        <w:rPr>
          <w:rStyle w:val="default"/>
          <w:rFonts w:hint="cs"/>
          <w:rtl/>
        </w:rPr>
        <w:t>;</w:t>
      </w:r>
    </w:p>
    <w:p w14:paraId="4C4FA817" w14:textId="77777777" w:rsidR="00F10984" w:rsidRDefault="00F10984" w:rsidP="00F10984">
      <w:pPr>
        <w:pStyle w:val="P00"/>
        <w:spacing w:before="72"/>
        <w:ind w:left="0" w:right="1134"/>
        <w:rPr>
          <w:rStyle w:val="default"/>
          <w:rFonts w:hint="cs"/>
          <w:rtl/>
        </w:rPr>
      </w:pPr>
      <w:r>
        <w:rPr>
          <w:rFonts w:ascii="FrankRuehl" w:hAnsi="FrankRuehl" w:cs="FrankRuehl" w:hint="cs"/>
          <w:sz w:val="26"/>
          <w:rtl/>
          <w:lang w:eastAsia="en-US"/>
        </w:rPr>
        <w:pict w14:anchorId="34C6B600">
          <v:shape id="_x0000_s1149" type="#_x0000_t202" style="position:absolute;left:0;text-align:left;margin-left:470.35pt;margin-top:7.1pt;width:1in;height:11.2pt;z-index:251666432" filled="f" stroked="f">
            <v:textbox inset="1mm,0,1mm,0">
              <w:txbxContent>
                <w:p w14:paraId="4CCA830D" w14:textId="77777777" w:rsidR="00F10984" w:rsidRDefault="00F10984" w:rsidP="00F10984">
                  <w:pPr>
                    <w:spacing w:line="160" w:lineRule="exact"/>
                    <w:jc w:val="left"/>
                    <w:rPr>
                      <w:rFonts w:cs="Miriam" w:hint="cs"/>
                      <w:sz w:val="18"/>
                      <w:szCs w:val="18"/>
                      <w:rtl/>
                    </w:rPr>
                  </w:pPr>
                  <w:r>
                    <w:rPr>
                      <w:rFonts w:cs="Miriam" w:hint="cs"/>
                      <w:sz w:val="18"/>
                      <w:szCs w:val="18"/>
                      <w:rtl/>
                    </w:rPr>
                    <w:t>תיקון תש"ס-2000</w:t>
                  </w:r>
                </w:p>
              </w:txbxContent>
            </v:textbox>
            <w10:anchorlock/>
          </v:shape>
        </w:pict>
      </w:r>
      <w:r>
        <w:rPr>
          <w:rStyle w:val="default"/>
          <w:rFonts w:hint="cs"/>
          <w:rtl/>
        </w:rPr>
        <w:tab/>
        <w:t xml:space="preserve">"קומה" </w:t>
      </w:r>
      <w:r>
        <w:rPr>
          <w:rStyle w:val="default"/>
          <w:rtl/>
        </w:rPr>
        <w:t>–</w:t>
      </w:r>
      <w:r>
        <w:rPr>
          <w:rStyle w:val="default"/>
          <w:rFonts w:hint="cs"/>
          <w:rtl/>
        </w:rPr>
        <w:t xml:space="preserve"> חלל המשתרע בין שתי רצפות סמוכות הנמצאות זו מעל זו, הנמדד לפי גובהו המזערי של אותו חלל, כקבוע בתקנות היתר בניה, לרבות בבניני עזר, במרתפים, במרפסות מקורות ופתוחות, במחסנים, בחדרי מדרגות, במעברים, בגבליות, במרתפי חניה, בחניות מקורות, ביציעים, בחדרי מעליות, בעליות גג ובשטח אחר בקומה;</w:t>
      </w:r>
    </w:p>
    <w:p w14:paraId="26F0492F" w14:textId="77777777" w:rsidR="006D1847" w:rsidRDefault="006D1847" w:rsidP="00A83B71">
      <w:pPr>
        <w:pStyle w:val="P00"/>
        <w:spacing w:before="72"/>
        <w:ind w:left="0" w:right="1134"/>
        <w:rPr>
          <w:rStyle w:val="default"/>
          <w:rFonts w:hint="cs"/>
          <w:rtl/>
        </w:rPr>
      </w:pPr>
      <w:r>
        <w:rPr>
          <w:rStyle w:val="default"/>
          <w:rFonts w:hint="cs"/>
          <w:rtl/>
        </w:rPr>
        <w:tab/>
        <w:t>"</w:t>
      </w:r>
      <w:r w:rsidR="00A83B71">
        <w:rPr>
          <w:rStyle w:val="default"/>
          <w:rFonts w:hint="cs"/>
          <w:rtl/>
        </w:rPr>
        <w:t xml:space="preserve">קרקע" </w:t>
      </w:r>
      <w:r w:rsidR="00A83B71">
        <w:rPr>
          <w:rStyle w:val="default"/>
          <w:rtl/>
        </w:rPr>
        <w:t>–</w:t>
      </w:r>
      <w:r w:rsidR="00A83B71">
        <w:rPr>
          <w:rStyle w:val="default"/>
          <w:rFonts w:hint="cs"/>
          <w:rtl/>
        </w:rPr>
        <w:t xml:space="preserve"> מקרקעין לסוגיהם, למעט קרקע חקלאית</w:t>
      </w:r>
      <w:r>
        <w:rPr>
          <w:rStyle w:val="default"/>
          <w:rFonts w:hint="cs"/>
          <w:rtl/>
        </w:rPr>
        <w:t>;</w:t>
      </w:r>
    </w:p>
    <w:p w14:paraId="6B3446D8" w14:textId="77777777" w:rsidR="006D1847" w:rsidRDefault="006D1847" w:rsidP="00A83B71">
      <w:pPr>
        <w:pStyle w:val="P00"/>
        <w:spacing w:before="72"/>
        <w:ind w:left="0" w:right="1134"/>
        <w:rPr>
          <w:rStyle w:val="default"/>
          <w:rFonts w:hint="cs"/>
          <w:rtl/>
        </w:rPr>
      </w:pPr>
      <w:r>
        <w:rPr>
          <w:rStyle w:val="default"/>
          <w:rFonts w:hint="cs"/>
          <w:rtl/>
        </w:rPr>
        <w:tab/>
        <w:t>"</w:t>
      </w:r>
      <w:r w:rsidR="00A83B71">
        <w:rPr>
          <w:rStyle w:val="default"/>
          <w:rFonts w:hint="cs"/>
          <w:rtl/>
        </w:rPr>
        <w:t xml:space="preserve">קרקע חקלאית" </w:t>
      </w:r>
      <w:r w:rsidR="00A83B71">
        <w:rPr>
          <w:rStyle w:val="default"/>
          <w:rtl/>
        </w:rPr>
        <w:t>–</w:t>
      </w:r>
      <w:r w:rsidR="00A83B71">
        <w:rPr>
          <w:rStyle w:val="default"/>
          <w:rFonts w:hint="cs"/>
          <w:rtl/>
        </w:rPr>
        <w:t xml:space="preserve"> קרקע שייעודה למטרה חקלאית לפי תכנית בנין עיר תקפה</w:t>
      </w:r>
      <w:r>
        <w:rPr>
          <w:rStyle w:val="default"/>
          <w:rFonts w:hint="cs"/>
          <w:rtl/>
        </w:rPr>
        <w:t>;</w:t>
      </w:r>
    </w:p>
    <w:p w14:paraId="4F8EC434" w14:textId="77777777" w:rsidR="006D1847" w:rsidRDefault="006D1847" w:rsidP="006D1847">
      <w:pPr>
        <w:pStyle w:val="P00"/>
        <w:spacing w:before="72"/>
        <w:ind w:left="0" w:right="1134"/>
        <w:rPr>
          <w:rStyle w:val="default"/>
          <w:rFonts w:hint="cs"/>
          <w:rtl/>
        </w:rPr>
      </w:pPr>
      <w:r>
        <w:rPr>
          <w:rStyle w:val="default"/>
          <w:rFonts w:hint="cs"/>
          <w:rtl/>
        </w:rPr>
        <w:tab/>
        <w:t xml:space="preserve">"שטח בנין" </w:t>
      </w:r>
      <w:r>
        <w:rPr>
          <w:rStyle w:val="default"/>
          <w:rtl/>
        </w:rPr>
        <w:t>–</w:t>
      </w:r>
      <w:r>
        <w:rPr>
          <w:rStyle w:val="default"/>
          <w:rFonts w:hint="cs"/>
          <w:rtl/>
        </w:rPr>
        <w:t xml:space="preserve"> הסכום במ"ר של שטחי כל הקומות בבנין;</w:t>
      </w:r>
    </w:p>
    <w:p w14:paraId="3309E2EC" w14:textId="77777777" w:rsidR="00F10984" w:rsidRDefault="00F10984" w:rsidP="00F10984">
      <w:pPr>
        <w:pStyle w:val="P00"/>
        <w:spacing w:before="72"/>
        <w:ind w:left="0" w:right="1134"/>
        <w:rPr>
          <w:rStyle w:val="default"/>
          <w:rFonts w:hint="cs"/>
          <w:rtl/>
        </w:rPr>
      </w:pPr>
      <w:r>
        <w:rPr>
          <w:rFonts w:ascii="FrankRuehl" w:hAnsi="FrankRuehl" w:cs="FrankRuehl" w:hint="cs"/>
          <w:sz w:val="26"/>
          <w:rtl/>
          <w:lang w:eastAsia="en-US"/>
        </w:rPr>
        <w:lastRenderedPageBreak/>
        <w:pict w14:anchorId="4640E901">
          <v:shape id="_x0000_s1150" type="#_x0000_t202" style="position:absolute;left:0;text-align:left;margin-left:470.35pt;margin-top:7.1pt;width:1in;height:11.2pt;z-index:251667456" filled="f" stroked="f">
            <v:textbox inset="1mm,0,1mm,0">
              <w:txbxContent>
                <w:p w14:paraId="7B2B645E" w14:textId="77777777" w:rsidR="00F10984" w:rsidRDefault="00F10984" w:rsidP="00F10984">
                  <w:pPr>
                    <w:spacing w:line="160" w:lineRule="exact"/>
                    <w:jc w:val="left"/>
                    <w:rPr>
                      <w:rFonts w:cs="Miriam" w:hint="cs"/>
                      <w:sz w:val="18"/>
                      <w:szCs w:val="18"/>
                      <w:rtl/>
                    </w:rPr>
                  </w:pPr>
                  <w:r>
                    <w:rPr>
                      <w:rFonts w:cs="Miriam" w:hint="cs"/>
                      <w:sz w:val="18"/>
                      <w:szCs w:val="18"/>
                      <w:rtl/>
                    </w:rPr>
                    <w:t>תיקון תש"ס-2000</w:t>
                  </w:r>
                </w:p>
              </w:txbxContent>
            </v:textbox>
            <w10:anchorlock/>
          </v:shape>
        </w:pict>
      </w:r>
      <w:r>
        <w:rPr>
          <w:rStyle w:val="default"/>
          <w:rFonts w:hint="cs"/>
          <w:rtl/>
        </w:rPr>
        <w:tab/>
        <w:t xml:space="preserve">"שטח קומה" </w:t>
      </w:r>
      <w:r>
        <w:rPr>
          <w:rStyle w:val="default"/>
          <w:rtl/>
        </w:rPr>
        <w:t>–</w:t>
      </w:r>
      <w:r>
        <w:rPr>
          <w:rStyle w:val="default"/>
          <w:rFonts w:hint="cs"/>
          <w:rtl/>
        </w:rPr>
        <w:t xml:space="preserve"> הסכום הכולל במ"ר של שטח ההשלכה האופקית של רצפת הקומה, בתוספת השטח שמתחת לקירותיה החיצוניים והפנימיים;</w:t>
      </w:r>
    </w:p>
    <w:p w14:paraId="1D533E05" w14:textId="77777777" w:rsidR="00F10984" w:rsidRDefault="00F10984" w:rsidP="00F10984">
      <w:pPr>
        <w:pStyle w:val="P00"/>
        <w:spacing w:before="72"/>
        <w:ind w:left="0" w:right="1134"/>
        <w:rPr>
          <w:rStyle w:val="default"/>
          <w:rFonts w:hint="cs"/>
          <w:rtl/>
        </w:rPr>
      </w:pPr>
      <w:r>
        <w:rPr>
          <w:rFonts w:ascii="FrankRuehl" w:hAnsi="FrankRuehl" w:cs="FrankRuehl" w:hint="cs"/>
          <w:sz w:val="26"/>
          <w:rtl/>
          <w:lang w:eastAsia="en-US"/>
        </w:rPr>
        <w:pict w14:anchorId="43379E62">
          <v:shape id="_x0000_s1151" type="#_x0000_t202" style="position:absolute;left:0;text-align:left;margin-left:470.35pt;margin-top:7.1pt;width:1in;height:11.2pt;z-index:251668480" filled="f" stroked="f">
            <v:textbox inset="1mm,0,1mm,0">
              <w:txbxContent>
                <w:p w14:paraId="673C3476" w14:textId="77777777" w:rsidR="00F10984" w:rsidRDefault="00F10984" w:rsidP="00F10984">
                  <w:pPr>
                    <w:spacing w:line="160" w:lineRule="exact"/>
                    <w:jc w:val="left"/>
                    <w:rPr>
                      <w:rFonts w:cs="Miriam" w:hint="cs"/>
                      <w:sz w:val="18"/>
                      <w:szCs w:val="18"/>
                      <w:rtl/>
                    </w:rPr>
                  </w:pPr>
                  <w:r>
                    <w:rPr>
                      <w:rFonts w:cs="Miriam" w:hint="cs"/>
                      <w:sz w:val="18"/>
                      <w:szCs w:val="18"/>
                      <w:rtl/>
                    </w:rPr>
                    <w:t>תיקון תש"ס-2000</w:t>
                  </w:r>
                </w:p>
              </w:txbxContent>
            </v:textbox>
            <w10:anchorlock/>
          </v:shape>
        </w:pict>
      </w:r>
      <w:r>
        <w:rPr>
          <w:rStyle w:val="default"/>
          <w:rFonts w:hint="cs"/>
          <w:rtl/>
        </w:rPr>
        <w:tab/>
        <w:t xml:space="preserve">"נפח בנין" </w:t>
      </w:r>
      <w:r>
        <w:rPr>
          <w:rStyle w:val="default"/>
          <w:rtl/>
        </w:rPr>
        <w:t>–</w:t>
      </w:r>
      <w:r>
        <w:rPr>
          <w:rStyle w:val="default"/>
          <w:rFonts w:hint="cs"/>
          <w:rtl/>
        </w:rPr>
        <w:t xml:space="preserve"> הסכום הכולל במ"ק של שטחי כל הקומות בבנין, כאשר כל שטח כאמור מוכפל בגובה של אותה קומה הנמדד במ"א, לפי כללי המדידה הקבועים בפרט 1.00.8 לסימן ב' לתוספת השלישית לתקנות היתר בניה;</w:t>
      </w:r>
    </w:p>
    <w:p w14:paraId="1D7F07D5" w14:textId="77777777" w:rsidR="00DE4491" w:rsidRDefault="00DE4491" w:rsidP="00DE4491">
      <w:pPr>
        <w:pStyle w:val="P00"/>
        <w:spacing w:before="72"/>
        <w:ind w:left="0" w:right="1134"/>
        <w:rPr>
          <w:rStyle w:val="default"/>
          <w:rFonts w:hint="cs"/>
          <w:rtl/>
        </w:rPr>
      </w:pPr>
      <w:r>
        <w:rPr>
          <w:rStyle w:val="default"/>
          <w:rFonts w:hint="cs"/>
          <w:rtl/>
        </w:rPr>
        <w:tab/>
        <w:t xml:space="preserve">"שטח קרקע" </w:t>
      </w:r>
      <w:r>
        <w:rPr>
          <w:rStyle w:val="default"/>
          <w:rtl/>
        </w:rPr>
        <w:t>–</w:t>
      </w:r>
      <w:r>
        <w:rPr>
          <w:rStyle w:val="default"/>
          <w:rFonts w:hint="cs"/>
          <w:rtl/>
        </w:rPr>
        <w:t xml:space="preserve"> לרבות שטח הקרקע שעליו בנוי בנין;</w:t>
      </w:r>
    </w:p>
    <w:p w14:paraId="2D5C2AD5" w14:textId="77777777" w:rsidR="00DE4491" w:rsidRDefault="00DE4491" w:rsidP="00DE4491">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מי שהוא הסמיך בכתב לענין הוראות חוק עזר זה, כולן או מקצתן;</w:t>
      </w:r>
    </w:p>
    <w:p w14:paraId="43E3E68D" w14:textId="77777777" w:rsidR="002734DB" w:rsidRDefault="002734DB" w:rsidP="002734DB">
      <w:pPr>
        <w:pStyle w:val="P00"/>
        <w:spacing w:before="72"/>
        <w:ind w:left="0" w:right="1134"/>
        <w:rPr>
          <w:rStyle w:val="default"/>
          <w:rFonts w:hint="cs"/>
          <w:rtl/>
        </w:rPr>
      </w:pPr>
      <w:r>
        <w:rPr>
          <w:rStyle w:val="default"/>
          <w:rFonts w:hint="cs"/>
          <w:rtl/>
        </w:rPr>
        <w:tab/>
        <w:t xml:space="preserve">"תעודת העברה לרשם המקרקעין" </w:t>
      </w:r>
      <w:r>
        <w:rPr>
          <w:rStyle w:val="default"/>
          <w:rtl/>
        </w:rPr>
        <w:t>–</w:t>
      </w:r>
      <w:r w:rsidR="00DE4491">
        <w:rPr>
          <w:rStyle w:val="default"/>
          <w:rFonts w:hint="cs"/>
          <w:rtl/>
        </w:rPr>
        <w:t xml:space="preserve"> כאמור בסעיף 324 לפקודה.</w:t>
      </w:r>
    </w:p>
    <w:p w14:paraId="19107968" w14:textId="77777777" w:rsidR="002734DB" w:rsidRDefault="00F62C56" w:rsidP="002734DB">
      <w:pPr>
        <w:pStyle w:val="P00"/>
        <w:spacing w:before="72"/>
        <w:ind w:left="0" w:right="1134"/>
        <w:rPr>
          <w:rFonts w:cs="FrankRuehl" w:hint="cs"/>
          <w:rtl/>
          <w:lang w:eastAsia="en-US"/>
        </w:rPr>
      </w:pPr>
      <w:bookmarkStart w:id="1" w:name="Seif2"/>
      <w:bookmarkEnd w:id="1"/>
      <w:r>
        <w:rPr>
          <w:lang w:val="he-IL"/>
        </w:rPr>
        <w:pict w14:anchorId="47C3F955">
          <v:rect id="_x0000_s1027" style="position:absolute;left:0;text-align:left;margin-left:464.5pt;margin-top:8.05pt;width:75.05pt;height:9.1pt;z-index:251646976" o:allowincell="f" filled="f" stroked="f" strokecolor="lime" strokeweight=".25pt">
            <v:textbox style="mso-next-textbox:#_x0000_s1027" inset="0,0,0,0">
              <w:txbxContent>
                <w:p w14:paraId="08584518" w14:textId="77777777" w:rsidR="00720A6A" w:rsidRDefault="00720A6A">
                  <w:pPr>
                    <w:spacing w:line="160" w:lineRule="exact"/>
                    <w:jc w:val="left"/>
                    <w:rPr>
                      <w:rFonts w:cs="Miriam" w:hint="cs"/>
                      <w:sz w:val="18"/>
                      <w:szCs w:val="18"/>
                      <w:rtl/>
                    </w:rPr>
                  </w:pPr>
                  <w:r>
                    <w:rPr>
                      <w:rFonts w:cs="Miriam" w:hint="cs"/>
                      <w:sz w:val="18"/>
                      <w:szCs w:val="18"/>
                      <w:rtl/>
                    </w:rPr>
                    <w:t>היטל ביוב</w:t>
                  </w:r>
                </w:p>
              </w:txbxContent>
            </v:textbox>
            <w10:anchorlock/>
          </v:rect>
        </w:pict>
      </w:r>
      <w:r>
        <w:rPr>
          <w:rStyle w:val="big-number"/>
          <w:rFonts w:cs="Miriam"/>
          <w:rtl/>
        </w:rPr>
        <w:t>2</w:t>
      </w:r>
      <w:r w:rsidRPr="00E21565">
        <w:rPr>
          <w:rFonts w:cs="FrankRuehl"/>
          <w:rtl/>
          <w:lang w:eastAsia="en-US"/>
        </w:rPr>
        <w:t>.</w:t>
      </w:r>
      <w:r w:rsidRPr="00E21565">
        <w:rPr>
          <w:rFonts w:cs="FrankRuehl"/>
          <w:rtl/>
          <w:lang w:eastAsia="en-US"/>
        </w:rPr>
        <w:tab/>
      </w:r>
      <w:r w:rsidR="002734DB">
        <w:rPr>
          <w:rFonts w:cs="FrankRuehl" w:hint="cs"/>
          <w:rtl/>
          <w:lang w:eastAsia="en-US"/>
        </w:rPr>
        <w:t>(א)</w:t>
      </w:r>
      <w:r w:rsidR="002734DB">
        <w:rPr>
          <w:rFonts w:cs="FrankRuehl" w:hint="cs"/>
          <w:rtl/>
          <w:lang w:eastAsia="en-US"/>
        </w:rPr>
        <w:tab/>
        <w:t xml:space="preserve">בעל נכס </w:t>
      </w:r>
      <w:r w:rsidR="009610A5">
        <w:rPr>
          <w:rFonts w:cs="FrankRuehl" w:hint="cs"/>
          <w:rtl/>
          <w:lang w:eastAsia="en-US"/>
        </w:rPr>
        <w:t>ישלם היטל ביוב בהתקיים אחד מאלה:</w:t>
      </w:r>
    </w:p>
    <w:p w14:paraId="280E3784" w14:textId="77777777" w:rsidR="002734DB" w:rsidRDefault="002734DB" w:rsidP="009610A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9610A5">
        <w:rPr>
          <w:rFonts w:cs="FrankRuehl" w:hint="cs"/>
          <w:rtl/>
          <w:lang w:eastAsia="en-US"/>
        </w:rPr>
        <w:t>העיריה התקינה או קנתה או החליטה על התקנת או על קניית שלב ביוב אשר ישמש את נכסו, במישרין או בעקיפין</w:t>
      </w:r>
      <w:r>
        <w:rPr>
          <w:rFonts w:cs="FrankRuehl" w:hint="cs"/>
          <w:rtl/>
          <w:lang w:eastAsia="en-US"/>
        </w:rPr>
        <w:t>;</w:t>
      </w:r>
    </w:p>
    <w:p w14:paraId="4474874A" w14:textId="77777777" w:rsidR="002734DB" w:rsidRDefault="002734DB" w:rsidP="009610A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9610A5">
        <w:rPr>
          <w:rFonts w:cs="FrankRuehl" w:hint="cs"/>
          <w:rtl/>
          <w:lang w:eastAsia="en-US"/>
        </w:rPr>
        <w:t>התבקשה הוספת בניה או בניית בניה חדשה בנכס.</w:t>
      </w:r>
    </w:p>
    <w:p w14:paraId="4576EE89" w14:textId="77777777" w:rsidR="009610A5" w:rsidRDefault="009610A5" w:rsidP="009610A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היטל ביוב יחושב לפי שטח הקרקע בנכס, בצירוף שטחו או נפחו של בנין שבו, לפי הענין, כאמור בסעיפים 3 ו-4, והוא ישולם בשיעור כמפורט בתוספת, מעודכן ליום התשלום בפועל.</w:t>
      </w:r>
    </w:p>
    <w:p w14:paraId="7EA9D0A3" w14:textId="77777777" w:rsidR="009610A5" w:rsidRDefault="009610A5" w:rsidP="009610A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הוטל היטל ביוב לפי הוראות חוק עזר זה, תמסור העיריה לחייב דרישת תשלום כאמור בסעיף 28 לחוק, שתימסר לחייב באחד מהמועדים הבאים:</w:t>
      </w:r>
    </w:p>
    <w:p w14:paraId="53B5F95F" w14:textId="77777777" w:rsidR="009610A5" w:rsidRDefault="009610A5" w:rsidP="009610A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אחר התקנה או קנייה של שלב ביוב או החלטה על התקנה או על קניה של שלב ביוב המשמש את הנכס החייב בהיטל;</w:t>
      </w:r>
    </w:p>
    <w:p w14:paraId="072C8A9B" w14:textId="77777777" w:rsidR="009610A5" w:rsidRDefault="009610A5" w:rsidP="009610A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בעת הגשת בקשה לחיבור ביב פרטי לביוב;</w:t>
      </w:r>
    </w:p>
    <w:p w14:paraId="52CE0EA9" w14:textId="77777777" w:rsidR="009610A5" w:rsidRDefault="009610A5" w:rsidP="009610A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אחרי שהתגלה לעיריה כי חובר ביב פרטי לביוב ללא אישור ובניגוד להוראות סעיף 6;</w:t>
      </w:r>
    </w:p>
    <w:p w14:paraId="461545A2" w14:textId="77777777" w:rsidR="009610A5" w:rsidRDefault="009610A5" w:rsidP="009610A5">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בעת הגשת בקשה לקבלת היתר בניה בנכס;</w:t>
      </w:r>
    </w:p>
    <w:p w14:paraId="391D2255" w14:textId="77777777" w:rsidR="009610A5" w:rsidRDefault="009610A5" w:rsidP="009610A5">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אחרי שהתגלה לעיריה כי נוספה בניה לנכס ללא היתר או בסטיה ממנו;</w:t>
      </w:r>
    </w:p>
    <w:p w14:paraId="2DBADF7C" w14:textId="77777777" w:rsidR="009610A5" w:rsidRDefault="009610A5" w:rsidP="009610A5">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בעת בקשת תעודת העברה לרשם המקרקעין;</w:t>
      </w:r>
    </w:p>
    <w:p w14:paraId="751C7242" w14:textId="77777777" w:rsidR="009610A5" w:rsidRDefault="009610A5" w:rsidP="009610A5">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בעת שינוי ייעודה של קרקע חקלאית למטרה אחרת, ואולם אין באמור בסעיף קטן זה כדי לגרוע מהוראות סעיף 33 לחוק.</w:t>
      </w:r>
    </w:p>
    <w:p w14:paraId="5F58427D" w14:textId="77777777" w:rsidR="009610A5" w:rsidRDefault="009610A5" w:rsidP="009610A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יחובר ביב פרטי לביוב, אלא לאחר ששילם החייב לעיריה היטל ביוב; האמור אינו בא לגרוע מסמכויות העיריה לפי כל דין, לרבות מסמכויותיה לפי סעיף 324 לפקודה ולפי סעיף 145(ד) לחוק התכנון והבניה.</w:t>
      </w:r>
    </w:p>
    <w:p w14:paraId="57FBA0A2" w14:textId="77777777" w:rsidR="009610A5" w:rsidRDefault="009610A5" w:rsidP="00400A9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400A9E">
        <w:rPr>
          <w:rFonts w:cs="FrankRuehl" w:hint="cs"/>
          <w:rtl/>
          <w:lang w:eastAsia="en-US"/>
        </w:rPr>
        <w:t>בכפוף לאמור בסעיף 3(ו), ישולם היטל ביוב ללא זיקה לעלות ביצוע עבודות ביוב בידי העיריה בקטע רחוב הגובל בנכס במועד התשלום או בסמוך לאותו מועד.</w:t>
      </w:r>
    </w:p>
    <w:p w14:paraId="6B4E3DEA" w14:textId="77777777" w:rsidR="00400A9E" w:rsidRDefault="00400A9E" w:rsidP="00400A9E">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נתאפשר חיבורו של נכס למערכת הביוב, רשאי המנהל לדחות את תשלום ההיטל בעד אותו נכס, ובלבד שמועד תשלום ההיטל יחול לא יאוחר מהיום שבו ניתן לחבר את הנכס למערכת הביוב, לפי קביעת המנהל.</w:t>
      </w:r>
    </w:p>
    <w:p w14:paraId="33AA3CC2" w14:textId="77777777" w:rsidR="00400A9E" w:rsidRDefault="00F62C56" w:rsidP="003E7A7B">
      <w:pPr>
        <w:pStyle w:val="P00"/>
        <w:spacing w:before="72"/>
        <w:ind w:left="0" w:right="1134"/>
        <w:rPr>
          <w:rFonts w:cs="FrankRuehl" w:hint="cs"/>
          <w:rtl/>
          <w:lang w:eastAsia="en-US"/>
        </w:rPr>
      </w:pPr>
      <w:bookmarkStart w:id="2" w:name="Seif3"/>
      <w:bookmarkEnd w:id="2"/>
      <w:r>
        <w:rPr>
          <w:lang w:val="he-IL"/>
        </w:rPr>
        <w:pict w14:anchorId="444102A7">
          <v:rect id="_x0000_s1028" style="position:absolute;left:0;text-align:left;margin-left:464.5pt;margin-top:8.05pt;width:75.05pt;height:18.85pt;z-index:251648000" o:allowincell="f" filled="f" stroked="f" strokecolor="lime" strokeweight=".25pt">
            <v:textbox style="mso-next-textbox:#_x0000_s1028" inset="0,0,0,0">
              <w:txbxContent>
                <w:p w14:paraId="0DF75F4E" w14:textId="77777777" w:rsidR="00720A6A" w:rsidRDefault="00400A9E" w:rsidP="001B1004">
                  <w:pPr>
                    <w:spacing w:line="160" w:lineRule="exact"/>
                    <w:jc w:val="left"/>
                    <w:rPr>
                      <w:rFonts w:cs="Miriam" w:hint="cs"/>
                      <w:sz w:val="18"/>
                      <w:szCs w:val="18"/>
                      <w:rtl/>
                    </w:rPr>
                  </w:pPr>
                  <w:r>
                    <w:rPr>
                      <w:rFonts w:cs="Miriam" w:hint="cs"/>
                      <w:sz w:val="18"/>
                      <w:szCs w:val="18"/>
                      <w:rtl/>
                    </w:rPr>
                    <w:t>חישוב ההיטל לנכס למגורים</w:t>
                  </w:r>
                </w:p>
              </w:txbxContent>
            </v:textbox>
            <w10:anchorlock/>
          </v:rect>
        </w:pict>
      </w:r>
      <w:r>
        <w:rPr>
          <w:rStyle w:val="big-number"/>
          <w:rFonts w:cs="Miriam"/>
          <w:rtl/>
        </w:rPr>
        <w:t>3.</w:t>
      </w:r>
      <w:r>
        <w:rPr>
          <w:rStyle w:val="big-number"/>
          <w:rFonts w:cs="Miriam"/>
          <w:rtl/>
        </w:rPr>
        <w:tab/>
      </w:r>
      <w:r w:rsidR="00A93A93">
        <w:rPr>
          <w:rFonts w:cs="FrankRuehl" w:hint="cs"/>
          <w:rtl/>
          <w:lang w:eastAsia="en-US"/>
        </w:rPr>
        <w:t>(א)</w:t>
      </w:r>
      <w:r w:rsidR="00A93A93">
        <w:rPr>
          <w:rFonts w:cs="FrankRuehl" w:hint="cs"/>
          <w:rtl/>
          <w:lang w:eastAsia="en-US"/>
        </w:rPr>
        <w:tab/>
      </w:r>
      <w:r w:rsidR="00400A9E">
        <w:rPr>
          <w:rFonts w:cs="FrankRuehl" w:hint="cs"/>
          <w:rtl/>
          <w:lang w:eastAsia="en-US"/>
        </w:rPr>
        <w:t>בכפוף לאמור בסעיף 11, יחושב היטל ביוב לנכס המשמש למגורים או שייעודו</w:t>
      </w:r>
      <w:r w:rsidR="00827D37">
        <w:rPr>
          <w:rFonts w:cs="FrankRuehl" w:hint="cs"/>
          <w:rtl/>
          <w:lang w:eastAsia="en-US"/>
        </w:rPr>
        <w:t xml:space="preserve"> למגורים,</w:t>
      </w:r>
      <w:r w:rsidR="00400A9E">
        <w:rPr>
          <w:rFonts w:cs="FrankRuehl" w:hint="cs"/>
          <w:rtl/>
          <w:lang w:eastAsia="en-US"/>
        </w:rPr>
        <w:t xml:space="preserve"> לפי שטח הקרקע ושטח הבנין שבנכס וסכומו יהיה הסכום המתקבל ממכפלת שטח הקרקע ושטח הבנין בנכס, לפי </w:t>
      </w:r>
      <w:r w:rsidR="003E7A7B">
        <w:rPr>
          <w:rFonts w:cs="FrankRuehl" w:hint="cs"/>
          <w:rtl/>
          <w:lang w:eastAsia="en-US"/>
        </w:rPr>
        <w:t xml:space="preserve">מדידת </w:t>
      </w:r>
      <w:r w:rsidR="00400A9E">
        <w:rPr>
          <w:rFonts w:cs="FrankRuehl" w:hint="cs"/>
          <w:rtl/>
          <w:lang w:eastAsia="en-US"/>
        </w:rPr>
        <w:t xml:space="preserve">העיריה, בשיעור </w:t>
      </w:r>
      <w:r w:rsidR="003E7A7B">
        <w:rPr>
          <w:rFonts w:cs="FrankRuehl" w:hint="cs"/>
          <w:rtl/>
          <w:lang w:eastAsia="en-US"/>
        </w:rPr>
        <w:t>כמפורט בתוספת, מעודכן ליום התשלום בפועל</w:t>
      </w:r>
      <w:r w:rsidR="00400A9E">
        <w:rPr>
          <w:rFonts w:cs="FrankRuehl" w:hint="cs"/>
          <w:rtl/>
          <w:lang w:eastAsia="en-US"/>
        </w:rPr>
        <w:t xml:space="preserve">; ואלה </w:t>
      </w:r>
      <w:r w:rsidR="003E7A7B">
        <w:rPr>
          <w:rFonts w:cs="FrankRuehl" w:hint="cs"/>
          <w:rtl/>
          <w:lang w:eastAsia="en-US"/>
        </w:rPr>
        <w:t xml:space="preserve">השטחים </w:t>
      </w:r>
      <w:r w:rsidR="00400A9E">
        <w:rPr>
          <w:rFonts w:cs="FrankRuehl" w:hint="cs"/>
          <w:rtl/>
          <w:lang w:eastAsia="en-US"/>
        </w:rPr>
        <w:t>שלפיהם יחושב ההיטל:</w:t>
      </w:r>
    </w:p>
    <w:p w14:paraId="24E9B6F8" w14:textId="77777777" w:rsidR="00400A9E" w:rsidRDefault="00400A9E" w:rsidP="00400A9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שטחה הכולל של הקרקע בנכס, לרבות </w:t>
      </w:r>
      <w:r w:rsidR="003E7A7B">
        <w:rPr>
          <w:rFonts w:cs="FrankRuehl" w:hint="cs"/>
          <w:rtl/>
          <w:lang w:eastAsia="en-US"/>
        </w:rPr>
        <w:t xml:space="preserve">שטח </w:t>
      </w:r>
      <w:r>
        <w:rPr>
          <w:rFonts w:cs="FrankRuehl" w:hint="cs"/>
          <w:rtl/>
          <w:lang w:eastAsia="en-US"/>
        </w:rPr>
        <w:t>קרקע שעליה ניצב בנין;</w:t>
      </w:r>
    </w:p>
    <w:p w14:paraId="351D0F6D" w14:textId="77777777" w:rsidR="00400A9E" w:rsidRDefault="00400A9E" w:rsidP="003E7A7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שטחו של בנין הנמצא בנכס</w:t>
      </w:r>
      <w:r w:rsidR="003E7A7B">
        <w:rPr>
          <w:rFonts w:cs="FrankRuehl" w:hint="cs"/>
          <w:rtl/>
          <w:lang w:eastAsia="en-US"/>
        </w:rPr>
        <w:t xml:space="preserve"> בעת חישוב ההיטל, לרבות שטחו</w:t>
      </w:r>
      <w:r>
        <w:rPr>
          <w:rFonts w:cs="FrankRuehl" w:hint="cs"/>
          <w:rtl/>
          <w:lang w:eastAsia="en-US"/>
        </w:rPr>
        <w:t xml:space="preserve"> של בנין או תוספת לבנין, שנבנו בנכס </w:t>
      </w:r>
      <w:r w:rsidR="003E7A7B">
        <w:rPr>
          <w:rFonts w:cs="FrankRuehl" w:hint="cs"/>
          <w:rtl/>
          <w:lang w:eastAsia="en-US"/>
        </w:rPr>
        <w:t>ל</w:t>
      </w:r>
      <w:r>
        <w:rPr>
          <w:rFonts w:cs="FrankRuehl" w:hint="cs"/>
          <w:rtl/>
          <w:lang w:eastAsia="en-US"/>
        </w:rPr>
        <w:t>לא היתר בניה או בסטיה ממנו</w:t>
      </w:r>
      <w:r w:rsidR="003E7A7B">
        <w:rPr>
          <w:rFonts w:cs="FrankRuehl" w:hint="cs"/>
          <w:rtl/>
          <w:lang w:eastAsia="en-US"/>
        </w:rPr>
        <w:t xml:space="preserve"> </w:t>
      </w:r>
      <w:r w:rsidR="003E7A7B">
        <w:rPr>
          <w:rFonts w:cs="FrankRuehl"/>
          <w:rtl/>
          <w:lang w:eastAsia="en-US"/>
        </w:rPr>
        <w:t>–</w:t>
      </w:r>
      <w:r>
        <w:rPr>
          <w:rFonts w:cs="FrankRuehl" w:hint="cs"/>
          <w:rtl/>
          <w:lang w:eastAsia="en-US"/>
        </w:rPr>
        <w:t xml:space="preserve"> לפי </w:t>
      </w:r>
      <w:r w:rsidR="003E7A7B">
        <w:rPr>
          <w:rFonts w:cs="FrankRuehl" w:hint="cs"/>
          <w:rtl/>
          <w:lang w:eastAsia="en-US"/>
        </w:rPr>
        <w:t xml:space="preserve">שטח הבניה או שטח התוספת לבנין כאמור, כפי שנמדד וחושב בידי </w:t>
      </w:r>
      <w:r>
        <w:rPr>
          <w:rFonts w:cs="FrankRuehl" w:hint="cs"/>
          <w:rtl/>
          <w:lang w:eastAsia="en-US"/>
        </w:rPr>
        <w:t>העיריה;</w:t>
      </w:r>
    </w:p>
    <w:p w14:paraId="36E59F71" w14:textId="77777777" w:rsidR="00400A9E" w:rsidRDefault="00400A9E" w:rsidP="003E7A7B">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שטחו של בנין או תוספת</w:t>
      </w:r>
      <w:r w:rsidR="003E7A7B">
        <w:rPr>
          <w:rFonts w:cs="FrankRuehl" w:hint="cs"/>
          <w:rtl/>
          <w:lang w:eastAsia="en-US"/>
        </w:rPr>
        <w:t xml:space="preserve"> בניה</w:t>
      </w:r>
      <w:r>
        <w:rPr>
          <w:rFonts w:cs="FrankRuehl" w:hint="cs"/>
          <w:rtl/>
          <w:lang w:eastAsia="en-US"/>
        </w:rPr>
        <w:t xml:space="preserve"> העתידים להיבנות</w:t>
      </w:r>
      <w:r w:rsidR="003E7A7B">
        <w:rPr>
          <w:rFonts w:cs="FrankRuehl" w:hint="cs"/>
          <w:rtl/>
          <w:lang w:eastAsia="en-US"/>
        </w:rPr>
        <w:t xml:space="preserve"> (להלן </w:t>
      </w:r>
      <w:r w:rsidR="003E7A7B">
        <w:rPr>
          <w:rFonts w:cs="FrankRuehl"/>
          <w:rtl/>
          <w:lang w:eastAsia="en-US"/>
        </w:rPr>
        <w:t>–</w:t>
      </w:r>
      <w:r w:rsidR="003E7A7B">
        <w:rPr>
          <w:rFonts w:cs="FrankRuehl" w:hint="cs"/>
          <w:rtl/>
          <w:lang w:eastAsia="en-US"/>
        </w:rPr>
        <w:t xml:space="preserve"> בניה עתידית)</w:t>
      </w:r>
      <w:r>
        <w:rPr>
          <w:rFonts w:cs="FrankRuehl" w:hint="cs"/>
          <w:rtl/>
          <w:lang w:eastAsia="en-US"/>
        </w:rPr>
        <w:t xml:space="preserve">, </w:t>
      </w:r>
      <w:r w:rsidR="003E7A7B">
        <w:rPr>
          <w:rFonts w:cs="FrankRuehl" w:hint="cs"/>
          <w:rtl/>
          <w:lang w:eastAsia="en-US"/>
        </w:rPr>
        <w:t xml:space="preserve">שהוגשה </w:t>
      </w:r>
      <w:r>
        <w:rPr>
          <w:rFonts w:cs="FrankRuehl" w:hint="cs"/>
          <w:rtl/>
          <w:lang w:eastAsia="en-US"/>
        </w:rPr>
        <w:t>לגביהם בקשה להיתר בניה</w:t>
      </w:r>
      <w:r w:rsidR="003E7A7B">
        <w:rPr>
          <w:rFonts w:cs="FrankRuehl" w:hint="cs"/>
          <w:rtl/>
          <w:lang w:eastAsia="en-US"/>
        </w:rPr>
        <w:t xml:space="preserve"> </w:t>
      </w:r>
      <w:r w:rsidR="003E7A7B">
        <w:rPr>
          <w:rFonts w:cs="FrankRuehl"/>
          <w:rtl/>
          <w:lang w:eastAsia="en-US"/>
        </w:rPr>
        <w:t>–</w:t>
      </w:r>
      <w:r>
        <w:rPr>
          <w:rFonts w:cs="FrankRuehl" w:hint="cs"/>
          <w:rtl/>
          <w:lang w:eastAsia="en-US"/>
        </w:rPr>
        <w:t xml:space="preserve"> לפי שטחם בתכניות הבניה שצורפו לבקשה</w:t>
      </w:r>
      <w:r w:rsidR="003E7A7B">
        <w:rPr>
          <w:rFonts w:cs="FrankRuehl" w:hint="cs"/>
          <w:rtl/>
          <w:lang w:eastAsia="en-US"/>
        </w:rPr>
        <w:t xml:space="preserve"> להיתר בניה</w:t>
      </w:r>
      <w:r>
        <w:rPr>
          <w:rFonts w:cs="FrankRuehl" w:hint="cs"/>
          <w:rtl/>
          <w:lang w:eastAsia="en-US"/>
        </w:rPr>
        <w:t>.</w:t>
      </w:r>
    </w:p>
    <w:p w14:paraId="22227989" w14:textId="77777777" w:rsidR="003E7A7B" w:rsidRDefault="003E7A7B" w:rsidP="00A21FB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A21FB3">
        <w:rPr>
          <w:rFonts w:cs="FrankRuehl" w:hint="cs"/>
          <w:rtl/>
          <w:lang w:eastAsia="en-US"/>
        </w:rPr>
        <w:t>התברר לעיריה, לגבי בניה עתידית, עם גמר הבניה או לאחריה, כי שטח הבניה עולה על השטח שצוין בתכניות הבניה שעל פיהן שולם ההיטל, יחויב בעל הנכס בתשום היטל בעד השטח הנוסף כאמור, בשיעור כמפורט בתוספת, מעודכן ליום התשלום בפועל.</w:t>
      </w:r>
    </w:p>
    <w:p w14:paraId="1F9D3B30" w14:textId="77777777" w:rsidR="00A21FB3" w:rsidRDefault="00A21FB3" w:rsidP="00A21FB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התברר לעיריה, לגבי בניה עתידית, עם גמר הבניה או לאחריה, כי שטח הבנין בפועל קטן מהשטח שצוין בתכניות הבניה שעל פיהן שולם ההיטל, יזוכה בעל הנכס בסכום העודף ששילם בעד השטח שלא נבנה בפועל; סכום ההפרש המגיע לו יוחזר לו בשיעור כמפורט בתוספת, מעודכן ליום ההחזר בפועל.</w:t>
      </w:r>
    </w:p>
    <w:p w14:paraId="6DF45FAD" w14:textId="77777777" w:rsidR="00A21FB3" w:rsidRDefault="00A21FB3" w:rsidP="00A21FB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שילם בעבר בעל נכס היטל ביוב בעד שטח שבנכסו, לא ייכלל אותו שטח, לענין חישוב היטל ביוב, במנין השטחים כאמור בסעיף קטן (א).</w:t>
      </w:r>
    </w:p>
    <w:p w14:paraId="53075560" w14:textId="77777777" w:rsidR="00A21FB3" w:rsidRDefault="00A21FB3" w:rsidP="00A21FB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מבלי לגרוע מהאמור בחוק עזר זה, חויב בעל נכס בעבר בהיטל ביוב בעד הנכס (להלן </w:t>
      </w:r>
      <w:r>
        <w:rPr>
          <w:rFonts w:cs="FrankRuehl"/>
          <w:rtl/>
          <w:lang w:eastAsia="en-US"/>
        </w:rPr>
        <w:t>–</w:t>
      </w:r>
      <w:r>
        <w:rPr>
          <w:rFonts w:cs="FrankRuehl" w:hint="cs"/>
          <w:rtl/>
          <w:lang w:eastAsia="en-US"/>
        </w:rPr>
        <w:t xml:space="preserve"> היטל קודם), הוא יחויב פעם נוספת בתשלום היטל ביוב בהתאם להוראות חוק עזר זה בעד בנין חדש או תוספת בנין, לפי הענין, שנבנו בנכס לאחר חישוב ההיטל הקודם.</w:t>
      </w:r>
    </w:p>
    <w:p w14:paraId="5B632282" w14:textId="77777777" w:rsidR="00A21FB3" w:rsidRDefault="00A21FB3" w:rsidP="00A21FB3">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הוראות סעיפים קטנים (ב) עד (ה), לרבות הטלת היטל מכוחן, יחולו, בשינויים המחויבים, על אף האמור בסעיפים 2 ו-18, גם על בעל נכס שאת נכסו משמש שלב ביוב שהותקן או נקנה לפני תחילתו של חוק עזר זה.</w:t>
      </w:r>
    </w:p>
    <w:p w14:paraId="052FBEE1" w14:textId="77777777" w:rsidR="00B94AA1" w:rsidRDefault="00F62C56" w:rsidP="00A21FB3">
      <w:pPr>
        <w:pStyle w:val="P00"/>
        <w:spacing w:before="72"/>
        <w:ind w:left="0" w:right="1134"/>
        <w:rPr>
          <w:rFonts w:cs="FrankRuehl" w:hint="cs"/>
          <w:rtl/>
          <w:lang w:eastAsia="en-US"/>
        </w:rPr>
      </w:pPr>
      <w:bookmarkStart w:id="3" w:name="Seif4"/>
      <w:bookmarkEnd w:id="3"/>
      <w:r>
        <w:rPr>
          <w:lang w:val="he-IL"/>
        </w:rPr>
        <w:pict w14:anchorId="0D0F932B">
          <v:rect id="_x0000_s1029" style="position:absolute;left:0;text-align:left;margin-left:464.5pt;margin-top:8.05pt;width:75.05pt;height:21.15pt;z-index:251649024" o:allowincell="f" filled="f" stroked="f" strokecolor="lime" strokeweight=".25pt">
            <v:textbox style="mso-next-textbox:#_x0000_s1029" inset="0,0,0,0">
              <w:txbxContent>
                <w:p w14:paraId="0D277371" w14:textId="77777777" w:rsidR="00720A6A" w:rsidRDefault="00A21FB3" w:rsidP="00A21FB3">
                  <w:pPr>
                    <w:spacing w:line="160" w:lineRule="exact"/>
                    <w:jc w:val="left"/>
                    <w:rPr>
                      <w:rFonts w:cs="Miriam" w:hint="cs"/>
                      <w:sz w:val="18"/>
                      <w:szCs w:val="18"/>
                      <w:rtl/>
                    </w:rPr>
                  </w:pPr>
                  <w:r>
                    <w:rPr>
                      <w:rFonts w:cs="Miriam" w:hint="cs"/>
                      <w:sz w:val="18"/>
                      <w:szCs w:val="18"/>
                      <w:rtl/>
                    </w:rPr>
                    <w:t>חישוב ההיטל לנכס לתעשיה ולבית עסק</w:t>
                  </w:r>
                </w:p>
              </w:txbxContent>
            </v:textbox>
            <w10:anchorlock/>
          </v:rect>
        </w:pict>
      </w:r>
      <w:r>
        <w:rPr>
          <w:rStyle w:val="big-number"/>
          <w:rFonts w:cs="Miriam"/>
          <w:rtl/>
        </w:rPr>
        <w:t>4.</w:t>
      </w:r>
      <w:r>
        <w:rPr>
          <w:rStyle w:val="big-number"/>
          <w:rFonts w:cs="Miriam"/>
          <w:rtl/>
        </w:rPr>
        <w:tab/>
      </w:r>
      <w:r w:rsidR="00B94AA1" w:rsidRPr="00B94AA1">
        <w:rPr>
          <w:rFonts w:cs="FrankRuehl" w:hint="cs"/>
          <w:rtl/>
          <w:lang w:eastAsia="en-US"/>
        </w:rPr>
        <w:t>(א)</w:t>
      </w:r>
      <w:r w:rsidR="00B94AA1" w:rsidRPr="00B94AA1">
        <w:rPr>
          <w:rFonts w:cs="FrankRuehl" w:hint="cs"/>
          <w:rtl/>
          <w:lang w:eastAsia="en-US"/>
        </w:rPr>
        <w:tab/>
      </w:r>
      <w:r w:rsidR="00A21FB3">
        <w:rPr>
          <w:rFonts w:cs="FrankRuehl" w:hint="cs"/>
          <w:rtl/>
          <w:lang w:eastAsia="en-US"/>
        </w:rPr>
        <w:t>היטל ביוב לנכס לתעשיה ולבית עסק, יחושב לפי שטח הקרקע</w:t>
      </w:r>
      <w:r w:rsidR="000A3739">
        <w:rPr>
          <w:rFonts w:cs="FrankRuehl" w:hint="cs"/>
          <w:rtl/>
          <w:lang w:eastAsia="en-US"/>
        </w:rPr>
        <w:t xml:space="preserve"> ונפח הבנין שבנכס, וסכומו יהיה הסכום המתקבל ממכפלת שטח הקרקע ונפח הבנין בנכס, לפי מדידת העיריה, בשיעור כמפורט בתוספת, מעודכן ליום התשלום בפועל; ואלה שטח הקרקע ונפח הבנין שלפיהם יחושב ההיטל:</w:t>
      </w:r>
    </w:p>
    <w:p w14:paraId="13BA7590" w14:textId="77777777" w:rsidR="000A3739" w:rsidRDefault="000A3739" w:rsidP="000A373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שטחה הכולל של הקרקע בנכס, כולל שטח הקרקע שעליה ניצב בנין;</w:t>
      </w:r>
    </w:p>
    <w:p w14:paraId="733CD526" w14:textId="77777777" w:rsidR="000A3739" w:rsidRDefault="000A3739" w:rsidP="000A373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נפחו של בנין הנמצא בנכס בעת חישוב ההיטל, לרבות נפחו של בנין או תוספת לבנין שנבנו בנכס ללא היתר בניה או בסטיה ממנו </w:t>
      </w:r>
      <w:r>
        <w:rPr>
          <w:rFonts w:cs="FrankRuehl"/>
          <w:rtl/>
          <w:lang w:eastAsia="en-US"/>
        </w:rPr>
        <w:t>–</w:t>
      </w:r>
      <w:r>
        <w:rPr>
          <w:rFonts w:cs="FrankRuehl" w:hint="cs"/>
          <w:rtl/>
          <w:lang w:eastAsia="en-US"/>
        </w:rPr>
        <w:t xml:space="preserve"> לפי נפח הבנין או נפח התוספת לבנין, כפי שנמדדו וחושבו בידי העיריה;</w:t>
      </w:r>
    </w:p>
    <w:p w14:paraId="7FCA09B6" w14:textId="77777777" w:rsidR="000A3739" w:rsidRDefault="000A3739" w:rsidP="000A373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נפחו של בנין עתידי או נפחה של תוספת עתידית לבנין, שהוגשה לגביהם בקשה להיתר בניה </w:t>
      </w:r>
      <w:r>
        <w:rPr>
          <w:rFonts w:cs="FrankRuehl"/>
          <w:rtl/>
          <w:lang w:eastAsia="en-US"/>
        </w:rPr>
        <w:t>–</w:t>
      </w:r>
      <w:r>
        <w:rPr>
          <w:rFonts w:cs="FrankRuehl" w:hint="cs"/>
          <w:rtl/>
          <w:lang w:eastAsia="en-US"/>
        </w:rPr>
        <w:t xml:space="preserve"> לפי נפחם כפי שיחושב על פי תכניות הבניה שצורפו לבקשה להיתר בניה.</w:t>
      </w:r>
    </w:p>
    <w:p w14:paraId="04E39584" w14:textId="77777777" w:rsidR="000A3739" w:rsidRDefault="000A3739" w:rsidP="00A21FB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הוראות סעיף 3(ב) עד (ו) יחולו, בשינויים המחויבים לפי הענין, גם על חישוב ההיטל לנכס לתעשיה ולבית עסק.</w:t>
      </w:r>
    </w:p>
    <w:p w14:paraId="29EB88F3" w14:textId="77777777" w:rsidR="000A3739" w:rsidRDefault="00F62C56" w:rsidP="000A3739">
      <w:pPr>
        <w:pStyle w:val="P00"/>
        <w:spacing w:before="72"/>
        <w:ind w:left="0" w:right="1134"/>
        <w:rPr>
          <w:rFonts w:cs="FrankRuehl" w:hint="cs"/>
          <w:rtl/>
          <w:lang w:eastAsia="en-US"/>
        </w:rPr>
      </w:pPr>
      <w:bookmarkStart w:id="4" w:name="Seif5"/>
      <w:bookmarkEnd w:id="4"/>
      <w:r>
        <w:rPr>
          <w:lang w:val="he-IL"/>
        </w:rPr>
        <w:pict w14:anchorId="298D8B93">
          <v:rect id="_x0000_s1030" style="position:absolute;left:0;text-align:left;margin-left:464.5pt;margin-top:8.05pt;width:75.05pt;height:15.65pt;z-index:251650048" o:allowincell="f" filled="f" stroked="f" strokecolor="lime" strokeweight=".25pt">
            <v:textbox style="mso-next-textbox:#_x0000_s1030" inset="0,0,0,0">
              <w:txbxContent>
                <w:p w14:paraId="1D18E2F9" w14:textId="77777777" w:rsidR="00720A6A" w:rsidRDefault="000A3739" w:rsidP="00033249">
                  <w:pPr>
                    <w:spacing w:line="160" w:lineRule="exact"/>
                    <w:jc w:val="left"/>
                    <w:rPr>
                      <w:rFonts w:cs="Miriam" w:hint="cs"/>
                      <w:noProof/>
                      <w:sz w:val="18"/>
                      <w:szCs w:val="18"/>
                      <w:rtl/>
                    </w:rPr>
                  </w:pPr>
                  <w:r>
                    <w:rPr>
                      <w:rFonts w:cs="Miriam" w:hint="cs"/>
                      <w:sz w:val="18"/>
                      <w:szCs w:val="18"/>
                      <w:rtl/>
                    </w:rPr>
                    <w:t>פטור לקרקע חקלאית</w:t>
                  </w:r>
                </w:p>
              </w:txbxContent>
            </v:textbox>
            <w10:anchorlock/>
          </v:rect>
        </w:pict>
      </w:r>
      <w:r>
        <w:rPr>
          <w:rStyle w:val="big-number"/>
          <w:rFonts w:cs="Miriam"/>
          <w:rtl/>
        </w:rPr>
        <w:t>5.</w:t>
      </w:r>
      <w:r>
        <w:rPr>
          <w:rStyle w:val="big-number"/>
          <w:rFonts w:cs="Miriam"/>
          <w:rtl/>
        </w:rPr>
        <w:tab/>
      </w:r>
      <w:r w:rsidR="0064117C">
        <w:rPr>
          <w:rFonts w:cs="FrankRuehl" w:hint="cs"/>
          <w:rtl/>
          <w:lang w:eastAsia="en-US"/>
        </w:rPr>
        <w:t>(א)</w:t>
      </w:r>
      <w:r w:rsidR="0064117C">
        <w:rPr>
          <w:rFonts w:cs="FrankRuehl" w:hint="cs"/>
          <w:rtl/>
          <w:lang w:eastAsia="en-US"/>
        </w:rPr>
        <w:tab/>
      </w:r>
      <w:r w:rsidR="000A3739">
        <w:rPr>
          <w:rFonts w:cs="FrankRuehl" w:hint="cs"/>
          <w:rtl/>
          <w:lang w:eastAsia="en-US"/>
        </w:rPr>
        <w:t>בעל קרקע חקלאית פטור מתשלום היטל ביוב בעדה, כל עוד לא שונה ייעודה.</w:t>
      </w:r>
    </w:p>
    <w:p w14:paraId="4BF19B42" w14:textId="77777777" w:rsidR="00B94AA1" w:rsidRDefault="000A3739" w:rsidP="000A373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שונה ייעודה של קרקע חקלאית או ניתן לגביה היתר לשימוש חורג, לכולה או למקצתה, ישלם בעלה היטל ביוב כאמור בסעיפים 3 ו-4, בשיעור כמפורט בתוספת, מעודכן ליום התשלום בפועל.</w:t>
      </w:r>
      <w:r>
        <w:rPr>
          <w:rFonts w:cs="FrankRuehl"/>
          <w:lang w:eastAsia="en-US"/>
        </w:rPr>
        <w:t xml:space="preserve"> </w:t>
      </w:r>
    </w:p>
    <w:p w14:paraId="0EDE09AC" w14:textId="77777777" w:rsidR="00D644AE" w:rsidRDefault="00F62C56" w:rsidP="000A3739">
      <w:pPr>
        <w:pStyle w:val="P00"/>
        <w:spacing w:before="72"/>
        <w:ind w:left="0" w:right="1134"/>
        <w:rPr>
          <w:rFonts w:cs="FrankRuehl" w:hint="cs"/>
          <w:rtl/>
          <w:lang w:eastAsia="en-US"/>
        </w:rPr>
      </w:pPr>
      <w:bookmarkStart w:id="5" w:name="Seif6"/>
      <w:bookmarkEnd w:id="5"/>
      <w:r>
        <w:rPr>
          <w:lang w:val="he-IL"/>
        </w:rPr>
        <w:pict w14:anchorId="36304DA9">
          <v:rect id="_x0000_s1031" style="position:absolute;left:0;text-align:left;margin-left:464.5pt;margin-top:8.05pt;width:75.05pt;height:10.3pt;z-index:251651072" o:allowincell="f" filled="f" stroked="f" strokecolor="lime" strokeweight=".25pt">
            <v:textbox style="mso-next-textbox:#_x0000_s1031" inset="0,0,0,0">
              <w:txbxContent>
                <w:p w14:paraId="42757A5A" w14:textId="77777777" w:rsidR="00720A6A" w:rsidRDefault="000A3739" w:rsidP="00745676">
                  <w:pPr>
                    <w:spacing w:line="160" w:lineRule="exact"/>
                    <w:jc w:val="left"/>
                    <w:rPr>
                      <w:rFonts w:cs="Miriam" w:hint="cs"/>
                      <w:noProof/>
                      <w:sz w:val="18"/>
                      <w:szCs w:val="18"/>
                      <w:rtl/>
                    </w:rPr>
                  </w:pPr>
                  <w:r>
                    <w:rPr>
                      <w:rFonts w:cs="Miriam" w:hint="cs"/>
                      <w:sz w:val="18"/>
                      <w:szCs w:val="18"/>
                      <w:rtl/>
                    </w:rPr>
                    <w:t>חיבור ביב פרטי</w:t>
                  </w:r>
                </w:p>
              </w:txbxContent>
            </v:textbox>
            <w10:anchorlock/>
          </v:rect>
        </w:pict>
      </w:r>
      <w:r>
        <w:rPr>
          <w:rStyle w:val="big-number"/>
          <w:rFonts w:cs="Miriam"/>
          <w:rtl/>
        </w:rPr>
        <w:t>6.</w:t>
      </w:r>
      <w:r>
        <w:rPr>
          <w:rStyle w:val="big-number"/>
          <w:rFonts w:cs="Miriam"/>
          <w:rtl/>
        </w:rPr>
        <w:tab/>
      </w:r>
      <w:r w:rsidR="00C24510">
        <w:rPr>
          <w:rFonts w:cs="FrankRuehl" w:hint="cs"/>
          <w:rtl/>
          <w:lang w:eastAsia="en-US"/>
        </w:rPr>
        <w:t>(א)</w:t>
      </w:r>
      <w:r w:rsidR="00C24510">
        <w:rPr>
          <w:rFonts w:cs="FrankRuehl" w:hint="cs"/>
          <w:rtl/>
          <w:lang w:eastAsia="en-US"/>
        </w:rPr>
        <w:tab/>
      </w:r>
      <w:r w:rsidR="000A3739">
        <w:rPr>
          <w:rFonts w:cs="FrankRuehl" w:hint="cs"/>
          <w:rtl/>
          <w:lang w:eastAsia="en-US"/>
        </w:rPr>
        <w:t>לא יחובר ביב פרטי לביוב אלא בידי המנהל</w:t>
      </w:r>
      <w:r w:rsidR="00D644AE">
        <w:rPr>
          <w:rFonts w:cs="FrankRuehl"/>
          <w:rtl/>
          <w:lang w:eastAsia="en-US"/>
        </w:rPr>
        <w:t>.</w:t>
      </w:r>
    </w:p>
    <w:p w14:paraId="7725C507" w14:textId="77777777" w:rsidR="000A3739" w:rsidRDefault="000A3739" w:rsidP="000A373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 או מחזיק בנכס המבקש לחבר ביב פרטי שבנכס לביוב, יגיש למהנדס בקשה בכתב בצירוף תכנית החיבור; היה הביוב בתחום שיפוטה של רשות מקומית אחרת, תצורף לבקשה הסכמת אותה רשות מקומית לחיבור כאמור.</w:t>
      </w:r>
    </w:p>
    <w:p w14:paraId="7F048A8F" w14:textId="77777777" w:rsidR="000A3739" w:rsidRDefault="000A3739" w:rsidP="000A373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יחובר ביב פרטי אלא לאחר אישור מראש ובכתב מאת המהנדס.</w:t>
      </w:r>
    </w:p>
    <w:p w14:paraId="6C449B3D" w14:textId="77777777" w:rsidR="000A3739" w:rsidRDefault="000A3739" w:rsidP="000A373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המהנדס רשאי להתנות מתן אישור כאמור בסעיף קטן (ג) בקיום הוראות חוק עזר זה, לרבות דין לענין התקנת ביוב ולענין תכנון ובניה.</w:t>
      </w:r>
    </w:p>
    <w:p w14:paraId="1F0466C7" w14:textId="77777777" w:rsidR="0020682A" w:rsidRDefault="00F62C56" w:rsidP="00F00CB4">
      <w:pPr>
        <w:pStyle w:val="P00"/>
        <w:spacing w:before="72"/>
        <w:ind w:left="0" w:right="1134"/>
        <w:rPr>
          <w:rFonts w:cs="FrankRuehl" w:hint="cs"/>
          <w:rtl/>
          <w:lang w:eastAsia="en-US"/>
        </w:rPr>
      </w:pPr>
      <w:bookmarkStart w:id="6" w:name="Seif7"/>
      <w:bookmarkEnd w:id="6"/>
      <w:r>
        <w:rPr>
          <w:lang w:val="he-IL"/>
        </w:rPr>
        <w:pict w14:anchorId="76201C44">
          <v:rect id="_x0000_s1032" style="position:absolute;left:0;text-align:left;margin-left:464.5pt;margin-top:8.05pt;width:75.05pt;height:10.85pt;z-index:251652096" o:allowincell="f" filled="f" stroked="f" strokecolor="lime" strokeweight=".25pt">
            <v:textbox style="mso-next-textbox:#_x0000_s1032" inset="0,0,0,0">
              <w:txbxContent>
                <w:p w14:paraId="4CBC9652" w14:textId="77777777" w:rsidR="00720A6A" w:rsidRDefault="00F00CB4" w:rsidP="006747A6">
                  <w:pPr>
                    <w:spacing w:line="160" w:lineRule="exact"/>
                    <w:jc w:val="left"/>
                    <w:rPr>
                      <w:rFonts w:cs="Miriam" w:hint="cs"/>
                      <w:sz w:val="18"/>
                      <w:szCs w:val="18"/>
                      <w:rtl/>
                    </w:rPr>
                  </w:pPr>
                  <w:r>
                    <w:rPr>
                      <w:rFonts w:cs="Miriam" w:hint="cs"/>
                      <w:sz w:val="18"/>
                      <w:szCs w:val="18"/>
                      <w:rtl/>
                    </w:rPr>
                    <w:t>התקנת ביוב</w:t>
                  </w:r>
                </w:p>
              </w:txbxContent>
            </v:textbox>
            <w10:anchorlock/>
          </v:rect>
        </w:pict>
      </w:r>
      <w:r>
        <w:rPr>
          <w:rStyle w:val="big-number"/>
          <w:rFonts w:cs="Miriam"/>
          <w:rtl/>
        </w:rPr>
        <w:t>7.</w:t>
      </w:r>
      <w:r>
        <w:rPr>
          <w:rStyle w:val="big-number"/>
          <w:rFonts w:cs="Miriam"/>
          <w:rtl/>
        </w:rPr>
        <w:tab/>
      </w:r>
      <w:r w:rsidR="00C24510">
        <w:rPr>
          <w:rFonts w:cs="FrankRuehl" w:hint="cs"/>
          <w:rtl/>
          <w:lang w:eastAsia="en-US"/>
        </w:rPr>
        <w:t>(א)</w:t>
      </w:r>
      <w:r w:rsidR="00C24510">
        <w:rPr>
          <w:rFonts w:cs="FrankRuehl" w:hint="cs"/>
          <w:rtl/>
          <w:lang w:eastAsia="en-US"/>
        </w:rPr>
        <w:tab/>
      </w:r>
      <w:r w:rsidR="00F00CB4">
        <w:rPr>
          <w:rFonts w:cs="FrankRuehl" w:hint="cs"/>
          <w:rtl/>
          <w:lang w:eastAsia="en-US"/>
        </w:rPr>
        <w:t>בכפוף להוראות כל דין, רשאי ראש העיריה למסור, בהודעה בכתב, דרישה לבעל נכס לעשות עבודות של התקנת ביוב, שבה יפורטו תנאי ההתקנה, אופן התקנתה ומשך הזמן לכך</w:t>
      </w:r>
      <w:r w:rsidR="0020682A">
        <w:rPr>
          <w:rFonts w:cs="FrankRuehl"/>
          <w:rtl/>
          <w:lang w:eastAsia="en-US"/>
        </w:rPr>
        <w:t>.</w:t>
      </w:r>
    </w:p>
    <w:p w14:paraId="06E79E43" w14:textId="77777777" w:rsidR="0020682A" w:rsidRDefault="0020682A" w:rsidP="00F00CB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F00CB4">
        <w:rPr>
          <w:rFonts w:cs="FrankRuehl" w:hint="cs"/>
          <w:rtl/>
          <w:lang w:eastAsia="en-US"/>
        </w:rPr>
        <w:t>לא יתקין אדם ביוב אלא אם כן הורה לו ראש העיריה להתקינו כאמור בסעיף קטן (א) ובהתאם לתנאים שפורטו בהודעה</w:t>
      </w:r>
      <w:r>
        <w:rPr>
          <w:rFonts w:cs="FrankRuehl" w:hint="cs"/>
          <w:rtl/>
          <w:lang w:eastAsia="en-US"/>
        </w:rPr>
        <w:t>.</w:t>
      </w:r>
    </w:p>
    <w:p w14:paraId="7EAF2C21" w14:textId="77777777" w:rsidR="0020682A" w:rsidRDefault="0020682A" w:rsidP="00F00CB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F00CB4">
        <w:rPr>
          <w:rFonts w:cs="FrankRuehl" w:hint="cs"/>
          <w:rtl/>
          <w:lang w:eastAsia="en-US"/>
        </w:rPr>
        <w:t>התקנת ביוב לפי הודעה כאמור בסעיף קטן (א) תבוצע לפי תכנית ביצוע, מפרטים וכתבי כמויות שאישר מהנדס העיריה</w:t>
      </w:r>
      <w:r>
        <w:rPr>
          <w:rFonts w:cs="FrankRuehl" w:hint="cs"/>
          <w:rtl/>
          <w:lang w:eastAsia="en-US"/>
        </w:rPr>
        <w:t>.</w:t>
      </w:r>
    </w:p>
    <w:p w14:paraId="213CEC3F" w14:textId="77777777" w:rsidR="00F00CB4" w:rsidRDefault="00F00CB4" w:rsidP="00F00CB4">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התקין אדם ביוב שלא לפי הודעה מאת ראש העיריה או שלא לפי התנאים שפורטו בה כאמור בפסקאות (א) ו-(ב) או שלא על פי תכנית, מפרטים וכתבי כמויות כאמור בפסקה (ג), רשאית העיריה לשנות או להרוס ביוב כאמור ולבצע את ההתקנה בעצמה; וכן רשאית העיריה לגבות מאותו אדם הוצאות שהוציאה לשם שינויו או הריסתו של ביוב והתקנתו מחדש; תשלום הוצאות לעיריה מאת אדם כאמור בסעיף קטן זה אינו גורע מחובתו לשלם לעיריה את סכום ההיטל במלואו כאמור בסעיפים 3 עד 5.</w:t>
      </w:r>
    </w:p>
    <w:p w14:paraId="393FE2E9" w14:textId="77777777" w:rsidR="00D85F1A" w:rsidRDefault="00D85F1A" w:rsidP="00F00CB4">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מילא בעל נכס אחר הודעת ראש העיריה כאמור, הוא יחויב בתשלום ההיטל בהתאם להוראות חוק עזר זה.</w:t>
      </w:r>
    </w:p>
    <w:p w14:paraId="62F0DD0F" w14:textId="77777777" w:rsidR="00D85F1A" w:rsidRDefault="00D85F1A" w:rsidP="00D85F1A">
      <w:pPr>
        <w:pStyle w:val="P00"/>
        <w:spacing w:before="72"/>
        <w:ind w:left="1021" w:right="1134" w:hanging="1021"/>
        <w:rPr>
          <w:rFonts w:cs="FrankRuehl" w:hint="cs"/>
          <w:rtl/>
          <w:lang w:eastAsia="en-US"/>
        </w:rPr>
      </w:pPr>
      <w:r>
        <w:rPr>
          <w:rFonts w:cs="FrankRuehl" w:hint="cs"/>
          <w:rtl/>
          <w:lang w:eastAsia="en-US"/>
        </w:rPr>
        <w:tab/>
        <w:t>(ו)</w:t>
      </w:r>
      <w:r>
        <w:rPr>
          <w:rFonts w:cs="FrankRuehl" w:hint="cs"/>
          <w:rtl/>
          <w:lang w:eastAsia="en-US"/>
        </w:rPr>
        <w:tab/>
        <w:t>(1)</w:t>
      </w:r>
      <w:r>
        <w:rPr>
          <w:rFonts w:cs="FrankRuehl" w:hint="cs"/>
          <w:rtl/>
          <w:lang w:eastAsia="en-US"/>
        </w:rPr>
        <w:tab/>
        <w:t xml:space="preserve">התקין בעל נכס ביוב כאמור בסעיף קטן (א), יקוזזו הוצאות ההתקנה (להלן </w:t>
      </w:r>
      <w:r>
        <w:rPr>
          <w:rFonts w:cs="FrankRuehl"/>
          <w:rtl/>
          <w:lang w:eastAsia="en-US"/>
        </w:rPr>
        <w:t>–</w:t>
      </w:r>
      <w:r>
        <w:rPr>
          <w:rFonts w:cs="FrankRuehl" w:hint="cs"/>
          <w:rtl/>
          <w:lang w:eastAsia="en-US"/>
        </w:rPr>
        <w:t xml:space="preserve"> הוצאות ההתקנה) מסכום ההיטל שחויב בו בעל הנכס לפי הוראות חוק עזר זה;</w:t>
      </w:r>
    </w:p>
    <w:p w14:paraId="4D5D6F2D" w14:textId="77777777" w:rsidR="00D85F1A" w:rsidRDefault="00D85F1A" w:rsidP="00D85F1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סכום הוצאות ההתקנה ייקבע בידי המנהל.</w:t>
      </w:r>
    </w:p>
    <w:p w14:paraId="147EEC50" w14:textId="77777777" w:rsidR="00470669" w:rsidRDefault="00F62C56" w:rsidP="00D85F1A">
      <w:pPr>
        <w:pStyle w:val="P00"/>
        <w:spacing w:before="72"/>
        <w:ind w:left="0" w:right="1134"/>
        <w:rPr>
          <w:rFonts w:cs="FrankRuehl" w:hint="cs"/>
          <w:rtl/>
          <w:lang w:eastAsia="en-US"/>
        </w:rPr>
      </w:pPr>
      <w:bookmarkStart w:id="7" w:name="Seif8"/>
      <w:bookmarkEnd w:id="7"/>
      <w:r>
        <w:rPr>
          <w:lang w:val="he-IL"/>
        </w:rPr>
        <w:pict w14:anchorId="48E94EAB">
          <v:rect id="_x0000_s1033" style="position:absolute;left:0;text-align:left;margin-left:464.5pt;margin-top:8.05pt;width:75.05pt;height:16.95pt;z-index:251653120" o:allowincell="f" filled="f" stroked="f" strokecolor="lime" strokeweight=".25pt">
            <v:textbox style="mso-next-textbox:#_x0000_s1033" inset="0,0,0,0">
              <w:txbxContent>
                <w:p w14:paraId="11D87FB8" w14:textId="77777777" w:rsidR="00720A6A" w:rsidRDefault="00D85F1A" w:rsidP="006F4B7D">
                  <w:pPr>
                    <w:spacing w:line="160" w:lineRule="exact"/>
                    <w:jc w:val="left"/>
                    <w:rPr>
                      <w:rFonts w:cs="Miriam" w:hint="cs"/>
                      <w:noProof/>
                      <w:sz w:val="18"/>
                      <w:szCs w:val="18"/>
                      <w:rtl/>
                    </w:rPr>
                  </w:pPr>
                  <w:r>
                    <w:rPr>
                      <w:rFonts w:cs="Miriam" w:hint="cs"/>
                      <w:sz w:val="18"/>
                      <w:szCs w:val="18"/>
                      <w:rtl/>
                    </w:rPr>
                    <w:t>ביצוע עבודות לפי הסכם</w:t>
                  </w:r>
                </w:p>
              </w:txbxContent>
            </v:textbox>
            <w10:anchorlock/>
          </v:rect>
        </w:pict>
      </w:r>
      <w:r>
        <w:rPr>
          <w:rStyle w:val="big-number"/>
          <w:rFonts w:cs="Miriam"/>
          <w:rtl/>
        </w:rPr>
        <w:t>8.</w:t>
      </w:r>
      <w:r>
        <w:rPr>
          <w:rStyle w:val="big-number"/>
          <w:rFonts w:cs="Miriam"/>
          <w:rtl/>
        </w:rPr>
        <w:tab/>
      </w:r>
      <w:r w:rsidR="00D85F1A">
        <w:rPr>
          <w:rFonts w:cs="FrankRuehl" w:hint="cs"/>
          <w:rtl/>
          <w:lang w:eastAsia="en-US"/>
        </w:rPr>
        <w:t>מבלי לגרוע מזכות העיריה לגבות היטל ביוב לפי הוראות חוק עזר זה, רשאית העיריה, נוסף על זכותה כאמור, לבצע עבודות ביוב כולל התקנת ביוב, לפי הסכם עם בעל נכס גובל, אחד או יותר, כולם או מקצתם, ולגבות מהם את הוצאות העבודה שביצעה</w:t>
      </w:r>
      <w:r w:rsidR="00470669">
        <w:rPr>
          <w:rFonts w:cs="FrankRuehl" w:hint="cs"/>
          <w:rtl/>
          <w:lang w:eastAsia="en-US"/>
        </w:rPr>
        <w:t>.</w:t>
      </w:r>
    </w:p>
    <w:p w14:paraId="643C802B" w14:textId="77777777" w:rsidR="00086526" w:rsidRDefault="00AA2323" w:rsidP="00F11621">
      <w:pPr>
        <w:pStyle w:val="P00"/>
        <w:spacing w:before="72"/>
        <w:ind w:left="1021" w:right="1134" w:hanging="1021"/>
        <w:rPr>
          <w:rFonts w:cs="FrankRuehl" w:hint="cs"/>
          <w:rtl/>
          <w:lang w:eastAsia="en-US"/>
        </w:rPr>
      </w:pPr>
      <w:bookmarkStart w:id="8" w:name="Seif9"/>
      <w:bookmarkEnd w:id="8"/>
      <w:r>
        <w:rPr>
          <w:lang w:val="he-IL"/>
        </w:rPr>
        <w:pict w14:anchorId="397BDA9A">
          <v:rect id="_x0000_s1121" style="position:absolute;left:0;text-align:left;margin-left:464.5pt;margin-top:8.05pt;width:75.05pt;height:10.25pt;z-index:251654144" o:allowincell="f" filled="f" stroked="f" strokecolor="lime" strokeweight=".25pt">
            <v:textbox style="mso-next-textbox:#_x0000_s1121" inset="0,0,0,0">
              <w:txbxContent>
                <w:p w14:paraId="4B0C826F" w14:textId="77777777" w:rsidR="00720A6A" w:rsidRDefault="00D85F1A" w:rsidP="00AA2323">
                  <w:pPr>
                    <w:spacing w:line="160" w:lineRule="exact"/>
                    <w:jc w:val="left"/>
                    <w:rPr>
                      <w:rFonts w:cs="Miriam" w:hint="cs"/>
                      <w:noProof/>
                      <w:sz w:val="18"/>
                      <w:szCs w:val="18"/>
                      <w:rtl/>
                    </w:rPr>
                  </w:pPr>
                  <w:r>
                    <w:rPr>
                      <w:rFonts w:cs="Miriam" w:hint="cs"/>
                      <w:sz w:val="18"/>
                      <w:szCs w:val="18"/>
                      <w:rtl/>
                    </w:rPr>
                    <w:t>אגרת ביוב</w:t>
                  </w:r>
                </w:p>
              </w:txbxContent>
            </v:textbox>
            <w10:anchorlock/>
          </v:rect>
        </w:pict>
      </w:r>
      <w:r w:rsidR="00C54D20">
        <w:rPr>
          <w:rStyle w:val="big-number"/>
          <w:rFonts w:cs="Miriam" w:hint="cs"/>
          <w:rtl/>
        </w:rPr>
        <w:t>9</w:t>
      </w:r>
      <w:r>
        <w:rPr>
          <w:rStyle w:val="big-number"/>
          <w:rFonts w:cs="Miriam"/>
          <w:rtl/>
        </w:rPr>
        <w:t>.</w:t>
      </w:r>
      <w:r>
        <w:rPr>
          <w:rStyle w:val="big-number"/>
          <w:rFonts w:cs="Miriam"/>
          <w:rtl/>
        </w:rPr>
        <w:tab/>
      </w:r>
      <w:r w:rsidR="00D85F1A">
        <w:rPr>
          <w:rFonts w:cs="FrankRuehl" w:hint="cs"/>
          <w:rtl/>
          <w:lang w:eastAsia="en-US"/>
        </w:rPr>
        <w:t>(א)</w:t>
      </w:r>
      <w:r w:rsidR="00D85F1A">
        <w:rPr>
          <w:rFonts w:cs="FrankRuehl" w:hint="cs"/>
          <w:rtl/>
          <w:lang w:eastAsia="en-US"/>
        </w:rPr>
        <w:tab/>
        <w:t>(1)</w:t>
      </w:r>
      <w:r w:rsidR="00D85F1A">
        <w:rPr>
          <w:rFonts w:cs="FrankRuehl" w:hint="cs"/>
          <w:rtl/>
          <w:lang w:eastAsia="en-US"/>
        </w:rPr>
        <w:tab/>
        <w:t xml:space="preserve">מחזיק בנכס ישלם לעיריה אגרת ביוב; סכום האגרה יהיה הסכום המתקבל ממכפלת כמות המים שנצרכה בידי המחזיק, כפי שמדד מד המים בנכס, למעט מים שנצרכו להשקיה (להלן </w:t>
      </w:r>
      <w:r w:rsidR="00D85F1A">
        <w:rPr>
          <w:rFonts w:cs="FrankRuehl"/>
          <w:rtl/>
          <w:lang w:eastAsia="en-US"/>
        </w:rPr>
        <w:t>–</w:t>
      </w:r>
      <w:r w:rsidR="00D85F1A">
        <w:rPr>
          <w:rFonts w:cs="FrankRuehl" w:hint="cs"/>
          <w:rtl/>
          <w:lang w:eastAsia="en-US"/>
        </w:rPr>
        <w:t xml:space="preserve"> כמות המים שנצרכה), בשיעורם של תעריפי האגרה הנקובים בפרטים 4 או 5 לתוספת, לפי הענין, המעודכן ליום התשלום בפועל;</w:t>
      </w:r>
    </w:p>
    <w:p w14:paraId="000DD9ED" w14:textId="77777777" w:rsidR="00D85F1A" w:rsidRDefault="00D85F1A" w:rsidP="00F1162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מבלי לגרוע מהאמור בפסקה (1), בעל או מחזיק של מפעל טעון היתר שרמת צריכת החמצן הכימית בביוב המוזרם ממנו (להלן </w:t>
      </w:r>
      <w:r>
        <w:rPr>
          <w:rFonts w:cs="FrankRuehl"/>
          <w:rtl/>
          <w:lang w:eastAsia="en-US"/>
        </w:rPr>
        <w:t>–</w:t>
      </w:r>
      <w:r>
        <w:rPr>
          <w:rFonts w:cs="FrankRuehl" w:hint="cs"/>
          <w:rtl/>
          <w:lang w:eastAsia="en-US"/>
        </w:rPr>
        <w:t xml:space="preserve"> צריכת חמצן) עולה על צריכת חמצן שנקבעה בפרט 6 או 7 לתוספת, לפי הענין, ישלם לעיריה תוספת אגרת ביוב לפי התעריף הנקוב בתוספת לאותו פרט, בשיעורו המעודכן ליום התשלום בפועל; חיוב בתשלום אגרה לפי פסקה זו בא להוסיף על חיוב בתשלום אגרה לפי פרט 4 לתוספת.</w:t>
      </w:r>
    </w:p>
    <w:p w14:paraId="2E6E0695" w14:textId="77777777" w:rsidR="00D85F1A" w:rsidRDefault="00D85F1A" w:rsidP="00D85F1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F11621">
        <w:rPr>
          <w:rFonts w:cs="FrankRuehl" w:hint="cs"/>
          <w:rtl/>
          <w:lang w:eastAsia="en-US"/>
        </w:rPr>
        <w:t xml:space="preserve">המועצה תמנה ועדה אשר תדון בבקשות להפחתת סכום אגרת ביוב שהגיש לה בעלו או מחזיקו של מפעל או בית עסק (להלן </w:t>
      </w:r>
      <w:r w:rsidR="00F11621">
        <w:rPr>
          <w:rFonts w:cs="FrankRuehl"/>
          <w:rtl/>
          <w:lang w:eastAsia="en-US"/>
        </w:rPr>
        <w:t>–</w:t>
      </w:r>
      <w:r w:rsidR="00F11621">
        <w:rPr>
          <w:rFonts w:cs="FrankRuehl" w:hint="cs"/>
          <w:rtl/>
          <w:lang w:eastAsia="en-US"/>
        </w:rPr>
        <w:t xml:space="preserve"> הועדה), ויחול</w:t>
      </w:r>
      <w:r w:rsidR="00C32C3B">
        <w:rPr>
          <w:rFonts w:cs="FrankRuehl" w:hint="cs"/>
          <w:rtl/>
          <w:lang w:eastAsia="en-US"/>
        </w:rPr>
        <w:t>ו</w:t>
      </w:r>
      <w:r w:rsidR="00F11621">
        <w:rPr>
          <w:rFonts w:cs="FrankRuehl" w:hint="cs"/>
          <w:rtl/>
          <w:lang w:eastAsia="en-US"/>
        </w:rPr>
        <w:t xml:space="preserve"> לגבי בקשות כאמור הוראות אלה:</w:t>
      </w:r>
    </w:p>
    <w:p w14:paraId="4DFF3F6C" w14:textId="77777777" w:rsidR="00F11621" w:rsidRDefault="00F11621" w:rsidP="000A020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C32C3B">
        <w:rPr>
          <w:rFonts w:cs="FrankRuehl" w:hint="cs"/>
          <w:rtl/>
          <w:lang w:eastAsia="en-US"/>
        </w:rPr>
        <w:t>אמות המידה שלפיהן תחליט הועדה יהיו כאמור בסעיף 39(ב) לחוק, וכ</w:t>
      </w:r>
      <w:r w:rsidR="000A020E">
        <w:rPr>
          <w:rFonts w:cs="FrankRuehl" w:hint="cs"/>
          <w:rtl/>
          <w:lang w:eastAsia="en-US"/>
        </w:rPr>
        <w:t>ן קריטריונים נוספים שקבעה המועצה, והיא תהא רשאית להחליט לפיהם לענין הפחתה משיעור האגרה שבה חויב בעל הנכס או מחזיקו, לפי הענין, וכן לקבוע את שיעור ההפחתה;</w:t>
      </w:r>
    </w:p>
    <w:p w14:paraId="5430E9AD" w14:textId="77777777" w:rsidR="000A020E" w:rsidRDefault="000A020E" w:rsidP="000A020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הועדה תהא רשאית להתחשב, לצורך החלטתה, בבקשות שהוגשו לה, בכמות המים המשולבת במוצר הסופי או בכמות המים שאינה מוזרמת למערכת הביוב העירונית, ולקבוע לענין הפחתתה מכמות המים הנצרכת ולענין שיעור ההפחתה.</w:t>
      </w:r>
    </w:p>
    <w:p w14:paraId="73816AB6" w14:textId="77777777" w:rsidR="00A356CE" w:rsidRDefault="00AA2323" w:rsidP="000A020E">
      <w:pPr>
        <w:pStyle w:val="P00"/>
        <w:spacing w:before="72"/>
        <w:ind w:left="0" w:right="1134"/>
        <w:rPr>
          <w:rFonts w:cs="FrankRuehl" w:hint="cs"/>
          <w:rtl/>
          <w:lang w:eastAsia="en-US"/>
        </w:rPr>
      </w:pPr>
      <w:bookmarkStart w:id="9" w:name="Seif10"/>
      <w:bookmarkEnd w:id="9"/>
      <w:r>
        <w:rPr>
          <w:lang w:val="he-IL"/>
        </w:rPr>
        <w:pict w14:anchorId="5F7E0FAC">
          <v:rect id="_x0000_s1122" style="position:absolute;left:0;text-align:left;margin-left:464.5pt;margin-top:8.05pt;width:75.05pt;height:13.9pt;z-index:251655168" o:allowincell="f" filled="f" stroked="f" strokecolor="lime" strokeweight=".25pt">
            <v:textbox style="mso-next-textbox:#_x0000_s1122" inset="0,0,0,0">
              <w:txbxContent>
                <w:p w14:paraId="5B298337" w14:textId="77777777" w:rsidR="00720A6A" w:rsidRDefault="000A020E" w:rsidP="00AA2323">
                  <w:pPr>
                    <w:spacing w:line="160" w:lineRule="exact"/>
                    <w:jc w:val="left"/>
                    <w:rPr>
                      <w:rFonts w:cs="Miriam" w:hint="cs"/>
                      <w:noProof/>
                      <w:sz w:val="18"/>
                      <w:szCs w:val="18"/>
                      <w:rtl/>
                    </w:rPr>
                  </w:pPr>
                  <w:r>
                    <w:rPr>
                      <w:rFonts w:cs="Miriam" w:hint="cs"/>
                      <w:sz w:val="18"/>
                      <w:szCs w:val="18"/>
                      <w:rtl/>
                    </w:rPr>
                    <w:t>מועד תשלום האגרה</w:t>
                  </w:r>
                </w:p>
              </w:txbxContent>
            </v:textbox>
            <w10:anchorlock/>
          </v:rect>
        </w:pict>
      </w:r>
      <w:r>
        <w:rPr>
          <w:rStyle w:val="big-number"/>
          <w:rFonts w:cs="Miriam" w:hint="cs"/>
          <w:rtl/>
        </w:rPr>
        <w:t>10</w:t>
      </w:r>
      <w:r>
        <w:rPr>
          <w:rStyle w:val="big-number"/>
          <w:rFonts w:cs="Miriam"/>
          <w:rtl/>
        </w:rPr>
        <w:t>.</w:t>
      </w:r>
      <w:r>
        <w:rPr>
          <w:rStyle w:val="big-number"/>
          <w:rFonts w:cs="Miriam"/>
          <w:rtl/>
        </w:rPr>
        <w:tab/>
      </w:r>
      <w:r w:rsidR="000A020E">
        <w:rPr>
          <w:rFonts w:cs="FrankRuehl" w:hint="cs"/>
          <w:rtl/>
          <w:lang w:eastAsia="en-US"/>
        </w:rPr>
        <w:t>אגרת ביוב תשולם יחד עם אגרת מים לפי חוק עזר לרמלה (אספקת מים), התשכ"ז-1966, או חוק עזר שיחליפו, ובלבד שתשלום אגרת ביוב לא יהיה מאורח מהמועד שנקבע לכך בהודעת החיוב</w:t>
      </w:r>
      <w:r w:rsidR="00A356CE">
        <w:rPr>
          <w:rFonts w:cs="FrankRuehl"/>
          <w:rtl/>
          <w:lang w:eastAsia="en-US"/>
        </w:rPr>
        <w:t>.</w:t>
      </w:r>
    </w:p>
    <w:p w14:paraId="46E7B24A" w14:textId="77777777" w:rsidR="00AA2323" w:rsidRDefault="00AA2323" w:rsidP="000A020E">
      <w:pPr>
        <w:pStyle w:val="P00"/>
        <w:spacing w:before="72"/>
        <w:ind w:left="0" w:right="1134"/>
        <w:rPr>
          <w:rFonts w:cs="FrankRuehl" w:hint="cs"/>
          <w:rtl/>
          <w:lang w:eastAsia="en-US"/>
        </w:rPr>
      </w:pPr>
      <w:bookmarkStart w:id="10" w:name="Seif11"/>
      <w:bookmarkEnd w:id="10"/>
      <w:r>
        <w:rPr>
          <w:lang w:val="he-IL"/>
        </w:rPr>
        <w:pict w14:anchorId="022C2F80">
          <v:rect id="_x0000_s1123" style="position:absolute;left:0;text-align:left;margin-left:464.5pt;margin-top:8.05pt;width:75.05pt;height:21.15pt;z-index:251656192" o:allowincell="f" filled="f" stroked="f" strokecolor="lime" strokeweight=".25pt">
            <v:textbox style="mso-next-textbox:#_x0000_s1123" inset="0,0,0,0">
              <w:txbxContent>
                <w:p w14:paraId="7BFBFF6F" w14:textId="77777777" w:rsidR="00720A6A" w:rsidRDefault="000A020E" w:rsidP="00AA2323">
                  <w:pPr>
                    <w:spacing w:line="160" w:lineRule="exact"/>
                    <w:jc w:val="left"/>
                    <w:rPr>
                      <w:rFonts w:cs="Miriam" w:hint="cs"/>
                      <w:noProof/>
                      <w:sz w:val="18"/>
                      <w:szCs w:val="18"/>
                      <w:rtl/>
                    </w:rPr>
                  </w:pPr>
                  <w:r>
                    <w:rPr>
                      <w:rFonts w:cs="Miriam" w:hint="cs"/>
                      <w:sz w:val="18"/>
                      <w:szCs w:val="18"/>
                      <w:rtl/>
                    </w:rPr>
                    <w:t>סכום ההיטל או האגרה והודעה לחייב</w:t>
                  </w:r>
                </w:p>
              </w:txbxContent>
            </v:textbox>
            <w10:anchorlock/>
          </v:rect>
        </w:pict>
      </w:r>
      <w:r>
        <w:rPr>
          <w:rStyle w:val="big-number"/>
          <w:rFonts w:cs="Miriam" w:hint="cs"/>
          <w:rtl/>
        </w:rPr>
        <w:t>1</w:t>
      </w:r>
      <w:r w:rsidR="00C54D20">
        <w:rPr>
          <w:rStyle w:val="big-number"/>
          <w:rFonts w:cs="Miriam" w:hint="cs"/>
          <w:rtl/>
        </w:rPr>
        <w:t>1</w:t>
      </w:r>
      <w:r>
        <w:rPr>
          <w:rStyle w:val="big-number"/>
          <w:rFonts w:cs="Miriam"/>
          <w:rtl/>
        </w:rPr>
        <w:t>.</w:t>
      </w:r>
      <w:r>
        <w:rPr>
          <w:rStyle w:val="big-number"/>
          <w:rFonts w:cs="Miriam"/>
          <w:rtl/>
        </w:rPr>
        <w:tab/>
      </w:r>
      <w:r w:rsidR="00C54D20">
        <w:rPr>
          <w:rFonts w:cs="FrankRuehl" w:hint="cs"/>
          <w:rtl/>
          <w:lang w:eastAsia="en-US"/>
        </w:rPr>
        <w:t>(א)</w:t>
      </w:r>
      <w:r w:rsidR="00C54D20">
        <w:rPr>
          <w:rFonts w:cs="FrankRuehl" w:hint="cs"/>
          <w:rtl/>
          <w:lang w:eastAsia="en-US"/>
        </w:rPr>
        <w:tab/>
      </w:r>
      <w:r w:rsidR="000A020E">
        <w:rPr>
          <w:rFonts w:cs="FrankRuehl" w:hint="cs"/>
          <w:rtl/>
          <w:lang w:eastAsia="en-US"/>
        </w:rPr>
        <w:t>סכום ההיטל או האגרה לפי הוראות חוק עזר זה יחושב לפי שיעורם של תעריפי ההיטל או האגרה שבתוספת, לפי הענין, המעודכן ליום התשלום בפועל</w:t>
      </w:r>
      <w:r w:rsidR="00C54D20">
        <w:rPr>
          <w:rFonts w:cs="FrankRuehl" w:hint="cs"/>
          <w:rtl/>
          <w:lang w:eastAsia="en-US"/>
        </w:rPr>
        <w:t>.</w:t>
      </w:r>
    </w:p>
    <w:p w14:paraId="41AFA98F" w14:textId="77777777" w:rsidR="00C54D20" w:rsidRDefault="00C54D20" w:rsidP="000A020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A020E">
        <w:rPr>
          <w:rFonts w:cs="FrankRuehl" w:hint="cs"/>
          <w:rtl/>
          <w:lang w:eastAsia="en-US"/>
        </w:rPr>
        <w:t>לא שולם ההיטל או האגרה עד המועד שנקבע בדרישת התשלום, יחושב סכום ההיטל או האגרה לפי שיעורם של תעריפי ההיטל או האגרה, לפי הענין, שבתוספת, המעודכן ליום התשלום בפועל או לפי הסכום הנקוב בהודעת החיוב בתוספת ריבית והצמדה כדין עד יום התשלום בפועל, לפי הסכום הגדול מביניהם</w:t>
      </w:r>
      <w:r>
        <w:rPr>
          <w:rFonts w:cs="FrankRuehl" w:hint="cs"/>
          <w:rtl/>
          <w:lang w:eastAsia="en-US"/>
        </w:rPr>
        <w:t>.</w:t>
      </w:r>
    </w:p>
    <w:p w14:paraId="0B08A347" w14:textId="77777777" w:rsidR="00C103FA" w:rsidRDefault="00C103FA" w:rsidP="00C103F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0A020E">
        <w:rPr>
          <w:rFonts w:cs="FrankRuehl" w:hint="cs"/>
          <w:rtl/>
          <w:lang w:eastAsia="en-US"/>
        </w:rPr>
        <w:t xml:space="preserve">נפלה טעות בחישוב העיריה שבעטיה שולם לה סכום קטן מהסכום המגיע לפי הוראות חוק עזר זה (להלן </w:t>
      </w:r>
      <w:r w:rsidR="000A020E">
        <w:rPr>
          <w:rFonts w:cs="FrankRuehl"/>
          <w:rtl/>
          <w:lang w:eastAsia="en-US"/>
        </w:rPr>
        <w:t>–</w:t>
      </w:r>
      <w:r w:rsidR="000A020E">
        <w:rPr>
          <w:rFonts w:cs="FrankRuehl" w:hint="cs"/>
          <w:rtl/>
          <w:lang w:eastAsia="en-US"/>
        </w:rPr>
        <w:t xml:space="preserve"> הפרש), תהא העיריה רשאית לגבות את הפרש הסכום המגיע לה כאמור בסעיף קטן (א)</w:t>
      </w:r>
      <w:r>
        <w:rPr>
          <w:rFonts w:cs="FrankRuehl" w:hint="cs"/>
          <w:rtl/>
          <w:lang w:eastAsia="en-US"/>
        </w:rPr>
        <w:t>.</w:t>
      </w:r>
    </w:p>
    <w:p w14:paraId="656C837A" w14:textId="77777777" w:rsidR="00A356CE" w:rsidRDefault="00AA2323" w:rsidP="00183083">
      <w:pPr>
        <w:pStyle w:val="P00"/>
        <w:spacing w:before="72"/>
        <w:ind w:left="0" w:right="1134"/>
        <w:rPr>
          <w:rFonts w:cs="FrankRuehl" w:hint="cs"/>
          <w:rtl/>
          <w:lang w:eastAsia="en-US"/>
        </w:rPr>
      </w:pPr>
      <w:bookmarkStart w:id="11" w:name="Seif12"/>
      <w:bookmarkEnd w:id="11"/>
      <w:r>
        <w:rPr>
          <w:lang w:val="he-IL"/>
        </w:rPr>
        <w:pict w14:anchorId="7426F832">
          <v:rect id="_x0000_s1124" style="position:absolute;left:0;text-align:left;margin-left:464.5pt;margin-top:8.05pt;width:75.05pt;height:12.85pt;z-index:251657216" o:allowincell="f" filled="f" stroked="f" strokecolor="lime" strokeweight=".25pt">
            <v:textbox style="mso-next-textbox:#_x0000_s1124" inset="0,0,0,0">
              <w:txbxContent>
                <w:p w14:paraId="7FC0AE1C" w14:textId="77777777" w:rsidR="00720A6A" w:rsidRDefault="00183083" w:rsidP="00AA2323">
                  <w:pPr>
                    <w:spacing w:line="160" w:lineRule="exact"/>
                    <w:jc w:val="left"/>
                    <w:rPr>
                      <w:rFonts w:cs="Miriam" w:hint="cs"/>
                      <w:noProof/>
                      <w:sz w:val="18"/>
                      <w:szCs w:val="18"/>
                      <w:rtl/>
                    </w:rPr>
                  </w:pPr>
                  <w:r>
                    <w:rPr>
                      <w:rFonts w:cs="Miriam" w:hint="cs"/>
                      <w:sz w:val="18"/>
                      <w:szCs w:val="18"/>
                      <w:rtl/>
                    </w:rPr>
                    <w:t>חיוב בעלים במשותף</w:t>
                  </w:r>
                </w:p>
              </w:txbxContent>
            </v:textbox>
            <w10:anchorlock/>
          </v:rect>
        </w:pict>
      </w:r>
      <w:r>
        <w:rPr>
          <w:rStyle w:val="big-number"/>
          <w:rFonts w:cs="Miriam" w:hint="cs"/>
          <w:rtl/>
        </w:rPr>
        <w:t>1</w:t>
      </w:r>
      <w:r w:rsidR="00C54D20">
        <w:rPr>
          <w:rStyle w:val="big-number"/>
          <w:rFonts w:cs="Miriam" w:hint="cs"/>
          <w:rtl/>
        </w:rPr>
        <w:t>2</w:t>
      </w:r>
      <w:r>
        <w:rPr>
          <w:rStyle w:val="big-number"/>
          <w:rFonts w:cs="Miriam"/>
          <w:rtl/>
        </w:rPr>
        <w:t>.</w:t>
      </w:r>
      <w:r>
        <w:rPr>
          <w:rStyle w:val="big-number"/>
          <w:rFonts w:cs="Miriam"/>
          <w:rtl/>
        </w:rPr>
        <w:tab/>
      </w:r>
      <w:r w:rsidR="00183083">
        <w:rPr>
          <w:rFonts w:cs="FrankRuehl" w:hint="cs"/>
          <w:rtl/>
          <w:lang w:eastAsia="en-US"/>
        </w:rPr>
        <w:t>היו לנכס יותר מבעל אחד, רשאית העיריה לגבות תשלומים המגיעים לה לפי חוק עזר זה, מכולם יחד או מכל אחד מהם לחוד</w:t>
      </w:r>
      <w:r w:rsidR="00A356CE">
        <w:rPr>
          <w:rFonts w:cs="FrankRuehl"/>
          <w:rtl/>
          <w:lang w:eastAsia="en-US"/>
        </w:rPr>
        <w:t>.</w:t>
      </w:r>
    </w:p>
    <w:p w14:paraId="0EFCD15D" w14:textId="77777777" w:rsidR="00214924" w:rsidRDefault="00AA2323" w:rsidP="00214924">
      <w:pPr>
        <w:pStyle w:val="P00"/>
        <w:spacing w:before="72"/>
        <w:ind w:left="0" w:right="1134"/>
        <w:rPr>
          <w:rFonts w:cs="FrankRuehl" w:hint="cs"/>
          <w:rtl/>
          <w:lang w:eastAsia="en-US"/>
        </w:rPr>
      </w:pPr>
      <w:bookmarkStart w:id="12" w:name="Seif13"/>
      <w:bookmarkEnd w:id="12"/>
      <w:r>
        <w:rPr>
          <w:lang w:val="he-IL"/>
        </w:rPr>
        <w:pict w14:anchorId="160C86F0">
          <v:rect id="_x0000_s1125" style="position:absolute;left:0;text-align:left;margin-left:464.5pt;margin-top:8.05pt;width:75.05pt;height:13.9pt;z-index:251658240" o:allowincell="f" filled="f" stroked="f" strokecolor="lime" strokeweight=".25pt">
            <v:textbox style="mso-next-textbox:#_x0000_s1125" inset="0,0,0,0">
              <w:txbxContent>
                <w:p w14:paraId="12725F54" w14:textId="77777777" w:rsidR="00720A6A" w:rsidRDefault="00183083" w:rsidP="00AA2323">
                  <w:pPr>
                    <w:spacing w:line="160" w:lineRule="exact"/>
                    <w:jc w:val="left"/>
                    <w:rPr>
                      <w:rFonts w:cs="Miriam" w:hint="cs"/>
                      <w:noProof/>
                      <w:sz w:val="18"/>
                      <w:szCs w:val="18"/>
                      <w:rtl/>
                    </w:rPr>
                  </w:pPr>
                  <w:r>
                    <w:rPr>
                      <w:rFonts w:cs="Miriam" w:hint="cs"/>
                      <w:sz w:val="18"/>
                      <w:szCs w:val="18"/>
                      <w:rtl/>
                    </w:rPr>
                    <w:t>פגיעה בביוב</w:t>
                  </w:r>
                </w:p>
              </w:txbxContent>
            </v:textbox>
            <w10:anchorlock/>
          </v:rect>
        </w:pict>
      </w:r>
      <w:r>
        <w:rPr>
          <w:rStyle w:val="big-number"/>
          <w:rFonts w:cs="Miriam" w:hint="cs"/>
          <w:rtl/>
        </w:rPr>
        <w:t>1</w:t>
      </w:r>
      <w:r w:rsidR="00C54D20">
        <w:rPr>
          <w:rStyle w:val="big-number"/>
          <w:rFonts w:cs="Miriam" w:hint="cs"/>
          <w:rtl/>
        </w:rPr>
        <w:t>3</w:t>
      </w:r>
      <w:r>
        <w:rPr>
          <w:rStyle w:val="big-number"/>
          <w:rFonts w:cs="Miriam"/>
          <w:rtl/>
        </w:rPr>
        <w:t>.</w:t>
      </w:r>
      <w:r>
        <w:rPr>
          <w:rStyle w:val="big-number"/>
          <w:rFonts w:cs="Miriam"/>
          <w:rtl/>
        </w:rPr>
        <w:tab/>
      </w:r>
      <w:r w:rsidR="00183083">
        <w:rPr>
          <w:rFonts w:cs="FrankRuehl" w:hint="cs"/>
          <w:rtl/>
          <w:lang w:eastAsia="en-US"/>
        </w:rPr>
        <w:t>לא יעשה אדם מעשה העלול לפגוע או להזיק לביוב השייך לעיריה</w:t>
      </w:r>
      <w:r w:rsidR="00214924">
        <w:rPr>
          <w:rFonts w:cs="FrankRuehl" w:hint="cs"/>
          <w:rtl/>
          <w:lang w:eastAsia="en-US"/>
        </w:rPr>
        <w:t>.</w:t>
      </w:r>
    </w:p>
    <w:p w14:paraId="13F8A1CC" w14:textId="77777777" w:rsidR="00C103FA" w:rsidRDefault="00AA2323" w:rsidP="00214924">
      <w:pPr>
        <w:pStyle w:val="P00"/>
        <w:spacing w:before="72"/>
        <w:ind w:left="0" w:right="1134"/>
        <w:rPr>
          <w:rFonts w:cs="FrankRuehl" w:hint="cs"/>
          <w:rtl/>
          <w:lang w:eastAsia="en-US"/>
        </w:rPr>
      </w:pPr>
      <w:bookmarkStart w:id="13" w:name="Seif14"/>
      <w:bookmarkEnd w:id="13"/>
      <w:r>
        <w:rPr>
          <w:lang w:val="he-IL"/>
        </w:rPr>
        <w:pict w14:anchorId="79A15776">
          <v:rect id="_x0000_s1126" style="position:absolute;left:0;text-align:left;margin-left:464.5pt;margin-top:8.05pt;width:75.05pt;height:13.9pt;z-index:251659264" o:allowincell="f" filled="f" stroked="f" strokecolor="lime" strokeweight=".25pt">
            <v:textbox style="mso-next-textbox:#_x0000_s1126" inset="0,0,0,0">
              <w:txbxContent>
                <w:p w14:paraId="7E9F2E57" w14:textId="77777777" w:rsidR="00720A6A" w:rsidRDefault="00183083" w:rsidP="00AA2323">
                  <w:pPr>
                    <w:spacing w:line="160" w:lineRule="exact"/>
                    <w:jc w:val="left"/>
                    <w:rPr>
                      <w:rFonts w:cs="Miriam" w:hint="cs"/>
                      <w:noProof/>
                      <w:sz w:val="18"/>
                      <w:szCs w:val="18"/>
                      <w:rtl/>
                    </w:rPr>
                  </w:pPr>
                  <w:r>
                    <w:rPr>
                      <w:rFonts w:cs="Miriam" w:hint="cs"/>
                      <w:sz w:val="18"/>
                      <w:szCs w:val="18"/>
                      <w:rtl/>
                    </w:rPr>
                    <w:t>מסירת הודעה</w:t>
                  </w:r>
                </w:p>
              </w:txbxContent>
            </v:textbox>
            <w10:anchorlock/>
          </v:rect>
        </w:pict>
      </w:r>
      <w:r>
        <w:rPr>
          <w:rStyle w:val="big-number"/>
          <w:rFonts w:cs="Miriam" w:hint="cs"/>
          <w:rtl/>
        </w:rPr>
        <w:t>1</w:t>
      </w:r>
      <w:r w:rsidR="00C54D20">
        <w:rPr>
          <w:rStyle w:val="big-number"/>
          <w:rFonts w:cs="Miriam" w:hint="cs"/>
          <w:rtl/>
        </w:rPr>
        <w:t>4</w:t>
      </w:r>
      <w:r>
        <w:rPr>
          <w:rStyle w:val="big-number"/>
          <w:rFonts w:cs="Miriam"/>
          <w:rtl/>
        </w:rPr>
        <w:t>.</w:t>
      </w:r>
      <w:r>
        <w:rPr>
          <w:rStyle w:val="big-number"/>
          <w:rFonts w:cs="Miriam"/>
          <w:rtl/>
        </w:rPr>
        <w:tab/>
      </w:r>
      <w:r w:rsidR="00183083">
        <w:rPr>
          <w:rFonts w:cs="FrankRuehl" w:hint="cs"/>
          <w:rtl/>
          <w:lang w:eastAsia="en-US"/>
        </w:rPr>
        <w:t>מסירת הודעה לפי חוק עזר זה תהא כדין אם נמסרה לידי האדם שאליו היא מכוונת או אם נמסרה במקום מגוריו או במקום עסקיו הרגילים הידועים לאחרונה, לידי אחד מבני משפחתו הבוגרים או לידי אדם בוגר העובד או מועסק שם או אם נשלחה בדואר במכתב רשום הערוך אל אותו אדם לפי מען מגוריו או עסקיו הרגילים, הידועים לאחרונה; אם אי אפשר לקיים מסירה כאמור, תהא המסירה כדין אם הוצגה ההודעה במקום בולט באחד המקומות האמורים או אם פורסמה בשני עיתונים יומיים הנפוצים בתחום העיריה, שאחד מהם לפחות הוא בשפה העברית</w:t>
      </w:r>
      <w:r w:rsidR="00C103FA">
        <w:rPr>
          <w:rFonts w:cs="FrankRuehl" w:hint="cs"/>
          <w:rtl/>
          <w:lang w:eastAsia="en-US"/>
        </w:rPr>
        <w:t>.</w:t>
      </w:r>
    </w:p>
    <w:p w14:paraId="4463CDC0" w14:textId="77777777" w:rsidR="00C103FA" w:rsidRDefault="00AA2323" w:rsidP="00183083">
      <w:pPr>
        <w:pStyle w:val="P00"/>
        <w:spacing w:before="72"/>
        <w:ind w:left="0" w:right="1134"/>
        <w:rPr>
          <w:rFonts w:cs="FrankRuehl" w:hint="cs"/>
          <w:rtl/>
          <w:lang w:eastAsia="en-US"/>
        </w:rPr>
      </w:pPr>
      <w:bookmarkStart w:id="14" w:name="Seif15"/>
      <w:bookmarkEnd w:id="14"/>
      <w:r>
        <w:rPr>
          <w:lang w:val="he-IL"/>
        </w:rPr>
        <w:pict w14:anchorId="3DA54580">
          <v:rect id="_x0000_s1127" style="position:absolute;left:0;text-align:left;margin-left:464.5pt;margin-top:8.05pt;width:75.05pt;height:13.9pt;z-index:251660288" o:allowincell="f" filled="f" stroked="f" strokecolor="lime" strokeweight=".25pt">
            <v:textbox style="mso-next-textbox:#_x0000_s1127" inset="0,0,0,0">
              <w:txbxContent>
                <w:p w14:paraId="0B61D189" w14:textId="77777777" w:rsidR="00720A6A" w:rsidRDefault="00183083" w:rsidP="00AA2323">
                  <w:pPr>
                    <w:spacing w:line="160" w:lineRule="exact"/>
                    <w:jc w:val="left"/>
                    <w:rPr>
                      <w:rFonts w:cs="Miriam" w:hint="cs"/>
                      <w:noProof/>
                      <w:sz w:val="18"/>
                      <w:szCs w:val="18"/>
                      <w:rtl/>
                    </w:rPr>
                  </w:pPr>
                  <w:r>
                    <w:rPr>
                      <w:rFonts w:cs="Miriam" w:hint="cs"/>
                      <w:sz w:val="18"/>
                      <w:szCs w:val="18"/>
                      <w:rtl/>
                    </w:rPr>
                    <w:t>הצמדה</w:t>
                  </w:r>
                </w:p>
              </w:txbxContent>
            </v:textbox>
            <w10:anchorlock/>
          </v:rect>
        </w:pict>
      </w:r>
      <w:r>
        <w:rPr>
          <w:rStyle w:val="big-number"/>
          <w:rFonts w:cs="Miriam" w:hint="cs"/>
          <w:rtl/>
        </w:rPr>
        <w:t>1</w:t>
      </w:r>
      <w:r w:rsidR="00C54D20">
        <w:rPr>
          <w:rStyle w:val="big-number"/>
          <w:rFonts w:cs="Miriam" w:hint="cs"/>
          <w:rtl/>
        </w:rPr>
        <w:t>5</w:t>
      </w:r>
      <w:r>
        <w:rPr>
          <w:rStyle w:val="big-number"/>
          <w:rFonts w:cs="Miriam"/>
          <w:rtl/>
        </w:rPr>
        <w:t>.</w:t>
      </w:r>
      <w:r>
        <w:rPr>
          <w:rStyle w:val="big-number"/>
          <w:rFonts w:cs="Miriam"/>
          <w:rtl/>
        </w:rPr>
        <w:tab/>
      </w:r>
      <w:r w:rsidR="00183083">
        <w:rPr>
          <w:rFonts w:cs="FrankRuehl" w:hint="cs"/>
          <w:rtl/>
          <w:lang w:eastAsia="en-US"/>
        </w:rPr>
        <w:t xml:space="preserve">הוראות חוק עזר לרמלה (הצמדה למדד), התשמ"ד-1984 </w:t>
      </w:r>
      <w:r w:rsidR="00183083">
        <w:rPr>
          <w:rFonts w:cs="FrankRuehl"/>
          <w:rtl/>
          <w:lang w:eastAsia="en-US"/>
        </w:rPr>
        <w:t>–</w:t>
      </w:r>
      <w:r w:rsidR="00183083">
        <w:rPr>
          <w:rFonts w:cs="FrankRuehl" w:hint="cs"/>
          <w:rtl/>
          <w:lang w:eastAsia="en-US"/>
        </w:rPr>
        <w:t xml:space="preserve"> יחולו על חוק עזר זה ועל התעריפים שבתוספת</w:t>
      </w:r>
      <w:r w:rsidR="00C103FA">
        <w:rPr>
          <w:rFonts w:cs="FrankRuehl" w:hint="cs"/>
          <w:rtl/>
          <w:lang w:eastAsia="en-US"/>
        </w:rPr>
        <w:t>.</w:t>
      </w:r>
    </w:p>
    <w:p w14:paraId="43D912E5" w14:textId="77777777" w:rsidR="00214924" w:rsidRDefault="00AA2323" w:rsidP="00183083">
      <w:pPr>
        <w:pStyle w:val="P00"/>
        <w:spacing w:before="72"/>
        <w:ind w:left="0" w:right="1134"/>
        <w:rPr>
          <w:rFonts w:cs="FrankRuehl" w:hint="cs"/>
          <w:rtl/>
          <w:lang w:eastAsia="en-US"/>
        </w:rPr>
      </w:pPr>
      <w:bookmarkStart w:id="15" w:name="Seif16"/>
      <w:bookmarkEnd w:id="15"/>
      <w:r>
        <w:rPr>
          <w:lang w:val="he-IL"/>
        </w:rPr>
        <w:pict w14:anchorId="08680E41">
          <v:rect id="_x0000_s1128" style="position:absolute;left:0;text-align:left;margin-left:464.5pt;margin-top:8.05pt;width:75.05pt;height:13.9pt;z-index:251661312" o:allowincell="f" filled="f" stroked="f" strokecolor="lime" strokeweight=".25pt">
            <v:textbox style="mso-next-textbox:#_x0000_s1128" inset="0,0,0,0">
              <w:txbxContent>
                <w:p w14:paraId="0A2C98DA" w14:textId="77777777" w:rsidR="00720A6A" w:rsidRDefault="00183083" w:rsidP="00AA2323">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1</w:t>
      </w:r>
      <w:r w:rsidR="00C54D20">
        <w:rPr>
          <w:rStyle w:val="big-number"/>
          <w:rFonts w:cs="Miriam" w:hint="cs"/>
          <w:rtl/>
        </w:rPr>
        <w:t>6</w:t>
      </w:r>
      <w:r>
        <w:rPr>
          <w:rStyle w:val="big-number"/>
          <w:rFonts w:cs="Miriam"/>
          <w:rtl/>
        </w:rPr>
        <w:t>.</w:t>
      </w:r>
      <w:r>
        <w:rPr>
          <w:rStyle w:val="big-number"/>
          <w:rFonts w:cs="Miriam"/>
          <w:rtl/>
        </w:rPr>
        <w:tab/>
      </w:r>
      <w:r w:rsidR="00183083">
        <w:rPr>
          <w:rFonts w:cs="FrankRuehl" w:hint="cs"/>
          <w:rtl/>
          <w:lang w:eastAsia="en-US"/>
        </w:rPr>
        <w:t xml:space="preserve">על אף האמור בחוק עזר לרמלה (הצמדה למדד), התשמ"ד-1984, ובסעיף 15, יעלו סכומי ההיטל והאגרה שנקבעו בתוספת, במועד פרסומו של חוק עזר זה (להלן </w:t>
      </w:r>
      <w:r w:rsidR="00183083">
        <w:rPr>
          <w:rFonts w:cs="FrankRuehl"/>
          <w:rtl/>
          <w:lang w:eastAsia="en-US"/>
        </w:rPr>
        <w:t>–</w:t>
      </w:r>
      <w:r w:rsidR="00183083">
        <w:rPr>
          <w:rFonts w:cs="FrankRuehl" w:hint="cs"/>
          <w:rtl/>
          <w:lang w:eastAsia="en-US"/>
        </w:rPr>
        <w:t xml:space="preserve"> יום ההעלאה הראשון), לפי שיעור עליית מדד המחירים לצרכן שמפרסמת הלשכה המרכזית לסטטיסטיקה (להלן </w:t>
      </w:r>
      <w:r w:rsidR="00183083">
        <w:rPr>
          <w:rFonts w:cs="FrankRuehl"/>
          <w:rtl/>
          <w:lang w:eastAsia="en-US"/>
        </w:rPr>
        <w:t>–</w:t>
      </w:r>
      <w:r w:rsidR="00183083">
        <w:rPr>
          <w:rFonts w:cs="FrankRuehl" w:hint="cs"/>
          <w:rtl/>
          <w:lang w:eastAsia="en-US"/>
        </w:rPr>
        <w:t xml:space="preserve"> מדד), ממדד חודש פברואר 1996 עד המדד שפורסם לאחרונה לפני יום ההעלאה הראשון</w:t>
      </w:r>
      <w:r w:rsidR="00214924">
        <w:rPr>
          <w:rFonts w:cs="FrankRuehl"/>
          <w:rtl/>
          <w:lang w:eastAsia="en-US"/>
        </w:rPr>
        <w:t>.</w:t>
      </w:r>
    </w:p>
    <w:p w14:paraId="79B6B45A" w14:textId="77777777" w:rsidR="00720A6A" w:rsidRDefault="00AA2323" w:rsidP="00720A6A">
      <w:pPr>
        <w:pStyle w:val="P00"/>
        <w:spacing w:before="72"/>
        <w:ind w:left="0" w:right="1134"/>
        <w:rPr>
          <w:rFonts w:cs="FrankRuehl" w:hint="cs"/>
          <w:rtl/>
          <w:lang w:eastAsia="en-US"/>
        </w:rPr>
      </w:pPr>
      <w:bookmarkStart w:id="16" w:name="Seif17"/>
      <w:bookmarkEnd w:id="16"/>
      <w:r>
        <w:rPr>
          <w:lang w:val="he-IL"/>
        </w:rPr>
        <w:pict w14:anchorId="1AF7836C">
          <v:rect id="_x0000_s1129" style="position:absolute;left:0;text-align:left;margin-left:464.5pt;margin-top:8.05pt;width:75.05pt;height:16.65pt;z-index:251662336" o:allowincell="f" filled="f" stroked="f" strokecolor="lime" strokeweight=".25pt">
            <v:textbox style="mso-next-textbox:#_x0000_s1129" inset="0,0,0,0">
              <w:txbxContent>
                <w:p w14:paraId="450D1CBF" w14:textId="77777777" w:rsidR="00720A6A" w:rsidRDefault="00183083" w:rsidP="00AA2323">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w:t>
      </w:r>
      <w:r w:rsidR="00C54D20">
        <w:rPr>
          <w:rStyle w:val="big-number"/>
          <w:rFonts w:cs="Miriam" w:hint="cs"/>
          <w:rtl/>
        </w:rPr>
        <w:t>7</w:t>
      </w:r>
      <w:r>
        <w:rPr>
          <w:rStyle w:val="big-number"/>
          <w:rFonts w:cs="Miriam"/>
          <w:rtl/>
        </w:rPr>
        <w:t>.</w:t>
      </w:r>
      <w:r>
        <w:rPr>
          <w:rStyle w:val="big-number"/>
          <w:rFonts w:cs="Miriam"/>
          <w:rtl/>
        </w:rPr>
        <w:tab/>
      </w:r>
      <w:r w:rsidR="00183083">
        <w:rPr>
          <w:rFonts w:cs="FrankRuehl" w:hint="cs"/>
          <w:rtl/>
          <w:lang w:eastAsia="en-US"/>
        </w:rPr>
        <w:t>האמור בחוק עזר זה אינו בא לגרוע מסמכות, סעד ותרופה המוקנים לעיריה על פי דין אלא להוסיף עליהם</w:t>
      </w:r>
      <w:r w:rsidR="00720A6A">
        <w:rPr>
          <w:rFonts w:cs="FrankRuehl" w:hint="cs"/>
          <w:rtl/>
          <w:lang w:eastAsia="en-US"/>
        </w:rPr>
        <w:t>.</w:t>
      </w:r>
    </w:p>
    <w:p w14:paraId="7131E6BD" w14:textId="77777777" w:rsidR="00D327DE" w:rsidRDefault="00AA2323" w:rsidP="00183083">
      <w:pPr>
        <w:pStyle w:val="P00"/>
        <w:spacing w:before="72"/>
        <w:ind w:left="0" w:right="1134"/>
        <w:rPr>
          <w:rFonts w:cs="FrankRuehl" w:hint="cs"/>
          <w:rtl/>
          <w:lang w:eastAsia="en-US"/>
        </w:rPr>
      </w:pPr>
      <w:bookmarkStart w:id="17" w:name="Seif18"/>
      <w:bookmarkEnd w:id="17"/>
      <w:r>
        <w:rPr>
          <w:lang w:val="he-IL"/>
        </w:rPr>
        <w:pict w14:anchorId="2479755E">
          <v:rect id="_x0000_s1130" style="position:absolute;left:0;text-align:left;margin-left:464.5pt;margin-top:8.05pt;width:75.05pt;height:15.65pt;z-index:251663360" o:allowincell="f" filled="f" stroked="f" strokecolor="lime" strokeweight=".25pt">
            <v:textbox style="mso-next-textbox:#_x0000_s1130" inset="0,0,0,0">
              <w:txbxContent>
                <w:p w14:paraId="2E964525" w14:textId="77777777" w:rsidR="00165183" w:rsidRDefault="00183083" w:rsidP="00AA2323">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C54D20">
        <w:rPr>
          <w:rStyle w:val="big-number"/>
          <w:rFonts w:cs="Miriam" w:hint="cs"/>
          <w:rtl/>
        </w:rPr>
        <w:t>8</w:t>
      </w:r>
      <w:r>
        <w:rPr>
          <w:rStyle w:val="big-number"/>
          <w:rFonts w:cs="Miriam"/>
          <w:rtl/>
        </w:rPr>
        <w:t>.</w:t>
      </w:r>
      <w:r>
        <w:rPr>
          <w:rStyle w:val="big-number"/>
          <w:rFonts w:cs="Miriam"/>
          <w:rtl/>
        </w:rPr>
        <w:tab/>
      </w:r>
      <w:r w:rsidR="00183083">
        <w:rPr>
          <w:rFonts w:cs="FrankRuehl" w:hint="cs"/>
          <w:rtl/>
          <w:lang w:eastAsia="en-US"/>
        </w:rPr>
        <w:t>תחילתו של חוק עזר זה, למעט סעיף 13, ביום ג' בטבת התשנ"ח (1 בינואר 1998)</w:t>
      </w:r>
      <w:r w:rsidR="00D327DE">
        <w:rPr>
          <w:rFonts w:cs="FrankRuehl" w:hint="cs"/>
          <w:rtl/>
          <w:lang w:eastAsia="en-US"/>
        </w:rPr>
        <w:t>.</w:t>
      </w:r>
    </w:p>
    <w:p w14:paraId="226DDF37" w14:textId="77777777" w:rsidR="00720A6A" w:rsidRDefault="00AA2323" w:rsidP="00183083">
      <w:pPr>
        <w:pStyle w:val="P00"/>
        <w:spacing w:before="72"/>
        <w:ind w:left="0" w:right="1134"/>
        <w:rPr>
          <w:rFonts w:cs="FrankRuehl" w:hint="cs"/>
          <w:rtl/>
          <w:lang w:eastAsia="en-US"/>
        </w:rPr>
      </w:pPr>
      <w:bookmarkStart w:id="18" w:name="Seif19"/>
      <w:bookmarkEnd w:id="18"/>
      <w:r>
        <w:rPr>
          <w:lang w:val="he-IL"/>
        </w:rPr>
        <w:pict w14:anchorId="6298544A">
          <v:rect id="_x0000_s1131" style="position:absolute;left:0;text-align:left;margin-left:464.5pt;margin-top:8.05pt;width:75.05pt;height:13.65pt;z-index:251664384" o:allowincell="f" filled="f" stroked="f" strokecolor="lime" strokeweight=".25pt">
            <v:textbox style="mso-next-textbox:#_x0000_s1131" inset="0,0,0,0">
              <w:txbxContent>
                <w:p w14:paraId="0846F0DC" w14:textId="77777777" w:rsidR="00720A6A" w:rsidRDefault="00183083" w:rsidP="00AA2323">
                  <w:pPr>
                    <w:spacing w:line="160" w:lineRule="exact"/>
                    <w:jc w:val="lef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1</w:t>
      </w:r>
      <w:r w:rsidR="00C54D20">
        <w:rPr>
          <w:rStyle w:val="big-number"/>
          <w:rFonts w:cs="Miriam" w:hint="cs"/>
          <w:rtl/>
        </w:rPr>
        <w:t>9</w:t>
      </w:r>
      <w:r>
        <w:rPr>
          <w:rStyle w:val="big-number"/>
          <w:rFonts w:cs="Miriam"/>
          <w:rtl/>
        </w:rPr>
        <w:t>.</w:t>
      </w:r>
      <w:r>
        <w:rPr>
          <w:rStyle w:val="big-number"/>
          <w:rFonts w:cs="Miriam"/>
          <w:rtl/>
        </w:rPr>
        <w:tab/>
      </w:r>
      <w:r w:rsidR="00183083">
        <w:rPr>
          <w:rFonts w:cs="FrankRuehl" w:hint="cs"/>
          <w:rtl/>
          <w:lang w:eastAsia="en-US"/>
        </w:rPr>
        <w:t xml:space="preserve">בטלים </w:t>
      </w:r>
      <w:r w:rsidR="00183083">
        <w:rPr>
          <w:rFonts w:cs="FrankRuehl"/>
          <w:rtl/>
          <w:lang w:eastAsia="en-US"/>
        </w:rPr>
        <w:t>–</w:t>
      </w:r>
    </w:p>
    <w:p w14:paraId="6C1912E0" w14:textId="77777777" w:rsidR="00183083" w:rsidRDefault="00183083" w:rsidP="00183083">
      <w:pPr>
        <w:pStyle w:val="P00"/>
        <w:spacing w:before="72"/>
        <w:ind w:left="624" w:right="1134"/>
        <w:rPr>
          <w:rFonts w:cs="FrankRuehl" w:hint="cs"/>
          <w:rtl/>
          <w:lang w:eastAsia="en-US"/>
        </w:rPr>
      </w:pPr>
      <w:r>
        <w:rPr>
          <w:rFonts w:cs="FrankRuehl" w:hint="cs"/>
          <w:rtl/>
          <w:lang w:eastAsia="en-US"/>
        </w:rPr>
        <w:t>חוק עזר לרמלה (ביוב), התשכ"ו-1966;</w:t>
      </w:r>
    </w:p>
    <w:p w14:paraId="18F609AC" w14:textId="77777777" w:rsidR="00183083" w:rsidRDefault="00183083" w:rsidP="00183083">
      <w:pPr>
        <w:pStyle w:val="P00"/>
        <w:spacing w:before="72"/>
        <w:ind w:left="624" w:right="1134"/>
        <w:rPr>
          <w:rFonts w:cs="FrankRuehl" w:hint="cs"/>
          <w:rtl/>
          <w:lang w:eastAsia="en-US"/>
        </w:rPr>
      </w:pPr>
      <w:r>
        <w:rPr>
          <w:rFonts w:cs="FrankRuehl" w:hint="cs"/>
          <w:rtl/>
          <w:lang w:eastAsia="en-US"/>
        </w:rPr>
        <w:t>חוק עזר לרמלה (אגרת ביוב), התשל"ו-1976.</w:t>
      </w:r>
    </w:p>
    <w:p w14:paraId="31DDCD59" w14:textId="77777777" w:rsidR="00D31A16" w:rsidRPr="00C10B62" w:rsidRDefault="00D31A16" w:rsidP="006F4B7D">
      <w:pPr>
        <w:pStyle w:val="P00"/>
        <w:spacing w:before="72"/>
        <w:ind w:left="0" w:right="1134"/>
        <w:rPr>
          <w:rFonts w:cs="FrankRuehl" w:hint="cs"/>
          <w:rtl/>
          <w:lang w:eastAsia="en-US"/>
        </w:rPr>
      </w:pPr>
    </w:p>
    <w:p w14:paraId="251B9C36" w14:textId="77777777" w:rsidR="00F62C56" w:rsidRDefault="00F73CFA" w:rsidP="00C90383">
      <w:pPr>
        <w:pStyle w:val="medium2-header"/>
        <w:keepLines w:val="0"/>
        <w:spacing w:before="72"/>
        <w:ind w:left="0" w:right="1134"/>
        <w:rPr>
          <w:rFonts w:cs="FrankRuehl" w:hint="cs"/>
          <w:noProof/>
          <w:sz w:val="26"/>
          <w:szCs w:val="26"/>
          <w:rtl/>
        </w:rPr>
      </w:pPr>
      <w:bookmarkStart w:id="19" w:name="med0"/>
      <w:bookmarkEnd w:id="19"/>
      <w:r>
        <w:rPr>
          <w:rFonts w:cs="FrankRuehl" w:hint="cs"/>
          <w:noProof/>
          <w:sz w:val="26"/>
          <w:szCs w:val="26"/>
          <w:rtl/>
          <w:lang w:eastAsia="en-US"/>
        </w:rPr>
        <w:pict w14:anchorId="08E67D1E">
          <v:shape id="_x0000_s1152" type="#_x0000_t202" style="position:absolute;left:0;text-align:left;margin-left:470.35pt;margin-top:7.1pt;width:1in;height:11.2pt;z-index:251669504" filled="f" stroked="f">
            <v:textbox inset="1mm,0,1mm,0">
              <w:txbxContent>
                <w:p w14:paraId="5165184A" w14:textId="77777777" w:rsidR="00F73CFA" w:rsidRDefault="00F73CFA" w:rsidP="00F73CFA">
                  <w:pPr>
                    <w:spacing w:line="160" w:lineRule="exact"/>
                    <w:jc w:val="left"/>
                    <w:rPr>
                      <w:rFonts w:cs="Miriam" w:hint="cs"/>
                      <w:sz w:val="18"/>
                      <w:szCs w:val="18"/>
                      <w:rtl/>
                    </w:rPr>
                  </w:pPr>
                  <w:r>
                    <w:rPr>
                      <w:rFonts w:cs="Miriam" w:hint="cs"/>
                      <w:sz w:val="18"/>
                      <w:szCs w:val="18"/>
                      <w:rtl/>
                    </w:rPr>
                    <w:t>תיקון תשס"א-2000</w:t>
                  </w:r>
                </w:p>
              </w:txbxContent>
            </v:textbox>
            <w10:anchorlock/>
          </v:shape>
        </w:pict>
      </w:r>
      <w:r w:rsidR="006F4B7D">
        <w:rPr>
          <w:rFonts w:cs="FrankRuehl" w:hint="cs"/>
          <w:noProof/>
          <w:sz w:val="26"/>
          <w:szCs w:val="26"/>
          <w:rtl/>
        </w:rPr>
        <w:t>תוספת</w:t>
      </w:r>
    </w:p>
    <w:p w14:paraId="2F448508" w14:textId="77777777" w:rsidR="00720A6A" w:rsidRPr="00720A6A" w:rsidRDefault="00720A6A" w:rsidP="00C90383">
      <w:pPr>
        <w:pStyle w:val="medium2-header"/>
        <w:keepLines w:val="0"/>
        <w:spacing w:before="72"/>
        <w:ind w:left="0" w:right="1134"/>
        <w:rPr>
          <w:rFonts w:cs="FrankRuehl" w:hint="cs"/>
          <w:noProof/>
          <w:sz w:val="22"/>
          <w:szCs w:val="22"/>
          <w:rtl/>
        </w:rPr>
      </w:pPr>
      <w:bookmarkStart w:id="20" w:name="med1"/>
      <w:bookmarkEnd w:id="20"/>
      <w:r>
        <w:rPr>
          <w:rFonts w:cs="FrankRuehl" w:hint="cs"/>
          <w:noProof/>
          <w:sz w:val="22"/>
          <w:szCs w:val="22"/>
          <w:rtl/>
        </w:rPr>
        <w:t>היטל ביוב</w:t>
      </w:r>
    </w:p>
    <w:p w14:paraId="72B04D55" w14:textId="77777777" w:rsidR="00E37DE6" w:rsidRDefault="00E37DE6" w:rsidP="00F73CFA">
      <w:pPr>
        <w:pStyle w:val="medium2-header"/>
        <w:keepLines w:val="0"/>
        <w:spacing w:before="72"/>
        <w:ind w:left="0" w:right="1134"/>
        <w:rPr>
          <w:rFonts w:cs="FrankRuehl" w:hint="cs"/>
          <w:b/>
          <w:bCs w:val="0"/>
          <w:noProof/>
          <w:rtl/>
        </w:rPr>
      </w:pPr>
      <w:r>
        <w:rPr>
          <w:rFonts w:cs="FrankRuehl" w:hint="cs"/>
          <w:b/>
          <w:bCs w:val="0"/>
          <w:noProof/>
          <w:rtl/>
        </w:rPr>
        <w:t>(</w:t>
      </w:r>
      <w:r w:rsidR="00D31A16">
        <w:rPr>
          <w:rFonts w:cs="FrankRuehl" w:hint="cs"/>
          <w:b/>
          <w:bCs w:val="0"/>
          <w:noProof/>
          <w:rtl/>
        </w:rPr>
        <w:t xml:space="preserve">סעיפים </w:t>
      </w:r>
      <w:r w:rsidR="00F73CFA">
        <w:rPr>
          <w:rFonts w:cs="FrankRuehl" w:hint="cs"/>
          <w:b/>
          <w:bCs w:val="0"/>
          <w:noProof/>
          <w:rtl/>
        </w:rPr>
        <w:t>2 עד 5</w:t>
      </w:r>
      <w:r>
        <w:rPr>
          <w:rFonts w:cs="FrankRuehl" w:hint="cs"/>
          <w:b/>
          <w:bCs w:val="0"/>
          <w:noProof/>
          <w:rtl/>
        </w:rPr>
        <w:t>)</w:t>
      </w:r>
    </w:p>
    <w:p w14:paraId="7093B661" w14:textId="77777777" w:rsidR="00F73CFA" w:rsidRPr="00F73CFA" w:rsidRDefault="00F73CFA" w:rsidP="00F73CFA">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sidRPr="00F73CFA">
        <w:rPr>
          <w:rFonts w:cs="FrankRuehl" w:hint="cs"/>
          <w:sz w:val="22"/>
          <w:szCs w:val="22"/>
          <w:rtl/>
          <w:lang w:eastAsia="en-US"/>
        </w:rPr>
        <w:tab/>
        <w:t>שיעורי ההיטל</w:t>
      </w:r>
    </w:p>
    <w:p w14:paraId="6DC894DB" w14:textId="77777777" w:rsidR="00F73CFA" w:rsidRPr="00F73CFA" w:rsidRDefault="00F73CFA" w:rsidP="00F73CFA">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lang w:eastAsia="en-US"/>
        </w:rPr>
      </w:pPr>
      <w:r w:rsidRPr="00F73CFA">
        <w:rPr>
          <w:rFonts w:cs="FrankRuehl" w:hint="cs"/>
          <w:sz w:val="22"/>
          <w:szCs w:val="22"/>
          <w:rtl/>
          <w:lang w:eastAsia="en-US"/>
        </w:rPr>
        <w:tab/>
      </w:r>
      <w:r w:rsidRPr="00F73CFA">
        <w:rPr>
          <w:rFonts w:cs="FrankRuehl" w:hint="cs"/>
          <w:sz w:val="22"/>
          <w:szCs w:val="22"/>
          <w:u w:val="single"/>
          <w:rtl/>
          <w:lang w:eastAsia="en-US"/>
        </w:rPr>
        <w:t>בשקלים חדשים</w:t>
      </w:r>
    </w:p>
    <w:p w14:paraId="43038BDF" w14:textId="77777777" w:rsidR="00D31A16" w:rsidRDefault="00205430" w:rsidP="00F73CFA">
      <w:pPr>
        <w:pStyle w:val="P00"/>
        <w:tabs>
          <w:tab w:val="clear" w:pos="1474"/>
          <w:tab w:val="clear" w:pos="1928"/>
          <w:tab w:val="clear" w:pos="2381"/>
          <w:tab w:val="clear" w:pos="2835"/>
          <w:tab w:val="clear" w:pos="6259"/>
          <w:tab w:val="center" w:pos="6804"/>
        </w:tabs>
        <w:spacing w:before="72"/>
        <w:ind w:left="0" w:right="1134"/>
        <w:rPr>
          <w:rFonts w:cs="FrankRuehl" w:hint="cs"/>
          <w:sz w:val="26"/>
          <w:rtl/>
          <w:lang w:eastAsia="en-US"/>
        </w:rPr>
      </w:pPr>
      <w:r w:rsidRPr="00720A6A">
        <w:rPr>
          <w:rFonts w:cs="FrankRuehl" w:hint="cs"/>
          <w:sz w:val="26"/>
          <w:rtl/>
          <w:lang w:eastAsia="en-US"/>
        </w:rPr>
        <w:t>1.</w:t>
      </w:r>
      <w:r w:rsidRPr="00720A6A">
        <w:rPr>
          <w:rFonts w:cs="FrankRuehl" w:hint="cs"/>
          <w:sz w:val="26"/>
          <w:rtl/>
          <w:lang w:eastAsia="en-US"/>
        </w:rPr>
        <w:tab/>
      </w:r>
      <w:r w:rsidR="00F73CFA">
        <w:rPr>
          <w:rFonts w:cs="FrankRuehl" w:hint="cs"/>
          <w:sz w:val="26"/>
          <w:rtl/>
          <w:lang w:eastAsia="en-US"/>
        </w:rPr>
        <w:t xml:space="preserve">ביב ציבורי </w:t>
      </w:r>
      <w:r w:rsidR="00F73CFA">
        <w:rPr>
          <w:rFonts w:cs="FrankRuehl"/>
          <w:sz w:val="26"/>
          <w:rtl/>
          <w:lang w:eastAsia="en-US"/>
        </w:rPr>
        <w:t>–</w:t>
      </w:r>
    </w:p>
    <w:p w14:paraId="7A19BCA8" w14:textId="77777777" w:rsidR="00F73CFA" w:rsidRDefault="00F73CFA" w:rsidP="00F73CFA">
      <w:pPr>
        <w:pStyle w:val="P00"/>
        <w:tabs>
          <w:tab w:val="clear" w:pos="1474"/>
          <w:tab w:val="clear" w:pos="1928"/>
          <w:tab w:val="clear" w:pos="2381"/>
          <w:tab w:val="clear" w:pos="2835"/>
          <w:tab w:val="clear" w:pos="6259"/>
          <w:tab w:val="center" w:pos="6804"/>
        </w:tabs>
        <w:spacing w:before="72"/>
        <w:ind w:left="624" w:right="1134"/>
        <w:rPr>
          <w:rFonts w:cs="FrankRuehl" w:hint="cs"/>
          <w:sz w:val="26"/>
          <w:rtl/>
          <w:lang w:eastAsia="en-US"/>
        </w:rPr>
      </w:pPr>
      <w:r>
        <w:rPr>
          <w:rFonts w:cs="FrankRuehl" w:hint="cs"/>
          <w:sz w:val="26"/>
          <w:rtl/>
          <w:lang w:eastAsia="en-US"/>
        </w:rPr>
        <w:t>(1)</w:t>
      </w:r>
      <w:r>
        <w:rPr>
          <w:rFonts w:cs="FrankRuehl" w:hint="cs"/>
          <w:sz w:val="26"/>
          <w:rtl/>
          <w:lang w:eastAsia="en-US"/>
        </w:rPr>
        <w:tab/>
        <w:t>לכל מ"ר משטח הקרקע</w:t>
      </w:r>
      <w:r>
        <w:rPr>
          <w:rFonts w:cs="FrankRuehl" w:hint="cs"/>
          <w:sz w:val="26"/>
          <w:rtl/>
          <w:lang w:eastAsia="en-US"/>
        </w:rPr>
        <w:tab/>
        <w:t>8.20</w:t>
      </w:r>
    </w:p>
    <w:p w14:paraId="48676048" w14:textId="77777777" w:rsidR="00F73CFA" w:rsidRDefault="00F73CFA" w:rsidP="00F73CFA">
      <w:pPr>
        <w:pStyle w:val="P00"/>
        <w:tabs>
          <w:tab w:val="clear" w:pos="1474"/>
          <w:tab w:val="clear" w:pos="1928"/>
          <w:tab w:val="clear" w:pos="2381"/>
          <w:tab w:val="clear" w:pos="2835"/>
          <w:tab w:val="clear" w:pos="6259"/>
          <w:tab w:val="center" w:pos="6804"/>
        </w:tabs>
        <w:spacing w:before="72"/>
        <w:ind w:left="1021" w:right="3119" w:hanging="397"/>
        <w:jc w:val="left"/>
        <w:rPr>
          <w:rFonts w:cs="FrankRuehl" w:hint="cs"/>
          <w:sz w:val="26"/>
          <w:rtl/>
          <w:lang w:eastAsia="en-US"/>
        </w:rPr>
      </w:pPr>
      <w:r>
        <w:rPr>
          <w:rFonts w:cs="FrankRuehl" w:hint="cs"/>
          <w:sz w:val="26"/>
          <w:rtl/>
          <w:lang w:eastAsia="en-US"/>
        </w:rPr>
        <w:t>(2)</w:t>
      </w:r>
      <w:r>
        <w:rPr>
          <w:rFonts w:cs="FrankRuehl" w:hint="cs"/>
          <w:sz w:val="26"/>
          <w:rtl/>
          <w:lang w:eastAsia="en-US"/>
        </w:rPr>
        <w:tab/>
        <w:t>בנין בנכס לתעשיה, לבית עסק או למטרה אחרת שאינה מגורים, לכל מ"ק מנפח הבנין</w:t>
      </w:r>
      <w:r>
        <w:rPr>
          <w:rFonts w:cs="FrankRuehl" w:hint="cs"/>
          <w:sz w:val="26"/>
          <w:rtl/>
          <w:lang w:eastAsia="en-US"/>
        </w:rPr>
        <w:tab/>
        <w:t>4.07</w:t>
      </w:r>
    </w:p>
    <w:p w14:paraId="40E58FAF" w14:textId="77777777" w:rsidR="00F73CFA" w:rsidRDefault="00F73CFA" w:rsidP="00F73CFA">
      <w:pPr>
        <w:pStyle w:val="P00"/>
        <w:tabs>
          <w:tab w:val="clear" w:pos="1474"/>
          <w:tab w:val="clear" w:pos="1928"/>
          <w:tab w:val="clear" w:pos="2381"/>
          <w:tab w:val="clear" w:pos="2835"/>
          <w:tab w:val="clear" w:pos="6259"/>
          <w:tab w:val="center" w:pos="6804"/>
        </w:tabs>
        <w:spacing w:before="72"/>
        <w:ind w:left="1021" w:right="3119" w:hanging="397"/>
        <w:jc w:val="left"/>
        <w:rPr>
          <w:rFonts w:cs="FrankRuehl" w:hint="cs"/>
          <w:sz w:val="26"/>
          <w:rtl/>
          <w:lang w:eastAsia="en-US"/>
        </w:rPr>
      </w:pPr>
      <w:r>
        <w:rPr>
          <w:rFonts w:cs="FrankRuehl" w:hint="cs"/>
          <w:sz w:val="26"/>
          <w:rtl/>
          <w:lang w:eastAsia="en-US"/>
        </w:rPr>
        <w:t>(3)</w:t>
      </w:r>
      <w:r>
        <w:rPr>
          <w:rFonts w:cs="FrankRuehl" w:hint="cs"/>
          <w:sz w:val="26"/>
          <w:rtl/>
          <w:lang w:eastAsia="en-US"/>
        </w:rPr>
        <w:tab/>
        <w:t>בנין המשמש למגורים או שייעודו למגורים, לכל מ"ר משטח הבנין</w:t>
      </w:r>
      <w:r>
        <w:rPr>
          <w:rFonts w:cs="FrankRuehl" w:hint="cs"/>
          <w:sz w:val="26"/>
          <w:rtl/>
          <w:lang w:eastAsia="en-US"/>
        </w:rPr>
        <w:tab/>
        <w:t>12.20</w:t>
      </w:r>
    </w:p>
    <w:p w14:paraId="41C60B22" w14:textId="77777777" w:rsidR="00F73CFA" w:rsidRDefault="00F73CFA" w:rsidP="00F73CFA">
      <w:pPr>
        <w:pStyle w:val="P00"/>
        <w:tabs>
          <w:tab w:val="clear" w:pos="1474"/>
          <w:tab w:val="clear" w:pos="1928"/>
          <w:tab w:val="clear" w:pos="2381"/>
          <w:tab w:val="clear" w:pos="2835"/>
          <w:tab w:val="clear" w:pos="6259"/>
          <w:tab w:val="center" w:pos="6804"/>
        </w:tabs>
        <w:spacing w:before="72"/>
        <w:ind w:left="0" w:right="1134"/>
        <w:rPr>
          <w:rFonts w:cs="FrankRuehl" w:hint="cs"/>
          <w:sz w:val="26"/>
          <w:rtl/>
          <w:lang w:eastAsia="en-US"/>
        </w:rPr>
      </w:pPr>
      <w:r>
        <w:rPr>
          <w:rFonts w:cs="FrankRuehl" w:hint="cs"/>
          <w:sz w:val="26"/>
          <w:rtl/>
          <w:lang w:eastAsia="en-US"/>
        </w:rPr>
        <w:t>2.</w:t>
      </w:r>
      <w:r>
        <w:rPr>
          <w:rFonts w:cs="FrankRuehl" w:hint="cs"/>
          <w:sz w:val="26"/>
          <w:rtl/>
          <w:lang w:eastAsia="en-US"/>
        </w:rPr>
        <w:tab/>
        <w:t xml:space="preserve">ביב מאסף </w:t>
      </w:r>
      <w:r>
        <w:rPr>
          <w:rFonts w:cs="FrankRuehl"/>
          <w:sz w:val="26"/>
          <w:rtl/>
          <w:lang w:eastAsia="en-US"/>
        </w:rPr>
        <w:t>–</w:t>
      </w:r>
    </w:p>
    <w:p w14:paraId="65A5FA08" w14:textId="77777777" w:rsidR="00F73CFA" w:rsidRDefault="00F73CFA" w:rsidP="00F73CFA">
      <w:pPr>
        <w:pStyle w:val="P00"/>
        <w:tabs>
          <w:tab w:val="clear" w:pos="1474"/>
          <w:tab w:val="clear" w:pos="1928"/>
          <w:tab w:val="clear" w:pos="2381"/>
          <w:tab w:val="clear" w:pos="2835"/>
          <w:tab w:val="clear" w:pos="6259"/>
          <w:tab w:val="center" w:pos="6804"/>
        </w:tabs>
        <w:spacing w:before="72"/>
        <w:ind w:left="624" w:right="1134"/>
        <w:rPr>
          <w:rFonts w:cs="FrankRuehl" w:hint="cs"/>
          <w:sz w:val="26"/>
          <w:rtl/>
          <w:lang w:eastAsia="en-US"/>
        </w:rPr>
      </w:pPr>
      <w:r>
        <w:rPr>
          <w:rFonts w:cs="FrankRuehl" w:hint="cs"/>
          <w:sz w:val="26"/>
          <w:rtl/>
          <w:lang w:eastAsia="en-US"/>
        </w:rPr>
        <w:t>(1)</w:t>
      </w:r>
      <w:r>
        <w:rPr>
          <w:rFonts w:cs="FrankRuehl" w:hint="cs"/>
          <w:sz w:val="26"/>
          <w:rtl/>
          <w:lang w:eastAsia="en-US"/>
        </w:rPr>
        <w:tab/>
        <w:t>לכל מ"ר משטח הקרקע</w:t>
      </w:r>
      <w:r>
        <w:rPr>
          <w:rFonts w:cs="FrankRuehl" w:hint="cs"/>
          <w:sz w:val="26"/>
          <w:rtl/>
          <w:lang w:eastAsia="en-US"/>
        </w:rPr>
        <w:tab/>
        <w:t>13.40</w:t>
      </w:r>
    </w:p>
    <w:p w14:paraId="2B75E737" w14:textId="77777777" w:rsidR="00F73CFA" w:rsidRDefault="00F73CFA" w:rsidP="00F73CFA">
      <w:pPr>
        <w:pStyle w:val="P00"/>
        <w:tabs>
          <w:tab w:val="clear" w:pos="1474"/>
          <w:tab w:val="clear" w:pos="1928"/>
          <w:tab w:val="clear" w:pos="2381"/>
          <w:tab w:val="clear" w:pos="2835"/>
          <w:tab w:val="clear" w:pos="6259"/>
          <w:tab w:val="center" w:pos="6804"/>
        </w:tabs>
        <w:spacing w:before="72"/>
        <w:ind w:left="1021" w:right="3119" w:hanging="397"/>
        <w:jc w:val="left"/>
        <w:rPr>
          <w:rFonts w:cs="FrankRuehl" w:hint="cs"/>
          <w:sz w:val="26"/>
          <w:rtl/>
          <w:lang w:eastAsia="en-US"/>
        </w:rPr>
      </w:pPr>
      <w:r>
        <w:rPr>
          <w:rFonts w:cs="FrankRuehl" w:hint="cs"/>
          <w:sz w:val="26"/>
          <w:rtl/>
          <w:lang w:eastAsia="en-US"/>
        </w:rPr>
        <w:t>(2)</w:t>
      </w:r>
      <w:r>
        <w:rPr>
          <w:rFonts w:cs="FrankRuehl" w:hint="cs"/>
          <w:sz w:val="26"/>
          <w:rtl/>
          <w:lang w:eastAsia="en-US"/>
        </w:rPr>
        <w:tab/>
        <w:t>בנין בנכס לתעשיה, לבית עסק או למטרה אחרת שאינה מגורים, לכל מ"ק מנפח הבנין</w:t>
      </w:r>
      <w:r>
        <w:rPr>
          <w:rFonts w:cs="FrankRuehl" w:hint="cs"/>
          <w:sz w:val="26"/>
          <w:rtl/>
          <w:lang w:eastAsia="en-US"/>
        </w:rPr>
        <w:tab/>
        <w:t>6.20</w:t>
      </w:r>
    </w:p>
    <w:p w14:paraId="6533E871" w14:textId="77777777" w:rsidR="00F73CFA" w:rsidRDefault="00F73CFA" w:rsidP="00F73CFA">
      <w:pPr>
        <w:pStyle w:val="P00"/>
        <w:tabs>
          <w:tab w:val="clear" w:pos="1474"/>
          <w:tab w:val="clear" w:pos="1928"/>
          <w:tab w:val="clear" w:pos="2381"/>
          <w:tab w:val="clear" w:pos="2835"/>
          <w:tab w:val="clear" w:pos="6259"/>
          <w:tab w:val="center" w:pos="6804"/>
        </w:tabs>
        <w:spacing w:before="72"/>
        <w:ind w:left="1021" w:right="3119" w:hanging="397"/>
        <w:jc w:val="left"/>
        <w:rPr>
          <w:rFonts w:cs="FrankRuehl" w:hint="cs"/>
          <w:sz w:val="26"/>
          <w:rtl/>
          <w:lang w:eastAsia="en-US"/>
        </w:rPr>
      </w:pPr>
      <w:r>
        <w:rPr>
          <w:rFonts w:cs="FrankRuehl" w:hint="cs"/>
          <w:sz w:val="26"/>
          <w:rtl/>
          <w:lang w:eastAsia="en-US"/>
        </w:rPr>
        <w:t>(3)</w:t>
      </w:r>
      <w:r>
        <w:rPr>
          <w:rFonts w:cs="FrankRuehl" w:hint="cs"/>
          <w:sz w:val="26"/>
          <w:rtl/>
          <w:lang w:eastAsia="en-US"/>
        </w:rPr>
        <w:tab/>
        <w:t>בנין המשמש למגורים או שייעודו למגורים, לכל מ"ר משטח הבנין</w:t>
      </w:r>
      <w:r>
        <w:rPr>
          <w:rFonts w:cs="FrankRuehl" w:hint="cs"/>
          <w:sz w:val="26"/>
          <w:rtl/>
          <w:lang w:eastAsia="en-US"/>
        </w:rPr>
        <w:tab/>
        <w:t>20.10</w:t>
      </w:r>
    </w:p>
    <w:p w14:paraId="1369317D" w14:textId="77777777" w:rsidR="00F73CFA" w:rsidRDefault="00F73CFA" w:rsidP="00F73CFA">
      <w:pPr>
        <w:pStyle w:val="P00"/>
        <w:tabs>
          <w:tab w:val="clear" w:pos="1474"/>
          <w:tab w:val="clear" w:pos="1928"/>
          <w:tab w:val="clear" w:pos="2381"/>
          <w:tab w:val="clear" w:pos="2835"/>
          <w:tab w:val="clear" w:pos="6259"/>
          <w:tab w:val="center" w:pos="6804"/>
        </w:tabs>
        <w:spacing w:before="72"/>
        <w:ind w:left="0" w:right="1134"/>
        <w:rPr>
          <w:rFonts w:cs="FrankRuehl" w:hint="cs"/>
          <w:sz w:val="26"/>
          <w:rtl/>
          <w:lang w:eastAsia="en-US"/>
        </w:rPr>
      </w:pPr>
      <w:r>
        <w:rPr>
          <w:rFonts w:cs="FrankRuehl" w:hint="cs"/>
          <w:sz w:val="26"/>
          <w:rtl/>
          <w:lang w:eastAsia="en-US"/>
        </w:rPr>
        <w:t>3.</w:t>
      </w:r>
      <w:r>
        <w:rPr>
          <w:rFonts w:cs="FrankRuehl" w:hint="cs"/>
          <w:sz w:val="26"/>
          <w:rtl/>
          <w:lang w:eastAsia="en-US"/>
        </w:rPr>
        <w:tab/>
        <w:t xml:space="preserve">מיתקנים אחרים </w:t>
      </w:r>
      <w:r>
        <w:rPr>
          <w:rFonts w:cs="FrankRuehl"/>
          <w:sz w:val="26"/>
          <w:rtl/>
          <w:lang w:eastAsia="en-US"/>
        </w:rPr>
        <w:t>–</w:t>
      </w:r>
    </w:p>
    <w:p w14:paraId="459C343E" w14:textId="77777777" w:rsidR="00F73CFA" w:rsidRDefault="00F73CFA" w:rsidP="00F73CFA">
      <w:pPr>
        <w:pStyle w:val="P00"/>
        <w:tabs>
          <w:tab w:val="clear" w:pos="1474"/>
          <w:tab w:val="clear" w:pos="1928"/>
          <w:tab w:val="clear" w:pos="2381"/>
          <w:tab w:val="clear" w:pos="2835"/>
          <w:tab w:val="clear" w:pos="6259"/>
          <w:tab w:val="center" w:pos="6804"/>
        </w:tabs>
        <w:spacing w:before="72"/>
        <w:ind w:left="624" w:right="1134"/>
        <w:rPr>
          <w:rFonts w:cs="FrankRuehl" w:hint="cs"/>
          <w:sz w:val="26"/>
          <w:rtl/>
          <w:lang w:eastAsia="en-US"/>
        </w:rPr>
      </w:pPr>
      <w:r>
        <w:rPr>
          <w:rFonts w:cs="FrankRuehl" w:hint="cs"/>
          <w:sz w:val="26"/>
          <w:rtl/>
          <w:lang w:eastAsia="en-US"/>
        </w:rPr>
        <w:t>(1)</w:t>
      </w:r>
      <w:r>
        <w:rPr>
          <w:rFonts w:cs="FrankRuehl" w:hint="cs"/>
          <w:sz w:val="26"/>
          <w:rtl/>
          <w:lang w:eastAsia="en-US"/>
        </w:rPr>
        <w:tab/>
        <w:t>לכל מ"ר משטח הקרקע</w:t>
      </w:r>
      <w:r>
        <w:rPr>
          <w:rFonts w:cs="FrankRuehl" w:hint="cs"/>
          <w:sz w:val="26"/>
          <w:rtl/>
          <w:lang w:eastAsia="en-US"/>
        </w:rPr>
        <w:tab/>
        <w:t>6.70</w:t>
      </w:r>
    </w:p>
    <w:p w14:paraId="148D1255" w14:textId="77777777" w:rsidR="00F73CFA" w:rsidRDefault="00F73CFA" w:rsidP="00F73CFA">
      <w:pPr>
        <w:pStyle w:val="P00"/>
        <w:tabs>
          <w:tab w:val="clear" w:pos="1474"/>
          <w:tab w:val="clear" w:pos="1928"/>
          <w:tab w:val="clear" w:pos="2381"/>
          <w:tab w:val="clear" w:pos="2835"/>
          <w:tab w:val="clear" w:pos="6259"/>
          <w:tab w:val="center" w:pos="6804"/>
        </w:tabs>
        <w:spacing w:before="72"/>
        <w:ind w:left="1021" w:right="3119" w:hanging="397"/>
        <w:jc w:val="left"/>
        <w:rPr>
          <w:rFonts w:cs="FrankRuehl" w:hint="cs"/>
          <w:sz w:val="26"/>
          <w:rtl/>
          <w:lang w:eastAsia="en-US"/>
        </w:rPr>
      </w:pPr>
      <w:r>
        <w:rPr>
          <w:rFonts w:cs="FrankRuehl" w:hint="cs"/>
          <w:sz w:val="26"/>
          <w:rtl/>
          <w:lang w:eastAsia="en-US"/>
        </w:rPr>
        <w:t>(2)</w:t>
      </w:r>
      <w:r>
        <w:rPr>
          <w:rFonts w:cs="FrankRuehl" w:hint="cs"/>
          <w:sz w:val="26"/>
          <w:rtl/>
          <w:lang w:eastAsia="en-US"/>
        </w:rPr>
        <w:tab/>
        <w:t>בנין בנכס לתעשיה, לבית עסק או למטרה אחרת שאינה מגורים, לכל מ"ק מנפח הבנין</w:t>
      </w:r>
      <w:r>
        <w:rPr>
          <w:rFonts w:cs="FrankRuehl" w:hint="cs"/>
          <w:sz w:val="26"/>
          <w:rtl/>
          <w:lang w:eastAsia="en-US"/>
        </w:rPr>
        <w:tab/>
        <w:t>3.37</w:t>
      </w:r>
    </w:p>
    <w:p w14:paraId="0304F843" w14:textId="77777777" w:rsidR="00F73CFA" w:rsidRDefault="00F73CFA" w:rsidP="00F73CFA">
      <w:pPr>
        <w:pStyle w:val="P00"/>
        <w:tabs>
          <w:tab w:val="clear" w:pos="1474"/>
          <w:tab w:val="clear" w:pos="1928"/>
          <w:tab w:val="clear" w:pos="2381"/>
          <w:tab w:val="clear" w:pos="2835"/>
          <w:tab w:val="clear" w:pos="6259"/>
          <w:tab w:val="center" w:pos="6804"/>
        </w:tabs>
        <w:spacing w:before="72"/>
        <w:ind w:left="1021" w:right="3119" w:hanging="397"/>
        <w:jc w:val="left"/>
        <w:rPr>
          <w:rFonts w:cs="FrankRuehl" w:hint="cs"/>
          <w:sz w:val="26"/>
          <w:rtl/>
          <w:lang w:eastAsia="en-US"/>
        </w:rPr>
      </w:pPr>
      <w:r>
        <w:rPr>
          <w:rFonts w:cs="FrankRuehl" w:hint="cs"/>
          <w:sz w:val="26"/>
          <w:rtl/>
          <w:lang w:eastAsia="en-US"/>
        </w:rPr>
        <w:t>(3)</w:t>
      </w:r>
      <w:r>
        <w:rPr>
          <w:rFonts w:cs="FrankRuehl" w:hint="cs"/>
          <w:sz w:val="26"/>
          <w:rtl/>
          <w:lang w:eastAsia="en-US"/>
        </w:rPr>
        <w:tab/>
        <w:t>בנין המשמש למגורים או שייעודו למגורים, לכל מ"ר משטח הבנין</w:t>
      </w:r>
      <w:r>
        <w:rPr>
          <w:rFonts w:cs="FrankRuehl" w:hint="cs"/>
          <w:sz w:val="26"/>
          <w:rtl/>
          <w:lang w:eastAsia="en-US"/>
        </w:rPr>
        <w:tab/>
        <w:t>10.10</w:t>
      </w:r>
    </w:p>
    <w:p w14:paraId="70B4CA59" w14:textId="77777777" w:rsidR="00111D18" w:rsidRPr="00720A6A" w:rsidRDefault="00111D18" w:rsidP="00111D18">
      <w:pPr>
        <w:pStyle w:val="medium2-header"/>
        <w:keepLines w:val="0"/>
        <w:spacing w:before="72"/>
        <w:ind w:left="0" w:right="1134"/>
        <w:rPr>
          <w:rFonts w:cs="FrankRuehl" w:hint="cs"/>
          <w:noProof/>
          <w:sz w:val="22"/>
          <w:szCs w:val="22"/>
          <w:rtl/>
        </w:rPr>
      </w:pPr>
      <w:bookmarkStart w:id="21" w:name="med2"/>
      <w:bookmarkEnd w:id="21"/>
      <w:r>
        <w:rPr>
          <w:rFonts w:cs="FrankRuehl" w:hint="cs"/>
          <w:noProof/>
          <w:sz w:val="22"/>
          <w:szCs w:val="22"/>
          <w:rtl/>
        </w:rPr>
        <w:t>אגרת ביוב</w:t>
      </w:r>
    </w:p>
    <w:p w14:paraId="62C3B863" w14:textId="77777777" w:rsidR="00111D18" w:rsidRDefault="00111D18" w:rsidP="00F73CFA">
      <w:pPr>
        <w:pStyle w:val="medium2-header"/>
        <w:keepLines w:val="0"/>
        <w:spacing w:before="72"/>
        <w:ind w:left="0" w:right="1134"/>
        <w:rPr>
          <w:rFonts w:cs="FrankRuehl" w:hint="cs"/>
          <w:b/>
          <w:bCs w:val="0"/>
          <w:noProof/>
          <w:rtl/>
        </w:rPr>
      </w:pPr>
      <w:r>
        <w:rPr>
          <w:rFonts w:cs="FrankRuehl" w:hint="cs"/>
          <w:b/>
          <w:bCs w:val="0"/>
          <w:noProof/>
          <w:rtl/>
        </w:rPr>
        <w:t xml:space="preserve">(סעיף </w:t>
      </w:r>
      <w:r w:rsidR="00F73CFA">
        <w:rPr>
          <w:rFonts w:cs="FrankRuehl" w:hint="cs"/>
          <w:b/>
          <w:bCs w:val="0"/>
          <w:noProof/>
          <w:rtl/>
        </w:rPr>
        <w:t>9</w:t>
      </w:r>
      <w:r>
        <w:rPr>
          <w:rFonts w:cs="FrankRuehl" w:hint="cs"/>
          <w:b/>
          <w:bCs w:val="0"/>
          <w:noProof/>
          <w:rtl/>
        </w:rPr>
        <w:t>)</w:t>
      </w:r>
    </w:p>
    <w:p w14:paraId="098588B5" w14:textId="77777777" w:rsidR="00111D18" w:rsidRDefault="00111D18" w:rsidP="007636DE">
      <w:pPr>
        <w:pStyle w:val="P00"/>
        <w:tabs>
          <w:tab w:val="clear" w:pos="624"/>
          <w:tab w:val="clear" w:pos="1021"/>
          <w:tab w:val="clear" w:pos="1474"/>
          <w:tab w:val="clear" w:pos="1928"/>
          <w:tab w:val="clear" w:pos="2381"/>
          <w:tab w:val="clear" w:pos="2835"/>
          <w:tab w:val="clear" w:pos="6259"/>
          <w:tab w:val="center" w:pos="6804"/>
        </w:tabs>
        <w:spacing w:before="72"/>
        <w:ind w:left="0" w:right="1134"/>
        <w:rPr>
          <w:rFonts w:cs="FrankRuehl" w:hint="cs"/>
          <w:sz w:val="22"/>
          <w:szCs w:val="22"/>
          <w:rtl/>
          <w:lang w:eastAsia="en-US"/>
        </w:rPr>
      </w:pPr>
      <w:r>
        <w:rPr>
          <w:rFonts w:cs="FrankRuehl" w:hint="cs"/>
          <w:sz w:val="22"/>
          <w:szCs w:val="22"/>
          <w:rtl/>
          <w:lang w:eastAsia="en-US"/>
        </w:rPr>
        <w:tab/>
        <w:t>שיעורי האגרה</w:t>
      </w:r>
    </w:p>
    <w:p w14:paraId="62DA39F4" w14:textId="77777777" w:rsidR="007636DE" w:rsidRPr="007636DE" w:rsidRDefault="007636DE" w:rsidP="00111D18">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sz w:val="22"/>
          <w:szCs w:val="22"/>
          <w:u w:val="single"/>
          <w:rtl/>
          <w:lang w:eastAsia="en-US"/>
        </w:rPr>
      </w:pPr>
      <w:r>
        <w:rPr>
          <w:rFonts w:cs="FrankRuehl" w:hint="cs"/>
          <w:sz w:val="22"/>
          <w:szCs w:val="22"/>
          <w:rtl/>
          <w:lang w:eastAsia="en-US"/>
        </w:rPr>
        <w:tab/>
      </w:r>
      <w:r w:rsidRPr="007636DE">
        <w:rPr>
          <w:rFonts w:cs="FrankRuehl" w:hint="cs"/>
          <w:sz w:val="22"/>
          <w:szCs w:val="22"/>
          <w:u w:val="single"/>
          <w:rtl/>
          <w:lang w:eastAsia="en-US"/>
        </w:rPr>
        <w:t>בשקלים חדשים</w:t>
      </w:r>
    </w:p>
    <w:p w14:paraId="68EE3A4D" w14:textId="77777777" w:rsidR="00165183" w:rsidRDefault="00F73CFA" w:rsidP="00F73CFA">
      <w:pPr>
        <w:pStyle w:val="P00"/>
        <w:tabs>
          <w:tab w:val="clear" w:pos="1474"/>
          <w:tab w:val="clear" w:pos="1928"/>
          <w:tab w:val="clear" w:pos="2381"/>
          <w:tab w:val="clear" w:pos="2835"/>
          <w:tab w:val="clear" w:pos="6259"/>
          <w:tab w:val="center" w:pos="6804"/>
        </w:tabs>
        <w:spacing w:before="72"/>
        <w:ind w:left="624" w:right="3119" w:hanging="624"/>
        <w:jc w:val="left"/>
        <w:rPr>
          <w:rFonts w:cs="FrankRuehl" w:hint="cs"/>
          <w:sz w:val="26"/>
          <w:rtl/>
          <w:lang w:eastAsia="en-US"/>
        </w:rPr>
      </w:pPr>
      <w:r>
        <w:rPr>
          <w:rFonts w:cs="FrankRuehl" w:hint="cs"/>
          <w:sz w:val="26"/>
          <w:rtl/>
          <w:lang w:eastAsia="en-US"/>
        </w:rPr>
        <w:t>4.</w:t>
      </w:r>
      <w:r>
        <w:rPr>
          <w:rFonts w:cs="FrankRuehl" w:hint="cs"/>
          <w:sz w:val="26"/>
          <w:rtl/>
          <w:lang w:eastAsia="en-US"/>
        </w:rPr>
        <w:tab/>
        <w:t>נכס לתעשיה, לבית עסק או למטרה אחרת שאינה מגורים, לכל מ"ק מים הנצרכים בנכס</w:t>
      </w:r>
      <w:r>
        <w:rPr>
          <w:rFonts w:cs="FrankRuehl" w:hint="cs"/>
          <w:sz w:val="26"/>
          <w:rtl/>
          <w:lang w:eastAsia="en-US"/>
        </w:rPr>
        <w:tab/>
        <w:t>2.79</w:t>
      </w:r>
    </w:p>
    <w:p w14:paraId="163F950F" w14:textId="77777777" w:rsidR="00F73CFA" w:rsidRDefault="00F73CFA" w:rsidP="00F73CFA">
      <w:pPr>
        <w:pStyle w:val="P00"/>
        <w:tabs>
          <w:tab w:val="clear" w:pos="1474"/>
          <w:tab w:val="clear" w:pos="1928"/>
          <w:tab w:val="clear" w:pos="2381"/>
          <w:tab w:val="clear" w:pos="2835"/>
          <w:tab w:val="clear" w:pos="6259"/>
          <w:tab w:val="center" w:pos="6804"/>
        </w:tabs>
        <w:spacing w:before="72"/>
        <w:ind w:left="0" w:right="1134"/>
        <w:rPr>
          <w:rFonts w:cs="FrankRuehl" w:hint="cs"/>
          <w:sz w:val="26"/>
          <w:rtl/>
          <w:lang w:eastAsia="en-US"/>
        </w:rPr>
      </w:pPr>
      <w:r>
        <w:rPr>
          <w:rFonts w:cs="FrankRuehl" w:hint="cs"/>
          <w:sz w:val="26"/>
          <w:rtl/>
          <w:lang w:eastAsia="en-US"/>
        </w:rPr>
        <w:t>5.</w:t>
      </w:r>
      <w:r>
        <w:rPr>
          <w:rFonts w:cs="FrankRuehl" w:hint="cs"/>
          <w:sz w:val="26"/>
          <w:rtl/>
          <w:lang w:eastAsia="en-US"/>
        </w:rPr>
        <w:tab/>
        <w:t>נכס למגורים, לכל מ"ק מים הנצרכים בנכס</w:t>
      </w:r>
      <w:r>
        <w:rPr>
          <w:rFonts w:cs="FrankRuehl" w:hint="cs"/>
          <w:sz w:val="26"/>
          <w:rtl/>
          <w:lang w:eastAsia="en-US"/>
        </w:rPr>
        <w:tab/>
        <w:t>1.07</w:t>
      </w:r>
    </w:p>
    <w:p w14:paraId="2046284F" w14:textId="77777777" w:rsidR="00F73CFA" w:rsidRDefault="00F73CFA" w:rsidP="00F73CFA">
      <w:pPr>
        <w:pStyle w:val="P00"/>
        <w:tabs>
          <w:tab w:val="clear" w:pos="1474"/>
          <w:tab w:val="clear" w:pos="1928"/>
          <w:tab w:val="clear" w:pos="2381"/>
          <w:tab w:val="clear" w:pos="2835"/>
          <w:tab w:val="clear" w:pos="6259"/>
          <w:tab w:val="center" w:pos="6804"/>
        </w:tabs>
        <w:spacing w:before="72"/>
        <w:ind w:left="624" w:right="3119" w:hanging="624"/>
        <w:jc w:val="left"/>
        <w:rPr>
          <w:rFonts w:cs="FrankRuehl" w:hint="cs"/>
          <w:sz w:val="26"/>
          <w:rtl/>
          <w:lang w:eastAsia="en-US"/>
        </w:rPr>
      </w:pPr>
      <w:r>
        <w:rPr>
          <w:rFonts w:cs="FrankRuehl" w:hint="cs"/>
          <w:sz w:val="26"/>
          <w:rtl/>
          <w:lang w:eastAsia="en-US"/>
        </w:rPr>
        <w:t>6.</w:t>
      </w:r>
      <w:r>
        <w:rPr>
          <w:rFonts w:cs="FrankRuehl" w:hint="cs"/>
          <w:sz w:val="26"/>
          <w:rtl/>
          <w:lang w:eastAsia="en-US"/>
        </w:rPr>
        <w:tab/>
        <w:t>מפעל טעון היתר שרמת צריכת החמצן הכימית הממוצעת בשפכים המוזרמים ממנו לביוב היא מ-501 מ"ג לליטר עד 2,000 מ"ג לליטר, נוסף לאגרה שנקבעה בפרט 4, לכל מ"ר מים הנצרכים בנכס</w:t>
      </w:r>
      <w:r>
        <w:rPr>
          <w:rFonts w:cs="FrankRuehl" w:hint="cs"/>
          <w:sz w:val="26"/>
          <w:rtl/>
          <w:lang w:eastAsia="en-US"/>
        </w:rPr>
        <w:tab/>
        <w:t>2.50</w:t>
      </w:r>
    </w:p>
    <w:p w14:paraId="3E851998" w14:textId="77777777" w:rsidR="00F73CFA" w:rsidRDefault="00F73CFA" w:rsidP="00F73CFA">
      <w:pPr>
        <w:pStyle w:val="P00"/>
        <w:tabs>
          <w:tab w:val="clear" w:pos="1474"/>
          <w:tab w:val="clear" w:pos="1928"/>
          <w:tab w:val="clear" w:pos="2381"/>
          <w:tab w:val="clear" w:pos="2835"/>
          <w:tab w:val="clear" w:pos="6259"/>
          <w:tab w:val="center" w:pos="6804"/>
        </w:tabs>
        <w:spacing w:before="72"/>
        <w:ind w:left="624" w:right="3119" w:hanging="624"/>
        <w:jc w:val="left"/>
        <w:rPr>
          <w:rFonts w:cs="FrankRuehl" w:hint="cs"/>
          <w:sz w:val="26"/>
          <w:rtl/>
          <w:lang w:eastAsia="en-US"/>
        </w:rPr>
      </w:pPr>
      <w:r>
        <w:rPr>
          <w:rFonts w:cs="FrankRuehl" w:hint="cs"/>
          <w:sz w:val="26"/>
          <w:rtl/>
          <w:lang w:eastAsia="en-US"/>
        </w:rPr>
        <w:t>7.</w:t>
      </w:r>
      <w:r>
        <w:rPr>
          <w:rFonts w:cs="FrankRuehl" w:hint="cs"/>
          <w:sz w:val="26"/>
          <w:rtl/>
          <w:lang w:eastAsia="en-US"/>
        </w:rPr>
        <w:tab/>
        <w:t>מפעל טעון היתר שרמת צריכת החמצן הכימית הממוצעת בשפכים המוזרמים ממנו לביוב היא מעל 2,000 מ"ג לליטר, נוסף לאגרה שנקבעה בפרט 4, לכל מ"ר מים הנצרכים בנכס</w:t>
      </w:r>
      <w:r>
        <w:rPr>
          <w:rFonts w:cs="FrankRuehl" w:hint="cs"/>
          <w:sz w:val="26"/>
          <w:rtl/>
          <w:lang w:eastAsia="en-US"/>
        </w:rPr>
        <w:tab/>
        <w:t>5.50</w:t>
      </w:r>
    </w:p>
    <w:p w14:paraId="1333AD38" w14:textId="77777777" w:rsidR="00C66894" w:rsidRDefault="00C66894" w:rsidP="006F4B7D">
      <w:pPr>
        <w:pStyle w:val="P00"/>
        <w:spacing w:before="72"/>
        <w:ind w:left="0" w:right="1134"/>
        <w:rPr>
          <w:rFonts w:cs="FrankRuehl" w:hint="cs"/>
          <w:rtl/>
          <w:lang w:eastAsia="en-US"/>
        </w:rPr>
      </w:pPr>
    </w:p>
    <w:p w14:paraId="4088FE62" w14:textId="77777777" w:rsidR="00D069A5" w:rsidRPr="00E86531" w:rsidRDefault="00D069A5" w:rsidP="006F4B7D">
      <w:pPr>
        <w:pStyle w:val="P00"/>
        <w:spacing w:before="72"/>
        <w:ind w:left="0" w:right="1134"/>
        <w:rPr>
          <w:rFonts w:cs="FrankRuehl" w:hint="cs"/>
          <w:rtl/>
          <w:lang w:eastAsia="en-US"/>
        </w:rPr>
      </w:pPr>
    </w:p>
    <w:p w14:paraId="6293C28D" w14:textId="77777777" w:rsidR="00F31E69" w:rsidRPr="006F4B7D" w:rsidRDefault="0099210E" w:rsidP="0099210E">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י"ד בתמוז התשנ"ח (8 ביולי 1998</w:t>
      </w:r>
      <w:r w:rsidR="00F31E69" w:rsidRPr="006F4B7D">
        <w:rPr>
          <w:rFonts w:cs="FrankRuehl" w:hint="cs"/>
          <w:sz w:val="26"/>
          <w:szCs w:val="26"/>
          <w:rtl/>
        </w:rPr>
        <w:t>)</w:t>
      </w:r>
      <w:r w:rsidR="00F31E69" w:rsidRPr="006F4B7D">
        <w:rPr>
          <w:rFonts w:cs="FrankRuehl"/>
          <w:sz w:val="26"/>
          <w:szCs w:val="26"/>
          <w:rtl/>
        </w:rPr>
        <w:tab/>
      </w:r>
      <w:r>
        <w:rPr>
          <w:rFonts w:cs="FrankRuehl" w:hint="cs"/>
          <w:sz w:val="26"/>
          <w:szCs w:val="26"/>
          <w:rtl/>
        </w:rPr>
        <w:t>יואל לביא</w:t>
      </w:r>
    </w:p>
    <w:p w14:paraId="599B89F7" w14:textId="77777777" w:rsidR="00F31E69" w:rsidRPr="006F4B7D" w:rsidRDefault="00F31E69" w:rsidP="0099210E">
      <w:pPr>
        <w:pStyle w:val="sig-1"/>
        <w:widowControl/>
        <w:tabs>
          <w:tab w:val="clear" w:pos="851"/>
          <w:tab w:val="clear" w:pos="2835"/>
          <w:tab w:val="clear" w:pos="4820"/>
          <w:tab w:val="center" w:pos="5103"/>
        </w:tabs>
        <w:ind w:left="0" w:right="1134"/>
        <w:rPr>
          <w:rFonts w:cs="FrankRuehl" w:hint="cs"/>
          <w:sz w:val="22"/>
          <w:rtl/>
        </w:rPr>
      </w:pPr>
      <w:r w:rsidRPr="006F4B7D">
        <w:rPr>
          <w:rFonts w:cs="FrankRuehl" w:hint="cs"/>
          <w:sz w:val="22"/>
          <w:rtl/>
        </w:rPr>
        <w:tab/>
        <w:t xml:space="preserve">ראש </w:t>
      </w:r>
      <w:r w:rsidR="007636DE">
        <w:rPr>
          <w:rFonts w:cs="FrankRuehl" w:hint="cs"/>
          <w:sz w:val="22"/>
          <w:rtl/>
        </w:rPr>
        <w:t xml:space="preserve">עיריית </w:t>
      </w:r>
      <w:r w:rsidR="0099210E">
        <w:rPr>
          <w:rFonts w:cs="FrankRuehl" w:hint="cs"/>
          <w:sz w:val="22"/>
          <w:rtl/>
        </w:rPr>
        <w:t>רמלה</w:t>
      </w:r>
    </w:p>
    <w:p w14:paraId="3F08B467" w14:textId="77777777" w:rsidR="00C66894" w:rsidRPr="006F4B7D" w:rsidRDefault="00C66894" w:rsidP="006F4B7D">
      <w:pPr>
        <w:pStyle w:val="P00"/>
        <w:spacing w:before="72"/>
        <w:ind w:left="0" w:right="1134"/>
        <w:rPr>
          <w:rFonts w:cs="FrankRuehl" w:hint="cs"/>
          <w:rtl/>
          <w:lang w:eastAsia="en-US"/>
        </w:rPr>
      </w:pPr>
    </w:p>
    <w:p w14:paraId="4BFDADEE" w14:textId="77777777" w:rsidR="00F62C56" w:rsidRPr="006F4B7D" w:rsidRDefault="00F62C56" w:rsidP="006F4B7D">
      <w:pPr>
        <w:pStyle w:val="P00"/>
        <w:spacing w:before="72"/>
        <w:ind w:left="0" w:right="1134"/>
        <w:rPr>
          <w:rFonts w:cs="FrankRuehl"/>
          <w:rtl/>
          <w:lang w:eastAsia="en-US"/>
        </w:rPr>
      </w:pPr>
    </w:p>
    <w:p w14:paraId="5E066D7C" w14:textId="77777777" w:rsidR="00631098" w:rsidRDefault="00631098" w:rsidP="006F4B7D">
      <w:pPr>
        <w:pStyle w:val="P00"/>
        <w:spacing w:before="72"/>
        <w:ind w:left="0" w:right="1134"/>
        <w:rPr>
          <w:rFonts w:cs="FrankRuehl"/>
          <w:rtl/>
          <w:lang w:eastAsia="en-US"/>
        </w:rPr>
      </w:pPr>
    </w:p>
    <w:p w14:paraId="37A308B6" w14:textId="77777777" w:rsidR="00631098" w:rsidRDefault="00631098" w:rsidP="006F4B7D">
      <w:pPr>
        <w:pStyle w:val="P00"/>
        <w:spacing w:before="72"/>
        <w:ind w:left="0" w:right="1134"/>
        <w:rPr>
          <w:rFonts w:cs="FrankRuehl"/>
          <w:rtl/>
          <w:lang w:eastAsia="en-US"/>
        </w:rPr>
      </w:pPr>
    </w:p>
    <w:p w14:paraId="0491FFB8" w14:textId="77777777" w:rsidR="00631098" w:rsidRDefault="00631098" w:rsidP="00631098">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700BE1E6" w14:textId="77777777" w:rsidR="00F62C56" w:rsidRPr="00631098" w:rsidRDefault="00F62C56" w:rsidP="00631098">
      <w:pPr>
        <w:pStyle w:val="P00"/>
        <w:spacing w:before="72"/>
        <w:ind w:left="0" w:right="1134"/>
        <w:jc w:val="center"/>
        <w:rPr>
          <w:rFonts w:cs="David"/>
          <w:color w:val="0000FF"/>
          <w:szCs w:val="24"/>
          <w:u w:val="single"/>
          <w:rtl/>
          <w:lang w:eastAsia="en-US"/>
        </w:rPr>
      </w:pPr>
    </w:p>
    <w:sectPr w:rsidR="00F62C56" w:rsidRPr="00631098">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925CB" w14:textId="77777777" w:rsidR="000E2EDB" w:rsidRDefault="000E2EDB">
      <w:r>
        <w:separator/>
      </w:r>
    </w:p>
  </w:endnote>
  <w:endnote w:type="continuationSeparator" w:id="0">
    <w:p w14:paraId="07387EF9" w14:textId="77777777" w:rsidR="000E2EDB" w:rsidRDefault="000E2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20E1B" w14:textId="77777777" w:rsidR="00720A6A" w:rsidRDefault="00720A6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923D91A" w14:textId="77777777" w:rsidR="00720A6A" w:rsidRDefault="00720A6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F4CBC99" w14:textId="77777777" w:rsidR="00720A6A" w:rsidRDefault="00720A6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1098">
      <w:rPr>
        <w:rFonts w:cs="TopType Jerushalmi"/>
        <w:noProof/>
        <w:color w:val="000000"/>
        <w:sz w:val="14"/>
        <w:szCs w:val="14"/>
      </w:rPr>
      <w:t>Z:\000-law\yael\2011\11-07-20\mek_021_001.doc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0685E" w14:textId="77777777" w:rsidR="00720A6A" w:rsidRDefault="00720A6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31098">
      <w:rPr>
        <w:rFonts w:hAnsi="FrankRuehl" w:cs="FrankRuehl"/>
        <w:noProof/>
        <w:sz w:val="24"/>
        <w:szCs w:val="24"/>
        <w:rtl/>
      </w:rPr>
      <w:t>7</w:t>
    </w:r>
    <w:r>
      <w:rPr>
        <w:rFonts w:hAnsi="FrankRuehl" w:cs="FrankRuehl"/>
        <w:sz w:val="24"/>
        <w:szCs w:val="24"/>
        <w:rtl/>
      </w:rPr>
      <w:fldChar w:fldCharType="end"/>
    </w:r>
  </w:p>
  <w:p w14:paraId="5910B61D" w14:textId="77777777" w:rsidR="00720A6A" w:rsidRDefault="00720A6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12759D0" w14:textId="77777777" w:rsidR="00720A6A" w:rsidRDefault="00720A6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31098">
      <w:rPr>
        <w:rFonts w:cs="TopType Jerushalmi"/>
        <w:noProof/>
        <w:color w:val="000000"/>
        <w:sz w:val="14"/>
        <w:szCs w:val="14"/>
      </w:rPr>
      <w:t>Z:\000-law\yael\2011\11-07-20\mek_021_001.doc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AA066" w14:textId="77777777" w:rsidR="000E2EDB" w:rsidRDefault="000E2EDB" w:rsidP="006F4B7D">
      <w:pPr>
        <w:spacing w:before="60" w:line="240" w:lineRule="auto"/>
        <w:ind w:right="1134"/>
      </w:pPr>
      <w:r>
        <w:separator/>
      </w:r>
    </w:p>
  </w:footnote>
  <w:footnote w:type="continuationSeparator" w:id="0">
    <w:p w14:paraId="5FBC21EC" w14:textId="77777777" w:rsidR="000E2EDB" w:rsidRDefault="000E2EDB">
      <w:r>
        <w:continuationSeparator/>
      </w:r>
    </w:p>
  </w:footnote>
  <w:footnote w:id="1">
    <w:p w14:paraId="216C4707" w14:textId="77777777" w:rsidR="00720A6A" w:rsidRDefault="00720A6A" w:rsidP="00ED7231">
      <w:pPr>
        <w:pStyle w:val="a5"/>
        <w:spacing w:before="72" w:line="240" w:lineRule="auto"/>
        <w:ind w:right="1134"/>
        <w:rPr>
          <w:rFonts w:cs="FrankRuehl" w:hint="cs"/>
          <w:sz w:val="22"/>
          <w:szCs w:val="22"/>
          <w:rtl/>
        </w:rPr>
      </w:pPr>
      <w:r>
        <w:rPr>
          <w:rStyle w:val="a6"/>
          <w:vertAlign w:val="baseline"/>
        </w:rPr>
        <w:t>*</w:t>
      </w:r>
      <w:r>
        <w:rPr>
          <w:rFonts w:cs="FrankRuehl" w:hint="cs"/>
          <w:sz w:val="22"/>
          <w:szCs w:val="22"/>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 xml:space="preserve">ק"ת </w:t>
        </w:r>
        <w:r>
          <w:rPr>
            <w:rStyle w:val="Hyperlink"/>
            <w:rFonts w:cs="FrankRuehl" w:hint="cs"/>
            <w:sz w:val="22"/>
            <w:szCs w:val="22"/>
            <w:rtl/>
          </w:rPr>
          <w:t xml:space="preserve">חש"ם </w:t>
        </w:r>
        <w:r>
          <w:rPr>
            <w:rStyle w:val="Hyperlink"/>
            <w:rFonts w:cs="FrankRuehl"/>
            <w:sz w:val="22"/>
            <w:szCs w:val="22"/>
            <w:rtl/>
          </w:rPr>
          <w:t>תש</w:t>
        </w:r>
        <w:r w:rsidR="00ED7231">
          <w:rPr>
            <w:rStyle w:val="Hyperlink"/>
            <w:rFonts w:cs="FrankRuehl" w:hint="cs"/>
            <w:sz w:val="22"/>
            <w:szCs w:val="22"/>
            <w:rtl/>
          </w:rPr>
          <w:t>נ"ט</w:t>
        </w:r>
        <w:r>
          <w:rPr>
            <w:rStyle w:val="Hyperlink"/>
            <w:rFonts w:cs="FrankRuehl"/>
            <w:sz w:val="22"/>
            <w:szCs w:val="22"/>
            <w:rtl/>
          </w:rPr>
          <w:t xml:space="preserve"> מס' </w:t>
        </w:r>
        <w:r>
          <w:rPr>
            <w:rStyle w:val="Hyperlink"/>
            <w:rFonts w:cs="FrankRuehl" w:hint="cs"/>
            <w:sz w:val="22"/>
            <w:szCs w:val="22"/>
            <w:rtl/>
          </w:rPr>
          <w:t>6</w:t>
        </w:r>
        <w:r w:rsidR="00ED7231">
          <w:rPr>
            <w:rStyle w:val="Hyperlink"/>
            <w:rFonts w:cs="FrankRuehl" w:hint="cs"/>
            <w:sz w:val="22"/>
            <w:szCs w:val="22"/>
            <w:rtl/>
          </w:rPr>
          <w:t>02</w:t>
        </w:r>
      </w:hyperlink>
      <w:r>
        <w:rPr>
          <w:rFonts w:cs="FrankRuehl" w:hint="cs"/>
          <w:sz w:val="22"/>
          <w:szCs w:val="22"/>
          <w:rtl/>
        </w:rPr>
        <w:t xml:space="preserve"> מיום </w:t>
      </w:r>
      <w:r w:rsidR="00ED7231">
        <w:rPr>
          <w:rFonts w:cs="FrankRuehl" w:hint="cs"/>
          <w:sz w:val="22"/>
          <w:szCs w:val="22"/>
          <w:rtl/>
        </w:rPr>
        <w:t>29.10.1998</w:t>
      </w:r>
      <w:r>
        <w:rPr>
          <w:rFonts w:cs="FrankRuehl" w:hint="cs"/>
          <w:sz w:val="22"/>
          <w:szCs w:val="22"/>
          <w:rtl/>
        </w:rPr>
        <w:t xml:space="preserve"> עמ' </w:t>
      </w:r>
      <w:r w:rsidR="00ED7231">
        <w:rPr>
          <w:rFonts w:cs="FrankRuehl" w:hint="cs"/>
          <w:sz w:val="22"/>
          <w:szCs w:val="22"/>
          <w:rtl/>
        </w:rPr>
        <w:t>63</w:t>
      </w:r>
      <w:r>
        <w:rPr>
          <w:rFonts w:cs="FrankRuehl" w:hint="cs"/>
          <w:sz w:val="22"/>
          <w:szCs w:val="22"/>
          <w:rtl/>
        </w:rPr>
        <w:t>.</w:t>
      </w:r>
    </w:p>
    <w:p w14:paraId="51ED8D91" w14:textId="77777777" w:rsidR="00165183" w:rsidRDefault="00111D18" w:rsidP="000F2F84">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00F10984" w:rsidRPr="00F10984">
          <w:rPr>
            <w:rStyle w:val="Hyperlink"/>
            <w:rFonts w:cs="FrankRuehl" w:hint="cs"/>
            <w:sz w:val="22"/>
            <w:szCs w:val="22"/>
            <w:rtl/>
          </w:rPr>
          <w:t>ק"ת חש"ם תש"ס מס' 618</w:t>
        </w:r>
      </w:hyperlink>
      <w:r w:rsidR="00F10984">
        <w:rPr>
          <w:rFonts w:cs="FrankRuehl" w:hint="cs"/>
          <w:sz w:val="22"/>
          <w:szCs w:val="22"/>
          <w:rtl/>
        </w:rPr>
        <w:t xml:space="preserve"> מיום 15.2.2000 עמ' 150 </w:t>
      </w:r>
      <w:r w:rsidR="00F10984">
        <w:rPr>
          <w:rFonts w:cs="FrankRuehl"/>
          <w:sz w:val="22"/>
          <w:szCs w:val="22"/>
          <w:rtl/>
        </w:rPr>
        <w:t>–</w:t>
      </w:r>
      <w:r w:rsidR="00F10984">
        <w:rPr>
          <w:rFonts w:cs="FrankRuehl" w:hint="cs"/>
          <w:sz w:val="22"/>
          <w:szCs w:val="22"/>
          <w:rtl/>
        </w:rPr>
        <w:t xml:space="preserve"> תיקון תש"ס-2000.</w:t>
      </w:r>
    </w:p>
    <w:p w14:paraId="215CCC18" w14:textId="77777777" w:rsidR="00F10984" w:rsidRDefault="00F73CFA" w:rsidP="000F2F84">
      <w:pPr>
        <w:pStyle w:val="a5"/>
        <w:spacing w:before="72" w:line="240" w:lineRule="auto"/>
        <w:ind w:right="1134"/>
        <w:rPr>
          <w:rFonts w:cs="FrankRuehl" w:hint="cs"/>
          <w:sz w:val="22"/>
          <w:szCs w:val="22"/>
          <w:rtl/>
        </w:rPr>
      </w:pPr>
      <w:hyperlink r:id="rId3" w:history="1">
        <w:r w:rsidR="00F10984" w:rsidRPr="00F73CFA">
          <w:rPr>
            <w:rStyle w:val="Hyperlink"/>
            <w:rFonts w:cs="FrankRuehl" w:hint="cs"/>
            <w:sz w:val="22"/>
            <w:szCs w:val="22"/>
            <w:rtl/>
          </w:rPr>
          <w:t xml:space="preserve">ק"ת חש"ם </w:t>
        </w:r>
        <w:r w:rsidRPr="00F73CFA">
          <w:rPr>
            <w:rStyle w:val="Hyperlink"/>
            <w:rFonts w:cs="FrankRuehl" w:hint="cs"/>
            <w:sz w:val="22"/>
            <w:szCs w:val="22"/>
            <w:rtl/>
          </w:rPr>
          <w:t>תשס"א מס' 628</w:t>
        </w:r>
      </w:hyperlink>
      <w:r>
        <w:rPr>
          <w:rFonts w:cs="FrankRuehl" w:hint="cs"/>
          <w:sz w:val="22"/>
          <w:szCs w:val="22"/>
          <w:rtl/>
        </w:rPr>
        <w:t xml:space="preserve"> מיום 24.10.2000 עמ' 21 </w:t>
      </w:r>
      <w:r>
        <w:rPr>
          <w:rFonts w:cs="FrankRuehl"/>
          <w:sz w:val="22"/>
          <w:szCs w:val="22"/>
          <w:rtl/>
        </w:rPr>
        <w:t>–</w:t>
      </w:r>
      <w:r>
        <w:rPr>
          <w:rFonts w:cs="FrankRuehl" w:hint="cs"/>
          <w:sz w:val="22"/>
          <w:szCs w:val="22"/>
          <w:rtl/>
        </w:rPr>
        <w:t xml:space="preserve"> תיקון תשס"א-2000; ר' סעיף 2 לענין הוראת שעה.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FA041" w14:textId="77777777" w:rsidR="00720A6A" w:rsidRDefault="00720A6A" w:rsidP="00680267">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680267">
      <w:rPr>
        <w:rFonts w:hAnsi="FrankRuehl" w:cs="FrankRuehl" w:hint="cs"/>
        <w:color w:val="000000"/>
        <w:sz w:val="28"/>
        <w:szCs w:val="28"/>
        <w:rtl/>
      </w:rPr>
      <w:t>לרמלה</w:t>
    </w:r>
    <w:r>
      <w:rPr>
        <w:rFonts w:hAnsi="FrankRuehl" w:cs="FrankRuehl" w:hint="cs"/>
        <w:color w:val="000000"/>
        <w:sz w:val="28"/>
        <w:szCs w:val="28"/>
        <w:rtl/>
      </w:rPr>
      <w:t xml:space="preserve"> (ביוב), </w:t>
    </w:r>
    <w:r w:rsidR="00680267">
      <w:rPr>
        <w:rFonts w:hAnsi="FrankRuehl" w:cs="FrankRuehl" w:hint="cs"/>
        <w:color w:val="000000"/>
        <w:sz w:val="28"/>
        <w:szCs w:val="28"/>
        <w:rtl/>
      </w:rPr>
      <w:t>תשנ"ט-1998</w:t>
    </w:r>
  </w:p>
  <w:p w14:paraId="7743B666" w14:textId="77777777" w:rsidR="00720A6A" w:rsidRDefault="00720A6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BB9709F" w14:textId="77777777" w:rsidR="00720A6A" w:rsidRDefault="00720A6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480"/>
    <w:rsid w:val="000220CA"/>
    <w:rsid w:val="0002223C"/>
    <w:rsid w:val="00033249"/>
    <w:rsid w:val="00037BAC"/>
    <w:rsid w:val="00041DE9"/>
    <w:rsid w:val="000561C1"/>
    <w:rsid w:val="00083502"/>
    <w:rsid w:val="00086526"/>
    <w:rsid w:val="00086EBE"/>
    <w:rsid w:val="000A020E"/>
    <w:rsid w:val="000A3739"/>
    <w:rsid w:val="000A3F77"/>
    <w:rsid w:val="000B09A3"/>
    <w:rsid w:val="000B34E8"/>
    <w:rsid w:val="000E0ADE"/>
    <w:rsid w:val="000E2EDB"/>
    <w:rsid w:val="000E2F20"/>
    <w:rsid w:val="000E55C6"/>
    <w:rsid w:val="000E63A4"/>
    <w:rsid w:val="000F2F84"/>
    <w:rsid w:val="00111D18"/>
    <w:rsid w:val="00115880"/>
    <w:rsid w:val="001171BF"/>
    <w:rsid w:val="00136BAC"/>
    <w:rsid w:val="00153540"/>
    <w:rsid w:val="0016262B"/>
    <w:rsid w:val="001639E0"/>
    <w:rsid w:val="00165183"/>
    <w:rsid w:val="00171204"/>
    <w:rsid w:val="0017236D"/>
    <w:rsid w:val="00180828"/>
    <w:rsid w:val="00183083"/>
    <w:rsid w:val="0018776D"/>
    <w:rsid w:val="001B1004"/>
    <w:rsid w:val="001C18E2"/>
    <w:rsid w:val="001D4309"/>
    <w:rsid w:val="001E0C58"/>
    <w:rsid w:val="001E211C"/>
    <w:rsid w:val="001E6480"/>
    <w:rsid w:val="00205430"/>
    <w:rsid w:val="0020682A"/>
    <w:rsid w:val="00207EA2"/>
    <w:rsid w:val="00214924"/>
    <w:rsid w:val="00231F0F"/>
    <w:rsid w:val="00242F84"/>
    <w:rsid w:val="002434D1"/>
    <w:rsid w:val="00257040"/>
    <w:rsid w:val="00261705"/>
    <w:rsid w:val="002672C3"/>
    <w:rsid w:val="00273496"/>
    <w:rsid w:val="002734DB"/>
    <w:rsid w:val="00285879"/>
    <w:rsid w:val="002D10DC"/>
    <w:rsid w:val="002D1C1F"/>
    <w:rsid w:val="002D2A33"/>
    <w:rsid w:val="002E21D9"/>
    <w:rsid w:val="002F0D77"/>
    <w:rsid w:val="00334592"/>
    <w:rsid w:val="00342C05"/>
    <w:rsid w:val="00355497"/>
    <w:rsid w:val="00367F48"/>
    <w:rsid w:val="00367FA9"/>
    <w:rsid w:val="003739DF"/>
    <w:rsid w:val="00386FF6"/>
    <w:rsid w:val="003A003C"/>
    <w:rsid w:val="003C725F"/>
    <w:rsid w:val="003E24DF"/>
    <w:rsid w:val="003E7687"/>
    <w:rsid w:val="003E7A7B"/>
    <w:rsid w:val="00400A9E"/>
    <w:rsid w:val="004135A6"/>
    <w:rsid w:val="00416C1B"/>
    <w:rsid w:val="004356A1"/>
    <w:rsid w:val="00444A1E"/>
    <w:rsid w:val="00470669"/>
    <w:rsid w:val="00492915"/>
    <w:rsid w:val="004C0A52"/>
    <w:rsid w:val="004D10A0"/>
    <w:rsid w:val="004D694D"/>
    <w:rsid w:val="00512491"/>
    <w:rsid w:val="005246C1"/>
    <w:rsid w:val="005346D9"/>
    <w:rsid w:val="00553D89"/>
    <w:rsid w:val="00555602"/>
    <w:rsid w:val="005745DB"/>
    <w:rsid w:val="00591562"/>
    <w:rsid w:val="00592545"/>
    <w:rsid w:val="005A2B65"/>
    <w:rsid w:val="005F48A5"/>
    <w:rsid w:val="00602980"/>
    <w:rsid w:val="0060463C"/>
    <w:rsid w:val="00631098"/>
    <w:rsid w:val="00634D03"/>
    <w:rsid w:val="0064117C"/>
    <w:rsid w:val="006573EC"/>
    <w:rsid w:val="00660683"/>
    <w:rsid w:val="00664446"/>
    <w:rsid w:val="006660AA"/>
    <w:rsid w:val="00670773"/>
    <w:rsid w:val="006747A6"/>
    <w:rsid w:val="00680267"/>
    <w:rsid w:val="00684B1A"/>
    <w:rsid w:val="006C3BAF"/>
    <w:rsid w:val="006D1847"/>
    <w:rsid w:val="006E4323"/>
    <w:rsid w:val="006F1F35"/>
    <w:rsid w:val="006F4B7D"/>
    <w:rsid w:val="006F76DB"/>
    <w:rsid w:val="00720A6A"/>
    <w:rsid w:val="00745676"/>
    <w:rsid w:val="007636DE"/>
    <w:rsid w:val="00765E90"/>
    <w:rsid w:val="0077133C"/>
    <w:rsid w:val="007843BE"/>
    <w:rsid w:val="007D3D23"/>
    <w:rsid w:val="007D3E12"/>
    <w:rsid w:val="007F5EB5"/>
    <w:rsid w:val="007F6DF1"/>
    <w:rsid w:val="008276F8"/>
    <w:rsid w:val="00827D37"/>
    <w:rsid w:val="00837AB3"/>
    <w:rsid w:val="008460FB"/>
    <w:rsid w:val="00850429"/>
    <w:rsid w:val="00862806"/>
    <w:rsid w:val="00870697"/>
    <w:rsid w:val="00895E03"/>
    <w:rsid w:val="008A0D79"/>
    <w:rsid w:val="008A4103"/>
    <w:rsid w:val="008A6523"/>
    <w:rsid w:val="008A6A15"/>
    <w:rsid w:val="008B1581"/>
    <w:rsid w:val="008B35D1"/>
    <w:rsid w:val="008C02C1"/>
    <w:rsid w:val="008D4F24"/>
    <w:rsid w:val="008E389F"/>
    <w:rsid w:val="008E6211"/>
    <w:rsid w:val="008F7B16"/>
    <w:rsid w:val="00900BC9"/>
    <w:rsid w:val="00906164"/>
    <w:rsid w:val="00913D4B"/>
    <w:rsid w:val="00917E93"/>
    <w:rsid w:val="00925CCA"/>
    <w:rsid w:val="00955633"/>
    <w:rsid w:val="009610A5"/>
    <w:rsid w:val="00980BFB"/>
    <w:rsid w:val="00980C90"/>
    <w:rsid w:val="0099210E"/>
    <w:rsid w:val="009D528D"/>
    <w:rsid w:val="009F6510"/>
    <w:rsid w:val="009F7A92"/>
    <w:rsid w:val="00A060E6"/>
    <w:rsid w:val="00A21FB3"/>
    <w:rsid w:val="00A2412A"/>
    <w:rsid w:val="00A356CE"/>
    <w:rsid w:val="00A83B71"/>
    <w:rsid w:val="00A92049"/>
    <w:rsid w:val="00A93A93"/>
    <w:rsid w:val="00AA2323"/>
    <w:rsid w:val="00AB57E3"/>
    <w:rsid w:val="00AC2159"/>
    <w:rsid w:val="00AD36F9"/>
    <w:rsid w:val="00AE20EC"/>
    <w:rsid w:val="00AE4DD4"/>
    <w:rsid w:val="00AE682E"/>
    <w:rsid w:val="00AF605E"/>
    <w:rsid w:val="00AF67F6"/>
    <w:rsid w:val="00B019C2"/>
    <w:rsid w:val="00B50001"/>
    <w:rsid w:val="00B61741"/>
    <w:rsid w:val="00B62B6A"/>
    <w:rsid w:val="00B7586E"/>
    <w:rsid w:val="00B84DBF"/>
    <w:rsid w:val="00B90009"/>
    <w:rsid w:val="00B934E0"/>
    <w:rsid w:val="00B94AA1"/>
    <w:rsid w:val="00B96BEB"/>
    <w:rsid w:val="00BB05CC"/>
    <w:rsid w:val="00BC3268"/>
    <w:rsid w:val="00BC3F0F"/>
    <w:rsid w:val="00BD4B1F"/>
    <w:rsid w:val="00BF0AAE"/>
    <w:rsid w:val="00BF2010"/>
    <w:rsid w:val="00C038DF"/>
    <w:rsid w:val="00C103FA"/>
    <w:rsid w:val="00C10B62"/>
    <w:rsid w:val="00C15570"/>
    <w:rsid w:val="00C243B3"/>
    <w:rsid w:val="00C24510"/>
    <w:rsid w:val="00C32C3B"/>
    <w:rsid w:val="00C46261"/>
    <w:rsid w:val="00C54D20"/>
    <w:rsid w:val="00C66894"/>
    <w:rsid w:val="00C90383"/>
    <w:rsid w:val="00CC4FD7"/>
    <w:rsid w:val="00D069A5"/>
    <w:rsid w:val="00D077D3"/>
    <w:rsid w:val="00D15119"/>
    <w:rsid w:val="00D20038"/>
    <w:rsid w:val="00D313D3"/>
    <w:rsid w:val="00D31A16"/>
    <w:rsid w:val="00D327DE"/>
    <w:rsid w:val="00D513CF"/>
    <w:rsid w:val="00D54D98"/>
    <w:rsid w:val="00D644AE"/>
    <w:rsid w:val="00D65452"/>
    <w:rsid w:val="00D84150"/>
    <w:rsid w:val="00D85F1A"/>
    <w:rsid w:val="00D87FE3"/>
    <w:rsid w:val="00DA0D95"/>
    <w:rsid w:val="00DB5FE9"/>
    <w:rsid w:val="00DC1ACB"/>
    <w:rsid w:val="00DE0BA7"/>
    <w:rsid w:val="00DE4491"/>
    <w:rsid w:val="00E10E7B"/>
    <w:rsid w:val="00E13C3B"/>
    <w:rsid w:val="00E21565"/>
    <w:rsid w:val="00E24264"/>
    <w:rsid w:val="00E36CFF"/>
    <w:rsid w:val="00E37DE6"/>
    <w:rsid w:val="00E412C9"/>
    <w:rsid w:val="00E4446D"/>
    <w:rsid w:val="00E50525"/>
    <w:rsid w:val="00E56D50"/>
    <w:rsid w:val="00E86531"/>
    <w:rsid w:val="00E87E33"/>
    <w:rsid w:val="00EB1237"/>
    <w:rsid w:val="00EB158F"/>
    <w:rsid w:val="00EB1800"/>
    <w:rsid w:val="00EC5B78"/>
    <w:rsid w:val="00EC6E29"/>
    <w:rsid w:val="00ED7231"/>
    <w:rsid w:val="00EE2B8A"/>
    <w:rsid w:val="00EE405D"/>
    <w:rsid w:val="00EE6C1A"/>
    <w:rsid w:val="00F00CB4"/>
    <w:rsid w:val="00F10984"/>
    <w:rsid w:val="00F11621"/>
    <w:rsid w:val="00F22F7C"/>
    <w:rsid w:val="00F31D2B"/>
    <w:rsid w:val="00F31DAA"/>
    <w:rsid w:val="00F31E69"/>
    <w:rsid w:val="00F37D67"/>
    <w:rsid w:val="00F42284"/>
    <w:rsid w:val="00F44530"/>
    <w:rsid w:val="00F466B4"/>
    <w:rsid w:val="00F47766"/>
    <w:rsid w:val="00F56CDE"/>
    <w:rsid w:val="00F62C56"/>
    <w:rsid w:val="00F73CFA"/>
    <w:rsid w:val="00F77555"/>
    <w:rsid w:val="00F8345D"/>
    <w:rsid w:val="00F93772"/>
    <w:rsid w:val="00F93BBE"/>
    <w:rsid w:val="00FC1785"/>
    <w:rsid w:val="00FF77A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8C2E18F"/>
  <w15:chartTrackingRefBased/>
  <w15:docId w15:val="{7E170615-9F4B-4E5E-AE72-97D9B7690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Plain Text"/>
    <w:basedOn w:val="a"/>
    <w:rsid w:val="001E6480"/>
    <w:pPr>
      <w:autoSpaceDE/>
      <w:autoSpaceDN/>
      <w:spacing w:line="240" w:lineRule="auto"/>
      <w:jc w:val="left"/>
    </w:pPr>
    <w:rPr>
      <w:rFonts w:ascii="Courier New" w:hAnsi="Courier New" w:cs="Courier New"/>
      <w:sz w:val="20"/>
      <w:szCs w:val="20"/>
    </w:rPr>
  </w:style>
  <w:style w:type="table" w:styleId="a8">
    <w:name w:val="Table Grid"/>
    <w:basedOn w:val="a1"/>
    <w:rsid w:val="00037BAC"/>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628.pdf" TargetMode="External"/><Relationship Id="rId2" Type="http://schemas.openxmlformats.org/officeDocument/2006/relationships/hyperlink" Target="http://www.nevo.co.il/Law_word/law07/mekomi-0618.pdf" TargetMode="External"/><Relationship Id="rId1" Type="http://schemas.openxmlformats.org/officeDocument/2006/relationships/hyperlink" Target="http://www.nevo.co.il/Law_word/law07/mekomi-06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2300</Words>
  <Characters>13111</Characters>
  <Application>Microsoft Office Word</Application>
  <DocSecurity>0</DocSecurity>
  <Lines>109</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15381</CharactersWithSpaces>
  <SharedDoc>false</SharedDoc>
  <HLinks>
    <vt:vector size="156" baseType="variant">
      <vt:variant>
        <vt:i4>393283</vt:i4>
      </vt:variant>
      <vt:variant>
        <vt:i4>132</vt:i4>
      </vt:variant>
      <vt:variant>
        <vt:i4>0</vt:i4>
      </vt:variant>
      <vt:variant>
        <vt:i4>5</vt:i4>
      </vt:variant>
      <vt:variant>
        <vt:lpwstr>http://www.nevo.co.il/advertisements/nevo-100.doc</vt:lpwstr>
      </vt:variant>
      <vt:variant>
        <vt:lpwstr/>
      </vt:variant>
      <vt:variant>
        <vt:i4>5701641</vt:i4>
      </vt:variant>
      <vt:variant>
        <vt:i4>126</vt:i4>
      </vt:variant>
      <vt:variant>
        <vt:i4>0</vt:i4>
      </vt:variant>
      <vt:variant>
        <vt:i4>5</vt:i4>
      </vt:variant>
      <vt:variant>
        <vt:lpwstr/>
      </vt:variant>
      <vt:variant>
        <vt:lpwstr>med2</vt:lpwstr>
      </vt:variant>
      <vt:variant>
        <vt:i4>5505033</vt:i4>
      </vt:variant>
      <vt:variant>
        <vt:i4>120</vt:i4>
      </vt:variant>
      <vt:variant>
        <vt:i4>0</vt:i4>
      </vt:variant>
      <vt:variant>
        <vt:i4>5</vt:i4>
      </vt:variant>
      <vt:variant>
        <vt:lpwstr/>
      </vt:variant>
      <vt:variant>
        <vt:lpwstr>med1</vt:lpwstr>
      </vt:variant>
      <vt:variant>
        <vt:i4>5570569</vt:i4>
      </vt:variant>
      <vt:variant>
        <vt:i4>114</vt:i4>
      </vt:variant>
      <vt:variant>
        <vt:i4>0</vt:i4>
      </vt:variant>
      <vt:variant>
        <vt:i4>5</vt:i4>
      </vt:variant>
      <vt:variant>
        <vt:lpwstr/>
      </vt:variant>
      <vt:variant>
        <vt:lpwstr>med0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7536671</vt:i4>
      </vt:variant>
      <vt:variant>
        <vt:i4>6</vt:i4>
      </vt:variant>
      <vt:variant>
        <vt:i4>0</vt:i4>
      </vt:variant>
      <vt:variant>
        <vt:i4>5</vt:i4>
      </vt:variant>
      <vt:variant>
        <vt:lpwstr>http://www.nevo.co.il/Law_word/law07/mekomi-0628.pdf</vt:lpwstr>
      </vt:variant>
      <vt:variant>
        <vt:lpwstr/>
      </vt:variant>
      <vt:variant>
        <vt:i4>7536668</vt:i4>
      </vt:variant>
      <vt:variant>
        <vt:i4>3</vt:i4>
      </vt:variant>
      <vt:variant>
        <vt:i4>0</vt:i4>
      </vt:variant>
      <vt:variant>
        <vt:i4>5</vt:i4>
      </vt:variant>
      <vt:variant>
        <vt:lpwstr>http://www.nevo.co.il/Law_word/law07/mekomi-0618.pdf</vt:lpwstr>
      </vt:variant>
      <vt:variant>
        <vt:lpwstr/>
      </vt:variant>
      <vt:variant>
        <vt:i4>7929885</vt:i4>
      </vt:variant>
      <vt:variant>
        <vt:i4>0</vt:i4>
      </vt:variant>
      <vt:variant>
        <vt:i4>0</vt:i4>
      </vt:variant>
      <vt:variant>
        <vt:i4>5</vt:i4>
      </vt:variant>
      <vt:variant>
        <vt:lpwstr>http://www.nevo.co.il/Law_word/law07/mekomi-0602.pdf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לרמלה (ביוב), תשנ"ט-1998</vt:lpwstr>
  </property>
  <property fmtid="{D5CDD505-2E9C-101B-9397-08002B2CF9AE}" pid="5" name="LAWNUMBER">
    <vt:lpwstr>021_001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ביוב</vt:lpwstr>
  </property>
  <property fmtid="{D5CDD505-2E9C-101B-9397-08002B2CF9AE}" pid="26" name="NOSE41">
    <vt:lpwstr/>
  </property>
  <property fmtid="{D5CDD505-2E9C-101B-9397-08002B2CF9AE}" pid="27" name="NOSE12">
    <vt:lpwstr>רשויות ומשפט מנהלי</vt:lpwstr>
  </property>
  <property fmtid="{D5CDD505-2E9C-101B-9397-08002B2CF9AE}" pid="28" name="NOSE22">
    <vt:lpwstr>רשויות מקומיות</vt:lpwstr>
  </property>
  <property fmtid="{D5CDD505-2E9C-101B-9397-08002B2CF9AE}" pid="29" name="NOSE32">
    <vt:lpwstr>חוקי עזר</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_NAME1">
    <vt:lpwstr>פקודת העיריות</vt:lpwstr>
  </property>
  <property fmtid="{D5CDD505-2E9C-101B-9397-08002B2CF9AE}" pid="64" name="MEKOR_SAIF1">
    <vt:lpwstr>250X;251X</vt:lpwstr>
  </property>
  <property fmtid="{D5CDD505-2E9C-101B-9397-08002B2CF9AE}" pid="65" name="MEKOR_NAME2">
    <vt:lpwstr>חוק הרשויות המקומיות (ביוב)</vt:lpwstr>
  </property>
  <property fmtid="{D5CDD505-2E9C-101B-9397-08002B2CF9AE}" pid="66" name="MEKOR_SAIF2">
    <vt:lpwstr/>
  </property>
</Properties>
</file>