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5A31" w14:textId="77777777" w:rsidR="003F2762" w:rsidRDefault="003F2762" w:rsidP="00C57973">
      <w:pPr>
        <w:pStyle w:val="big-header"/>
        <w:ind w:left="0" w:right="1134"/>
        <w:rPr>
          <w:rFonts w:hint="cs"/>
          <w:rtl/>
        </w:rPr>
      </w:pPr>
      <w:r>
        <w:rPr>
          <w:rtl/>
        </w:rPr>
        <w:t xml:space="preserve">חוק </w:t>
      </w:r>
      <w:r w:rsidR="00C57973">
        <w:rPr>
          <w:rFonts w:hint="cs"/>
          <w:rtl/>
        </w:rPr>
        <w:t>קביעת מועד כניסה לתוקף של הוראות סימון מזון ארוז מראש</w:t>
      </w:r>
      <w:r w:rsidR="00E2060F">
        <w:rPr>
          <w:rFonts w:hint="cs"/>
          <w:rtl/>
        </w:rPr>
        <w:t xml:space="preserve">, </w:t>
      </w:r>
      <w:r w:rsidR="00C57973">
        <w:rPr>
          <w:rtl/>
        </w:rPr>
        <w:br/>
      </w:r>
      <w:r w:rsidR="00E2060F">
        <w:rPr>
          <w:rFonts w:hint="cs"/>
          <w:rtl/>
        </w:rPr>
        <w:t>תשע"ה-2014</w:t>
      </w:r>
    </w:p>
    <w:p w14:paraId="5ED3092D" w14:textId="77777777" w:rsidR="00C57973" w:rsidRPr="00C57973" w:rsidRDefault="00C57973" w:rsidP="00C57973">
      <w:pPr>
        <w:spacing w:line="320" w:lineRule="auto"/>
        <w:jc w:val="left"/>
        <w:rPr>
          <w:rFonts w:cs="FrankRuehl"/>
          <w:szCs w:val="26"/>
          <w:rtl/>
        </w:rPr>
      </w:pPr>
    </w:p>
    <w:p w14:paraId="6113FB75" w14:textId="77777777" w:rsidR="00C57973" w:rsidRDefault="00C57973" w:rsidP="00C57973">
      <w:pPr>
        <w:spacing w:line="320" w:lineRule="auto"/>
        <w:jc w:val="left"/>
        <w:rPr>
          <w:rtl/>
        </w:rPr>
      </w:pPr>
    </w:p>
    <w:p w14:paraId="56A297DC" w14:textId="77777777" w:rsidR="00C57973" w:rsidRDefault="00C57973" w:rsidP="00C57973">
      <w:pPr>
        <w:spacing w:line="320" w:lineRule="auto"/>
        <w:jc w:val="left"/>
        <w:rPr>
          <w:rFonts w:cs="Miriam"/>
          <w:szCs w:val="22"/>
          <w:rtl/>
        </w:rPr>
      </w:pPr>
      <w:r w:rsidRPr="00C57973">
        <w:rPr>
          <w:rFonts w:cs="Miriam"/>
          <w:szCs w:val="22"/>
          <w:rtl/>
        </w:rPr>
        <w:t>משפט פרטי וכלכלה</w:t>
      </w:r>
      <w:r w:rsidRPr="00C57973">
        <w:rPr>
          <w:rFonts w:cs="FrankRuehl"/>
          <w:szCs w:val="26"/>
          <w:rtl/>
        </w:rPr>
        <w:t xml:space="preserve"> – מסחר  – הגנת הצרכן</w:t>
      </w:r>
    </w:p>
    <w:p w14:paraId="36A8C364" w14:textId="77777777" w:rsidR="00C57973" w:rsidRPr="00C57973" w:rsidRDefault="00C57973" w:rsidP="00C57973">
      <w:pPr>
        <w:spacing w:line="320" w:lineRule="auto"/>
        <w:jc w:val="left"/>
        <w:rPr>
          <w:rFonts w:cs="Miriam" w:hint="cs"/>
          <w:szCs w:val="22"/>
          <w:rtl/>
        </w:rPr>
      </w:pPr>
      <w:r w:rsidRPr="00C57973">
        <w:rPr>
          <w:rFonts w:cs="Miriam"/>
          <w:szCs w:val="22"/>
          <w:rtl/>
        </w:rPr>
        <w:t>בריאות</w:t>
      </w:r>
      <w:r w:rsidRPr="00C57973">
        <w:rPr>
          <w:rFonts w:cs="FrankRuehl"/>
          <w:szCs w:val="26"/>
          <w:rtl/>
        </w:rPr>
        <w:t xml:space="preserve"> – בריאות הציבור (מזון) – אריזה וסימון</w:t>
      </w:r>
    </w:p>
    <w:p w14:paraId="035C9F76" w14:textId="77777777" w:rsidR="003F2762" w:rsidRDefault="003F276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3E7E" w:rsidRPr="00243E7E" w14:paraId="667405EF" w14:textId="77777777" w:rsidTr="00243E7E">
        <w:tblPrEx>
          <w:tblCellMar>
            <w:top w:w="0" w:type="dxa"/>
            <w:bottom w:w="0" w:type="dxa"/>
          </w:tblCellMar>
        </w:tblPrEx>
        <w:tc>
          <w:tcPr>
            <w:tcW w:w="1247" w:type="dxa"/>
          </w:tcPr>
          <w:p w14:paraId="135E13F6" w14:textId="77777777" w:rsidR="00243E7E" w:rsidRPr="00243E7E" w:rsidRDefault="00243E7E" w:rsidP="00243E7E">
            <w:pPr>
              <w:spacing w:line="240" w:lineRule="auto"/>
              <w:jc w:val="left"/>
              <w:rPr>
                <w:rFonts w:cs="Frankruhel"/>
                <w:sz w:val="24"/>
                <w:rtl/>
              </w:rPr>
            </w:pPr>
            <w:r>
              <w:rPr>
                <w:rFonts w:cs="Times New Roman"/>
                <w:sz w:val="24"/>
                <w:rtl/>
              </w:rPr>
              <w:t xml:space="preserve">סעיף 1 </w:t>
            </w:r>
          </w:p>
        </w:tc>
        <w:tc>
          <w:tcPr>
            <w:tcW w:w="5669" w:type="dxa"/>
          </w:tcPr>
          <w:p w14:paraId="1B3090A6" w14:textId="77777777" w:rsidR="00243E7E" w:rsidRPr="00243E7E" w:rsidRDefault="00243E7E" w:rsidP="00243E7E">
            <w:pPr>
              <w:spacing w:line="240" w:lineRule="auto"/>
              <w:jc w:val="left"/>
              <w:rPr>
                <w:rFonts w:cs="Frankruhel"/>
                <w:sz w:val="24"/>
                <w:rtl/>
              </w:rPr>
            </w:pPr>
            <w:r>
              <w:rPr>
                <w:rFonts w:cs="Times New Roman"/>
                <w:sz w:val="24"/>
                <w:rtl/>
              </w:rPr>
              <w:t>הגדרות</w:t>
            </w:r>
          </w:p>
        </w:tc>
        <w:tc>
          <w:tcPr>
            <w:tcW w:w="567" w:type="dxa"/>
          </w:tcPr>
          <w:p w14:paraId="3129E056" w14:textId="77777777" w:rsidR="00243E7E" w:rsidRPr="00243E7E" w:rsidRDefault="00243E7E" w:rsidP="00243E7E">
            <w:pPr>
              <w:spacing w:line="240" w:lineRule="auto"/>
              <w:jc w:val="left"/>
              <w:rPr>
                <w:rStyle w:val="Hyperlink"/>
                <w:rtl/>
              </w:rPr>
            </w:pPr>
            <w:hyperlink w:anchor="Seif4" w:tooltip="הגדרות" w:history="1">
              <w:r w:rsidRPr="00243E7E">
                <w:rPr>
                  <w:rStyle w:val="Hyperlink"/>
                </w:rPr>
                <w:t>Go</w:t>
              </w:r>
            </w:hyperlink>
          </w:p>
        </w:tc>
        <w:tc>
          <w:tcPr>
            <w:tcW w:w="850" w:type="dxa"/>
          </w:tcPr>
          <w:p w14:paraId="2E900747"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E7E" w:rsidRPr="00243E7E" w14:paraId="3ED9825A" w14:textId="77777777" w:rsidTr="00243E7E">
        <w:tblPrEx>
          <w:tblCellMar>
            <w:top w:w="0" w:type="dxa"/>
            <w:bottom w:w="0" w:type="dxa"/>
          </w:tblCellMar>
        </w:tblPrEx>
        <w:tc>
          <w:tcPr>
            <w:tcW w:w="1247" w:type="dxa"/>
          </w:tcPr>
          <w:p w14:paraId="0C14852F" w14:textId="77777777" w:rsidR="00243E7E" w:rsidRPr="00243E7E" w:rsidRDefault="00243E7E" w:rsidP="00243E7E">
            <w:pPr>
              <w:spacing w:line="240" w:lineRule="auto"/>
              <w:jc w:val="left"/>
              <w:rPr>
                <w:rFonts w:cs="Frankruhel"/>
                <w:sz w:val="24"/>
                <w:rtl/>
              </w:rPr>
            </w:pPr>
            <w:r>
              <w:rPr>
                <w:rFonts w:cs="Times New Roman"/>
                <w:sz w:val="24"/>
                <w:rtl/>
              </w:rPr>
              <w:t xml:space="preserve">סעיף 2 </w:t>
            </w:r>
          </w:p>
        </w:tc>
        <w:tc>
          <w:tcPr>
            <w:tcW w:w="5669" w:type="dxa"/>
          </w:tcPr>
          <w:p w14:paraId="0A460A02" w14:textId="77777777" w:rsidR="00243E7E" w:rsidRPr="00243E7E" w:rsidRDefault="00243E7E" w:rsidP="00243E7E">
            <w:pPr>
              <w:spacing w:line="240" w:lineRule="auto"/>
              <w:jc w:val="left"/>
              <w:rPr>
                <w:rFonts w:cs="Frankruhel"/>
                <w:sz w:val="24"/>
                <w:rtl/>
              </w:rPr>
            </w:pPr>
            <w:r>
              <w:rPr>
                <w:rFonts w:cs="Times New Roman"/>
                <w:sz w:val="24"/>
                <w:rtl/>
              </w:rPr>
              <w:t>מועד כניסה לתוקף של הוראת סימון</w:t>
            </w:r>
          </w:p>
        </w:tc>
        <w:tc>
          <w:tcPr>
            <w:tcW w:w="567" w:type="dxa"/>
          </w:tcPr>
          <w:p w14:paraId="3BFAAF77" w14:textId="77777777" w:rsidR="00243E7E" w:rsidRPr="00243E7E" w:rsidRDefault="00243E7E" w:rsidP="00243E7E">
            <w:pPr>
              <w:spacing w:line="240" w:lineRule="auto"/>
              <w:jc w:val="left"/>
              <w:rPr>
                <w:rStyle w:val="Hyperlink"/>
                <w:rtl/>
              </w:rPr>
            </w:pPr>
            <w:hyperlink w:anchor="Seif5" w:tooltip="מועד כניסה לתוקף של הוראת סימון" w:history="1">
              <w:r w:rsidRPr="00243E7E">
                <w:rPr>
                  <w:rStyle w:val="Hyperlink"/>
                </w:rPr>
                <w:t>Go</w:t>
              </w:r>
            </w:hyperlink>
          </w:p>
        </w:tc>
        <w:tc>
          <w:tcPr>
            <w:tcW w:w="850" w:type="dxa"/>
          </w:tcPr>
          <w:p w14:paraId="1B2A3FAD"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E7E" w:rsidRPr="00243E7E" w14:paraId="71641735" w14:textId="77777777" w:rsidTr="00243E7E">
        <w:tblPrEx>
          <w:tblCellMar>
            <w:top w:w="0" w:type="dxa"/>
            <w:bottom w:w="0" w:type="dxa"/>
          </w:tblCellMar>
        </w:tblPrEx>
        <w:tc>
          <w:tcPr>
            <w:tcW w:w="1247" w:type="dxa"/>
          </w:tcPr>
          <w:p w14:paraId="396A7A82" w14:textId="77777777" w:rsidR="00243E7E" w:rsidRPr="00243E7E" w:rsidRDefault="00243E7E" w:rsidP="00243E7E">
            <w:pPr>
              <w:spacing w:line="240" w:lineRule="auto"/>
              <w:jc w:val="left"/>
              <w:rPr>
                <w:rFonts w:cs="Frankruhel"/>
                <w:sz w:val="24"/>
                <w:rtl/>
              </w:rPr>
            </w:pPr>
            <w:r>
              <w:rPr>
                <w:rFonts w:cs="Times New Roman"/>
                <w:sz w:val="24"/>
                <w:rtl/>
              </w:rPr>
              <w:t xml:space="preserve">סעיף 3 </w:t>
            </w:r>
          </w:p>
        </w:tc>
        <w:tc>
          <w:tcPr>
            <w:tcW w:w="5669" w:type="dxa"/>
          </w:tcPr>
          <w:p w14:paraId="44EA8F77" w14:textId="77777777" w:rsidR="00243E7E" w:rsidRPr="00243E7E" w:rsidRDefault="00243E7E" w:rsidP="00243E7E">
            <w:pPr>
              <w:spacing w:line="240" w:lineRule="auto"/>
              <w:jc w:val="left"/>
              <w:rPr>
                <w:rFonts w:cs="Frankruhel"/>
                <w:sz w:val="24"/>
                <w:rtl/>
              </w:rPr>
            </w:pPr>
            <w:r>
              <w:rPr>
                <w:rFonts w:cs="Times New Roman"/>
                <w:sz w:val="24"/>
                <w:rtl/>
              </w:rPr>
              <w:t>קביעת מועד מוקדם של חובת סימון</w:t>
            </w:r>
          </w:p>
        </w:tc>
        <w:tc>
          <w:tcPr>
            <w:tcW w:w="567" w:type="dxa"/>
          </w:tcPr>
          <w:p w14:paraId="758E9195" w14:textId="77777777" w:rsidR="00243E7E" w:rsidRPr="00243E7E" w:rsidRDefault="00243E7E" w:rsidP="00243E7E">
            <w:pPr>
              <w:spacing w:line="240" w:lineRule="auto"/>
              <w:jc w:val="left"/>
              <w:rPr>
                <w:rStyle w:val="Hyperlink"/>
                <w:rtl/>
              </w:rPr>
            </w:pPr>
            <w:hyperlink w:anchor="Seif6" w:tooltip="קביעת מועד מוקדם של חובת סימון" w:history="1">
              <w:r w:rsidRPr="00243E7E">
                <w:rPr>
                  <w:rStyle w:val="Hyperlink"/>
                </w:rPr>
                <w:t>Go</w:t>
              </w:r>
            </w:hyperlink>
          </w:p>
        </w:tc>
        <w:tc>
          <w:tcPr>
            <w:tcW w:w="850" w:type="dxa"/>
          </w:tcPr>
          <w:p w14:paraId="7973FAA9"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E7E" w:rsidRPr="00243E7E" w14:paraId="06E81930" w14:textId="77777777" w:rsidTr="00243E7E">
        <w:tblPrEx>
          <w:tblCellMar>
            <w:top w:w="0" w:type="dxa"/>
            <w:bottom w:w="0" w:type="dxa"/>
          </w:tblCellMar>
        </w:tblPrEx>
        <w:tc>
          <w:tcPr>
            <w:tcW w:w="1247" w:type="dxa"/>
          </w:tcPr>
          <w:p w14:paraId="27DB4929" w14:textId="77777777" w:rsidR="00243E7E" w:rsidRPr="00243E7E" w:rsidRDefault="00243E7E" w:rsidP="00243E7E">
            <w:pPr>
              <w:spacing w:line="240" w:lineRule="auto"/>
              <w:jc w:val="left"/>
              <w:rPr>
                <w:rFonts w:cs="Frankruhel"/>
                <w:sz w:val="24"/>
                <w:rtl/>
              </w:rPr>
            </w:pPr>
            <w:r>
              <w:rPr>
                <w:rFonts w:cs="Times New Roman"/>
                <w:sz w:val="24"/>
                <w:rtl/>
              </w:rPr>
              <w:t xml:space="preserve">סעיף 4 </w:t>
            </w:r>
          </w:p>
        </w:tc>
        <w:tc>
          <w:tcPr>
            <w:tcW w:w="5669" w:type="dxa"/>
          </w:tcPr>
          <w:p w14:paraId="22927BF1" w14:textId="77777777" w:rsidR="00243E7E" w:rsidRPr="00243E7E" w:rsidRDefault="00243E7E" w:rsidP="00243E7E">
            <w:pPr>
              <w:spacing w:line="240" w:lineRule="auto"/>
              <w:jc w:val="left"/>
              <w:rPr>
                <w:rFonts w:cs="Frankruhel"/>
                <w:sz w:val="24"/>
                <w:rtl/>
              </w:rPr>
            </w:pPr>
            <w:r>
              <w:rPr>
                <w:rFonts w:cs="Times New Roman"/>
                <w:sz w:val="24"/>
                <w:rtl/>
              </w:rPr>
              <w:t>סימון לפני מועד כניסה לתוקף של הוראת סימון</w:t>
            </w:r>
          </w:p>
        </w:tc>
        <w:tc>
          <w:tcPr>
            <w:tcW w:w="567" w:type="dxa"/>
          </w:tcPr>
          <w:p w14:paraId="68A9A26B" w14:textId="77777777" w:rsidR="00243E7E" w:rsidRPr="00243E7E" w:rsidRDefault="00243E7E" w:rsidP="00243E7E">
            <w:pPr>
              <w:spacing w:line="240" w:lineRule="auto"/>
              <w:jc w:val="left"/>
              <w:rPr>
                <w:rStyle w:val="Hyperlink"/>
                <w:rtl/>
              </w:rPr>
            </w:pPr>
            <w:hyperlink w:anchor="Seif7" w:tooltip="סימון לפני מועד כניסה לתוקף של הוראת סימון" w:history="1">
              <w:r w:rsidRPr="00243E7E">
                <w:rPr>
                  <w:rStyle w:val="Hyperlink"/>
                </w:rPr>
                <w:t>Go</w:t>
              </w:r>
            </w:hyperlink>
          </w:p>
        </w:tc>
        <w:tc>
          <w:tcPr>
            <w:tcW w:w="850" w:type="dxa"/>
          </w:tcPr>
          <w:p w14:paraId="4EC8C2DB"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E7E" w:rsidRPr="00243E7E" w14:paraId="75F4E2AE" w14:textId="77777777" w:rsidTr="00243E7E">
        <w:tblPrEx>
          <w:tblCellMar>
            <w:top w:w="0" w:type="dxa"/>
            <w:bottom w:w="0" w:type="dxa"/>
          </w:tblCellMar>
        </w:tblPrEx>
        <w:tc>
          <w:tcPr>
            <w:tcW w:w="1247" w:type="dxa"/>
          </w:tcPr>
          <w:p w14:paraId="111B00CF" w14:textId="77777777" w:rsidR="00243E7E" w:rsidRPr="00243E7E" w:rsidRDefault="00243E7E" w:rsidP="00243E7E">
            <w:pPr>
              <w:spacing w:line="240" w:lineRule="auto"/>
              <w:jc w:val="left"/>
              <w:rPr>
                <w:rFonts w:cs="Frankruhel"/>
                <w:sz w:val="24"/>
                <w:rtl/>
              </w:rPr>
            </w:pPr>
            <w:r>
              <w:rPr>
                <w:rFonts w:cs="Times New Roman"/>
                <w:sz w:val="24"/>
                <w:rtl/>
              </w:rPr>
              <w:t xml:space="preserve">סעיף 5 </w:t>
            </w:r>
          </w:p>
        </w:tc>
        <w:tc>
          <w:tcPr>
            <w:tcW w:w="5669" w:type="dxa"/>
          </w:tcPr>
          <w:p w14:paraId="53FACBC8" w14:textId="77777777" w:rsidR="00243E7E" w:rsidRPr="00243E7E" w:rsidRDefault="00243E7E" w:rsidP="00243E7E">
            <w:pPr>
              <w:spacing w:line="240" w:lineRule="auto"/>
              <w:jc w:val="left"/>
              <w:rPr>
                <w:rFonts w:cs="Frankruhel"/>
                <w:sz w:val="24"/>
                <w:rtl/>
              </w:rPr>
            </w:pPr>
            <w:r>
              <w:rPr>
                <w:rFonts w:cs="Times New Roman"/>
                <w:sz w:val="24"/>
                <w:rtl/>
              </w:rPr>
              <w:t>סייגים לתחולה</w:t>
            </w:r>
          </w:p>
        </w:tc>
        <w:tc>
          <w:tcPr>
            <w:tcW w:w="567" w:type="dxa"/>
          </w:tcPr>
          <w:p w14:paraId="5768958A" w14:textId="77777777" w:rsidR="00243E7E" w:rsidRPr="00243E7E" w:rsidRDefault="00243E7E" w:rsidP="00243E7E">
            <w:pPr>
              <w:spacing w:line="240" w:lineRule="auto"/>
              <w:jc w:val="left"/>
              <w:rPr>
                <w:rStyle w:val="Hyperlink"/>
                <w:rtl/>
              </w:rPr>
            </w:pPr>
            <w:hyperlink w:anchor="Seif8" w:tooltip="סייגים לתחולה" w:history="1">
              <w:r w:rsidRPr="00243E7E">
                <w:rPr>
                  <w:rStyle w:val="Hyperlink"/>
                </w:rPr>
                <w:t>Go</w:t>
              </w:r>
            </w:hyperlink>
          </w:p>
        </w:tc>
        <w:tc>
          <w:tcPr>
            <w:tcW w:w="850" w:type="dxa"/>
          </w:tcPr>
          <w:p w14:paraId="623DBFD3"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E7E" w:rsidRPr="00243E7E" w14:paraId="3CD16827" w14:textId="77777777" w:rsidTr="00243E7E">
        <w:tblPrEx>
          <w:tblCellMar>
            <w:top w:w="0" w:type="dxa"/>
            <w:bottom w:w="0" w:type="dxa"/>
          </w:tblCellMar>
        </w:tblPrEx>
        <w:tc>
          <w:tcPr>
            <w:tcW w:w="1247" w:type="dxa"/>
          </w:tcPr>
          <w:p w14:paraId="4EA93608" w14:textId="77777777" w:rsidR="00243E7E" w:rsidRPr="00243E7E" w:rsidRDefault="00243E7E" w:rsidP="00243E7E">
            <w:pPr>
              <w:spacing w:line="240" w:lineRule="auto"/>
              <w:jc w:val="left"/>
              <w:rPr>
                <w:rFonts w:cs="Frankruhel"/>
                <w:sz w:val="24"/>
                <w:rtl/>
              </w:rPr>
            </w:pPr>
            <w:r>
              <w:rPr>
                <w:rFonts w:cs="Times New Roman"/>
                <w:sz w:val="24"/>
                <w:rtl/>
              </w:rPr>
              <w:t xml:space="preserve">סעיף 6 </w:t>
            </w:r>
          </w:p>
        </w:tc>
        <w:tc>
          <w:tcPr>
            <w:tcW w:w="5669" w:type="dxa"/>
          </w:tcPr>
          <w:p w14:paraId="4C8A9E75" w14:textId="77777777" w:rsidR="00243E7E" w:rsidRPr="00243E7E" w:rsidRDefault="00243E7E" w:rsidP="00243E7E">
            <w:pPr>
              <w:spacing w:line="240" w:lineRule="auto"/>
              <w:jc w:val="left"/>
              <w:rPr>
                <w:rFonts w:cs="Frankruhel"/>
                <w:sz w:val="24"/>
                <w:rtl/>
              </w:rPr>
            </w:pPr>
            <w:r>
              <w:rPr>
                <w:rFonts w:cs="Times New Roman"/>
                <w:sz w:val="24"/>
                <w:rtl/>
              </w:rPr>
              <w:t>פרסום באינטרנט של הוראת סימון</w:t>
            </w:r>
          </w:p>
        </w:tc>
        <w:tc>
          <w:tcPr>
            <w:tcW w:w="567" w:type="dxa"/>
          </w:tcPr>
          <w:p w14:paraId="7CEDC844" w14:textId="77777777" w:rsidR="00243E7E" w:rsidRPr="00243E7E" w:rsidRDefault="00243E7E" w:rsidP="00243E7E">
            <w:pPr>
              <w:spacing w:line="240" w:lineRule="auto"/>
              <w:jc w:val="left"/>
              <w:rPr>
                <w:rStyle w:val="Hyperlink"/>
                <w:rtl/>
              </w:rPr>
            </w:pPr>
            <w:hyperlink w:anchor="Seif9" w:tooltip="פרסום באינטרנט של הוראת סימון" w:history="1">
              <w:r w:rsidRPr="00243E7E">
                <w:rPr>
                  <w:rStyle w:val="Hyperlink"/>
                </w:rPr>
                <w:t>Go</w:t>
              </w:r>
            </w:hyperlink>
          </w:p>
        </w:tc>
        <w:tc>
          <w:tcPr>
            <w:tcW w:w="850" w:type="dxa"/>
          </w:tcPr>
          <w:p w14:paraId="4928C9C5"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3E7E" w:rsidRPr="00243E7E" w14:paraId="3B9B5A9C" w14:textId="77777777" w:rsidTr="00243E7E">
        <w:tblPrEx>
          <w:tblCellMar>
            <w:top w:w="0" w:type="dxa"/>
            <w:bottom w:w="0" w:type="dxa"/>
          </w:tblCellMar>
        </w:tblPrEx>
        <w:tc>
          <w:tcPr>
            <w:tcW w:w="1247" w:type="dxa"/>
          </w:tcPr>
          <w:p w14:paraId="489574FD" w14:textId="77777777" w:rsidR="00243E7E" w:rsidRPr="00243E7E" w:rsidRDefault="00243E7E" w:rsidP="00243E7E">
            <w:pPr>
              <w:spacing w:line="240" w:lineRule="auto"/>
              <w:jc w:val="left"/>
              <w:rPr>
                <w:rFonts w:cs="Frankruhel"/>
                <w:sz w:val="24"/>
                <w:rtl/>
              </w:rPr>
            </w:pPr>
            <w:r>
              <w:rPr>
                <w:rFonts w:cs="Times New Roman"/>
                <w:sz w:val="24"/>
                <w:rtl/>
              </w:rPr>
              <w:t xml:space="preserve">סעיף 7 </w:t>
            </w:r>
          </w:p>
        </w:tc>
        <w:tc>
          <w:tcPr>
            <w:tcW w:w="5669" w:type="dxa"/>
          </w:tcPr>
          <w:p w14:paraId="28B5D911" w14:textId="77777777" w:rsidR="00243E7E" w:rsidRPr="00243E7E" w:rsidRDefault="00243E7E" w:rsidP="00243E7E">
            <w:pPr>
              <w:spacing w:line="240" w:lineRule="auto"/>
              <w:jc w:val="left"/>
              <w:rPr>
                <w:rFonts w:cs="Frankruhel"/>
                <w:sz w:val="24"/>
                <w:rtl/>
              </w:rPr>
            </w:pPr>
            <w:r>
              <w:rPr>
                <w:rFonts w:cs="Times New Roman"/>
                <w:sz w:val="24"/>
                <w:rtl/>
              </w:rPr>
              <w:t>ועדה מייעצת</w:t>
            </w:r>
          </w:p>
        </w:tc>
        <w:tc>
          <w:tcPr>
            <w:tcW w:w="567" w:type="dxa"/>
          </w:tcPr>
          <w:p w14:paraId="63551BC5" w14:textId="77777777" w:rsidR="00243E7E" w:rsidRPr="00243E7E" w:rsidRDefault="00243E7E" w:rsidP="00243E7E">
            <w:pPr>
              <w:spacing w:line="240" w:lineRule="auto"/>
              <w:jc w:val="left"/>
              <w:rPr>
                <w:rStyle w:val="Hyperlink"/>
                <w:rtl/>
              </w:rPr>
            </w:pPr>
            <w:hyperlink w:anchor="Seif1" w:tooltip="ועדה מייעצת" w:history="1">
              <w:r w:rsidRPr="00243E7E">
                <w:rPr>
                  <w:rStyle w:val="Hyperlink"/>
                </w:rPr>
                <w:t>Go</w:t>
              </w:r>
            </w:hyperlink>
          </w:p>
        </w:tc>
        <w:tc>
          <w:tcPr>
            <w:tcW w:w="850" w:type="dxa"/>
          </w:tcPr>
          <w:p w14:paraId="5317300E"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3E7E" w:rsidRPr="00243E7E" w14:paraId="2E9E73AC" w14:textId="77777777" w:rsidTr="00243E7E">
        <w:tblPrEx>
          <w:tblCellMar>
            <w:top w:w="0" w:type="dxa"/>
            <w:bottom w:w="0" w:type="dxa"/>
          </w:tblCellMar>
        </w:tblPrEx>
        <w:tc>
          <w:tcPr>
            <w:tcW w:w="1247" w:type="dxa"/>
          </w:tcPr>
          <w:p w14:paraId="51EFDE20" w14:textId="77777777" w:rsidR="00243E7E" w:rsidRPr="00243E7E" w:rsidRDefault="00243E7E" w:rsidP="00243E7E">
            <w:pPr>
              <w:spacing w:line="240" w:lineRule="auto"/>
              <w:jc w:val="left"/>
              <w:rPr>
                <w:rFonts w:cs="Frankruhel"/>
                <w:sz w:val="24"/>
                <w:rtl/>
              </w:rPr>
            </w:pPr>
            <w:r>
              <w:rPr>
                <w:rFonts w:cs="Times New Roman"/>
                <w:sz w:val="24"/>
                <w:rtl/>
              </w:rPr>
              <w:t xml:space="preserve">סעיף 8 </w:t>
            </w:r>
          </w:p>
        </w:tc>
        <w:tc>
          <w:tcPr>
            <w:tcW w:w="5669" w:type="dxa"/>
          </w:tcPr>
          <w:p w14:paraId="7A294817" w14:textId="77777777" w:rsidR="00243E7E" w:rsidRPr="00243E7E" w:rsidRDefault="00243E7E" w:rsidP="00243E7E">
            <w:pPr>
              <w:spacing w:line="240" w:lineRule="auto"/>
              <w:jc w:val="left"/>
              <w:rPr>
                <w:rFonts w:cs="Frankruhel"/>
                <w:sz w:val="24"/>
                <w:rtl/>
              </w:rPr>
            </w:pPr>
            <w:r>
              <w:rPr>
                <w:rFonts w:cs="Times New Roman"/>
                <w:sz w:val="24"/>
                <w:rtl/>
              </w:rPr>
              <w:t>תפקידי הוועדה המייעצת</w:t>
            </w:r>
          </w:p>
        </w:tc>
        <w:tc>
          <w:tcPr>
            <w:tcW w:w="567" w:type="dxa"/>
          </w:tcPr>
          <w:p w14:paraId="1CBF8BB9" w14:textId="77777777" w:rsidR="00243E7E" w:rsidRPr="00243E7E" w:rsidRDefault="00243E7E" w:rsidP="00243E7E">
            <w:pPr>
              <w:spacing w:line="240" w:lineRule="auto"/>
              <w:jc w:val="left"/>
              <w:rPr>
                <w:rStyle w:val="Hyperlink"/>
                <w:rtl/>
              </w:rPr>
            </w:pPr>
            <w:hyperlink w:anchor="Seif2" w:tooltip="תפקידי הוועדה המייעצת" w:history="1">
              <w:r w:rsidRPr="00243E7E">
                <w:rPr>
                  <w:rStyle w:val="Hyperlink"/>
                </w:rPr>
                <w:t>Go</w:t>
              </w:r>
            </w:hyperlink>
          </w:p>
        </w:tc>
        <w:tc>
          <w:tcPr>
            <w:tcW w:w="850" w:type="dxa"/>
          </w:tcPr>
          <w:p w14:paraId="7B600B4D"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3E7E" w:rsidRPr="00243E7E" w14:paraId="71CEFD83" w14:textId="77777777" w:rsidTr="00243E7E">
        <w:tblPrEx>
          <w:tblCellMar>
            <w:top w:w="0" w:type="dxa"/>
            <w:bottom w:w="0" w:type="dxa"/>
          </w:tblCellMar>
        </w:tblPrEx>
        <w:tc>
          <w:tcPr>
            <w:tcW w:w="1247" w:type="dxa"/>
          </w:tcPr>
          <w:p w14:paraId="0FC85A24" w14:textId="77777777" w:rsidR="00243E7E" w:rsidRPr="00243E7E" w:rsidRDefault="00243E7E" w:rsidP="00243E7E">
            <w:pPr>
              <w:spacing w:line="240" w:lineRule="auto"/>
              <w:jc w:val="left"/>
              <w:rPr>
                <w:rFonts w:cs="Frankruhel"/>
                <w:sz w:val="24"/>
                <w:rtl/>
              </w:rPr>
            </w:pPr>
            <w:r>
              <w:rPr>
                <w:rFonts w:cs="Times New Roman"/>
                <w:sz w:val="24"/>
                <w:rtl/>
              </w:rPr>
              <w:t xml:space="preserve">סעיף 9 </w:t>
            </w:r>
          </w:p>
        </w:tc>
        <w:tc>
          <w:tcPr>
            <w:tcW w:w="5669" w:type="dxa"/>
          </w:tcPr>
          <w:p w14:paraId="1436C397" w14:textId="77777777" w:rsidR="00243E7E" w:rsidRPr="00243E7E" w:rsidRDefault="00243E7E" w:rsidP="00243E7E">
            <w:pPr>
              <w:spacing w:line="240" w:lineRule="auto"/>
              <w:jc w:val="left"/>
              <w:rPr>
                <w:rFonts w:cs="Frankruhel"/>
                <w:sz w:val="24"/>
                <w:rtl/>
              </w:rPr>
            </w:pPr>
            <w:r>
              <w:rPr>
                <w:rFonts w:cs="Times New Roman"/>
                <w:sz w:val="24"/>
                <w:rtl/>
              </w:rPr>
              <w:t>המלצת הוועדה המייעצת</w:t>
            </w:r>
          </w:p>
        </w:tc>
        <w:tc>
          <w:tcPr>
            <w:tcW w:w="567" w:type="dxa"/>
          </w:tcPr>
          <w:p w14:paraId="13FA274A" w14:textId="77777777" w:rsidR="00243E7E" w:rsidRPr="00243E7E" w:rsidRDefault="00243E7E" w:rsidP="00243E7E">
            <w:pPr>
              <w:spacing w:line="240" w:lineRule="auto"/>
              <w:jc w:val="left"/>
              <w:rPr>
                <w:rStyle w:val="Hyperlink"/>
                <w:rtl/>
              </w:rPr>
            </w:pPr>
            <w:hyperlink w:anchor="Seif3" w:tooltip="המלצת הוועדה המייעצת" w:history="1">
              <w:r w:rsidRPr="00243E7E">
                <w:rPr>
                  <w:rStyle w:val="Hyperlink"/>
                </w:rPr>
                <w:t>Go</w:t>
              </w:r>
            </w:hyperlink>
          </w:p>
        </w:tc>
        <w:tc>
          <w:tcPr>
            <w:tcW w:w="850" w:type="dxa"/>
          </w:tcPr>
          <w:p w14:paraId="7EC1F488"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3E7E" w:rsidRPr="00243E7E" w14:paraId="2CF3A41B" w14:textId="77777777" w:rsidTr="00243E7E">
        <w:tblPrEx>
          <w:tblCellMar>
            <w:top w:w="0" w:type="dxa"/>
            <w:bottom w:w="0" w:type="dxa"/>
          </w:tblCellMar>
        </w:tblPrEx>
        <w:tc>
          <w:tcPr>
            <w:tcW w:w="1247" w:type="dxa"/>
          </w:tcPr>
          <w:p w14:paraId="2CE09163" w14:textId="77777777" w:rsidR="00243E7E" w:rsidRPr="00243E7E" w:rsidRDefault="00243E7E" w:rsidP="00243E7E">
            <w:pPr>
              <w:spacing w:line="240" w:lineRule="auto"/>
              <w:jc w:val="left"/>
              <w:rPr>
                <w:rFonts w:cs="Frankruhel"/>
                <w:sz w:val="24"/>
                <w:rtl/>
              </w:rPr>
            </w:pPr>
            <w:r>
              <w:rPr>
                <w:rFonts w:cs="Times New Roman"/>
                <w:sz w:val="24"/>
                <w:rtl/>
              </w:rPr>
              <w:t xml:space="preserve">סעיף 10 </w:t>
            </w:r>
          </w:p>
        </w:tc>
        <w:tc>
          <w:tcPr>
            <w:tcW w:w="5669" w:type="dxa"/>
          </w:tcPr>
          <w:p w14:paraId="3E36541D" w14:textId="77777777" w:rsidR="00243E7E" w:rsidRPr="00243E7E" w:rsidRDefault="00243E7E" w:rsidP="00243E7E">
            <w:pPr>
              <w:spacing w:line="240" w:lineRule="auto"/>
              <w:jc w:val="left"/>
              <w:rPr>
                <w:rFonts w:cs="Frankruhel"/>
                <w:sz w:val="24"/>
                <w:rtl/>
              </w:rPr>
            </w:pPr>
            <w:r>
              <w:rPr>
                <w:rFonts w:cs="Times New Roman"/>
                <w:sz w:val="24"/>
                <w:rtl/>
              </w:rPr>
              <w:t>שיקולי הוועדה המייעצת לעניין קביעת מועד מוקדם של חובת סימון</w:t>
            </w:r>
          </w:p>
        </w:tc>
        <w:tc>
          <w:tcPr>
            <w:tcW w:w="567" w:type="dxa"/>
          </w:tcPr>
          <w:p w14:paraId="4545AB82" w14:textId="77777777" w:rsidR="00243E7E" w:rsidRPr="00243E7E" w:rsidRDefault="00243E7E" w:rsidP="00243E7E">
            <w:pPr>
              <w:spacing w:line="240" w:lineRule="auto"/>
              <w:jc w:val="left"/>
              <w:rPr>
                <w:rStyle w:val="Hyperlink"/>
                <w:rtl/>
              </w:rPr>
            </w:pPr>
            <w:hyperlink w:anchor="Seif10" w:tooltip="שיקולי הוועדה המייעצת לעניין קביעת מועד מוקדם של חובת סימון" w:history="1">
              <w:r w:rsidRPr="00243E7E">
                <w:rPr>
                  <w:rStyle w:val="Hyperlink"/>
                </w:rPr>
                <w:t>Go</w:t>
              </w:r>
            </w:hyperlink>
          </w:p>
        </w:tc>
        <w:tc>
          <w:tcPr>
            <w:tcW w:w="850" w:type="dxa"/>
          </w:tcPr>
          <w:p w14:paraId="1CD1854D"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3E7E" w:rsidRPr="00243E7E" w14:paraId="1811B14E" w14:textId="77777777" w:rsidTr="00243E7E">
        <w:tblPrEx>
          <w:tblCellMar>
            <w:top w:w="0" w:type="dxa"/>
            <w:bottom w:w="0" w:type="dxa"/>
          </w:tblCellMar>
        </w:tblPrEx>
        <w:tc>
          <w:tcPr>
            <w:tcW w:w="1247" w:type="dxa"/>
          </w:tcPr>
          <w:p w14:paraId="19EB5E14" w14:textId="77777777" w:rsidR="00243E7E" w:rsidRPr="00243E7E" w:rsidRDefault="00243E7E" w:rsidP="00243E7E">
            <w:pPr>
              <w:spacing w:line="240" w:lineRule="auto"/>
              <w:jc w:val="left"/>
              <w:rPr>
                <w:rFonts w:cs="Frankruhel"/>
                <w:sz w:val="24"/>
                <w:rtl/>
              </w:rPr>
            </w:pPr>
            <w:r>
              <w:rPr>
                <w:rFonts w:cs="Times New Roman"/>
                <w:sz w:val="24"/>
                <w:rtl/>
              </w:rPr>
              <w:t xml:space="preserve">סעיף 11 </w:t>
            </w:r>
          </w:p>
        </w:tc>
        <w:tc>
          <w:tcPr>
            <w:tcW w:w="5669" w:type="dxa"/>
          </w:tcPr>
          <w:p w14:paraId="7584D691" w14:textId="77777777" w:rsidR="00243E7E" w:rsidRPr="00243E7E" w:rsidRDefault="00243E7E" w:rsidP="00243E7E">
            <w:pPr>
              <w:spacing w:line="240" w:lineRule="auto"/>
              <w:jc w:val="left"/>
              <w:rPr>
                <w:rFonts w:cs="Frankruhel"/>
                <w:sz w:val="24"/>
                <w:rtl/>
              </w:rPr>
            </w:pPr>
            <w:r>
              <w:rPr>
                <w:rFonts w:cs="Times New Roman"/>
                <w:sz w:val="24"/>
                <w:rtl/>
              </w:rPr>
              <w:t>סדרי העבודה של הוועדה המייעצת</w:t>
            </w:r>
          </w:p>
        </w:tc>
        <w:tc>
          <w:tcPr>
            <w:tcW w:w="567" w:type="dxa"/>
          </w:tcPr>
          <w:p w14:paraId="04286673" w14:textId="77777777" w:rsidR="00243E7E" w:rsidRPr="00243E7E" w:rsidRDefault="00243E7E" w:rsidP="00243E7E">
            <w:pPr>
              <w:spacing w:line="240" w:lineRule="auto"/>
              <w:jc w:val="left"/>
              <w:rPr>
                <w:rStyle w:val="Hyperlink"/>
                <w:rtl/>
              </w:rPr>
            </w:pPr>
            <w:hyperlink w:anchor="Seif11" w:tooltip="סדרי העבודה של הוועדה המייעצת" w:history="1">
              <w:r w:rsidRPr="00243E7E">
                <w:rPr>
                  <w:rStyle w:val="Hyperlink"/>
                </w:rPr>
                <w:t>Go</w:t>
              </w:r>
            </w:hyperlink>
          </w:p>
        </w:tc>
        <w:tc>
          <w:tcPr>
            <w:tcW w:w="850" w:type="dxa"/>
          </w:tcPr>
          <w:p w14:paraId="1CEF014D"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3E7E" w:rsidRPr="00243E7E" w14:paraId="5EA0EFB7" w14:textId="77777777" w:rsidTr="00243E7E">
        <w:tblPrEx>
          <w:tblCellMar>
            <w:top w:w="0" w:type="dxa"/>
            <w:bottom w:w="0" w:type="dxa"/>
          </w:tblCellMar>
        </w:tblPrEx>
        <w:tc>
          <w:tcPr>
            <w:tcW w:w="1247" w:type="dxa"/>
          </w:tcPr>
          <w:p w14:paraId="79CBB800" w14:textId="77777777" w:rsidR="00243E7E" w:rsidRPr="00243E7E" w:rsidRDefault="00243E7E" w:rsidP="00243E7E">
            <w:pPr>
              <w:spacing w:line="240" w:lineRule="auto"/>
              <w:jc w:val="left"/>
              <w:rPr>
                <w:rFonts w:cs="Frankruhel"/>
                <w:sz w:val="24"/>
                <w:rtl/>
              </w:rPr>
            </w:pPr>
            <w:r>
              <w:rPr>
                <w:rFonts w:cs="Times New Roman"/>
                <w:sz w:val="24"/>
                <w:rtl/>
              </w:rPr>
              <w:t xml:space="preserve">סעיף 12 </w:t>
            </w:r>
          </w:p>
        </w:tc>
        <w:tc>
          <w:tcPr>
            <w:tcW w:w="5669" w:type="dxa"/>
          </w:tcPr>
          <w:p w14:paraId="175EE0D2" w14:textId="77777777" w:rsidR="00243E7E" w:rsidRPr="00243E7E" w:rsidRDefault="00243E7E" w:rsidP="00243E7E">
            <w:pPr>
              <w:spacing w:line="240" w:lineRule="auto"/>
              <w:jc w:val="left"/>
              <w:rPr>
                <w:rFonts w:cs="Frankruhel"/>
                <w:sz w:val="24"/>
                <w:rtl/>
              </w:rPr>
            </w:pPr>
            <w:r>
              <w:rPr>
                <w:rFonts w:cs="Times New Roman"/>
                <w:sz w:val="24"/>
                <w:rtl/>
              </w:rPr>
              <w:t>ישיבות הוועדה המייעצת</w:t>
            </w:r>
          </w:p>
        </w:tc>
        <w:tc>
          <w:tcPr>
            <w:tcW w:w="567" w:type="dxa"/>
          </w:tcPr>
          <w:p w14:paraId="2DE3A5D7" w14:textId="77777777" w:rsidR="00243E7E" w:rsidRPr="00243E7E" w:rsidRDefault="00243E7E" w:rsidP="00243E7E">
            <w:pPr>
              <w:spacing w:line="240" w:lineRule="auto"/>
              <w:jc w:val="left"/>
              <w:rPr>
                <w:rStyle w:val="Hyperlink"/>
                <w:rtl/>
              </w:rPr>
            </w:pPr>
            <w:hyperlink w:anchor="Seif12" w:tooltip="ישיבות הוועדה המייעצת" w:history="1">
              <w:r w:rsidRPr="00243E7E">
                <w:rPr>
                  <w:rStyle w:val="Hyperlink"/>
                </w:rPr>
                <w:t>Go</w:t>
              </w:r>
            </w:hyperlink>
          </w:p>
        </w:tc>
        <w:tc>
          <w:tcPr>
            <w:tcW w:w="850" w:type="dxa"/>
          </w:tcPr>
          <w:p w14:paraId="115E02DF"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3E7E" w:rsidRPr="00243E7E" w14:paraId="250B31BA" w14:textId="77777777" w:rsidTr="00243E7E">
        <w:tblPrEx>
          <w:tblCellMar>
            <w:top w:w="0" w:type="dxa"/>
            <w:bottom w:w="0" w:type="dxa"/>
          </w:tblCellMar>
        </w:tblPrEx>
        <w:tc>
          <w:tcPr>
            <w:tcW w:w="1247" w:type="dxa"/>
          </w:tcPr>
          <w:p w14:paraId="5F191CFD" w14:textId="77777777" w:rsidR="00243E7E" w:rsidRPr="00243E7E" w:rsidRDefault="00243E7E" w:rsidP="00243E7E">
            <w:pPr>
              <w:spacing w:line="240" w:lineRule="auto"/>
              <w:jc w:val="left"/>
              <w:rPr>
                <w:rFonts w:cs="Frankruhel"/>
                <w:sz w:val="24"/>
                <w:rtl/>
              </w:rPr>
            </w:pPr>
            <w:r>
              <w:rPr>
                <w:rFonts w:cs="Times New Roman"/>
                <w:sz w:val="24"/>
                <w:rtl/>
              </w:rPr>
              <w:t xml:space="preserve">סעיף 13 </w:t>
            </w:r>
          </w:p>
        </w:tc>
        <w:tc>
          <w:tcPr>
            <w:tcW w:w="5669" w:type="dxa"/>
          </w:tcPr>
          <w:p w14:paraId="617A0A1F" w14:textId="77777777" w:rsidR="00243E7E" w:rsidRPr="00243E7E" w:rsidRDefault="00243E7E" w:rsidP="00243E7E">
            <w:pPr>
              <w:spacing w:line="240" w:lineRule="auto"/>
              <w:jc w:val="left"/>
              <w:rPr>
                <w:rFonts w:cs="Frankruhel"/>
                <w:sz w:val="24"/>
                <w:rtl/>
              </w:rPr>
            </w:pPr>
            <w:r>
              <w:rPr>
                <w:rFonts w:cs="Times New Roman"/>
                <w:sz w:val="24"/>
                <w:rtl/>
              </w:rPr>
              <w:t>ניגוד עניינים</w:t>
            </w:r>
          </w:p>
        </w:tc>
        <w:tc>
          <w:tcPr>
            <w:tcW w:w="567" w:type="dxa"/>
          </w:tcPr>
          <w:p w14:paraId="21E33CE7" w14:textId="77777777" w:rsidR="00243E7E" w:rsidRPr="00243E7E" w:rsidRDefault="00243E7E" w:rsidP="00243E7E">
            <w:pPr>
              <w:spacing w:line="240" w:lineRule="auto"/>
              <w:jc w:val="left"/>
              <w:rPr>
                <w:rStyle w:val="Hyperlink"/>
                <w:rtl/>
              </w:rPr>
            </w:pPr>
            <w:hyperlink w:anchor="Seif13" w:tooltip="ניגוד עניינים" w:history="1">
              <w:r w:rsidRPr="00243E7E">
                <w:rPr>
                  <w:rStyle w:val="Hyperlink"/>
                </w:rPr>
                <w:t>Go</w:t>
              </w:r>
            </w:hyperlink>
          </w:p>
        </w:tc>
        <w:tc>
          <w:tcPr>
            <w:tcW w:w="850" w:type="dxa"/>
          </w:tcPr>
          <w:p w14:paraId="25A42424"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43E7E" w:rsidRPr="00243E7E" w14:paraId="37808503" w14:textId="77777777" w:rsidTr="00243E7E">
        <w:tblPrEx>
          <w:tblCellMar>
            <w:top w:w="0" w:type="dxa"/>
            <w:bottom w:w="0" w:type="dxa"/>
          </w:tblCellMar>
        </w:tblPrEx>
        <w:tc>
          <w:tcPr>
            <w:tcW w:w="1247" w:type="dxa"/>
          </w:tcPr>
          <w:p w14:paraId="397F6C56" w14:textId="77777777" w:rsidR="00243E7E" w:rsidRPr="00243E7E" w:rsidRDefault="00243E7E" w:rsidP="00243E7E">
            <w:pPr>
              <w:spacing w:line="240" w:lineRule="auto"/>
              <w:jc w:val="left"/>
              <w:rPr>
                <w:rFonts w:cs="Frankruhel"/>
                <w:sz w:val="24"/>
                <w:rtl/>
              </w:rPr>
            </w:pPr>
            <w:r>
              <w:rPr>
                <w:rFonts w:cs="Times New Roman"/>
                <w:sz w:val="24"/>
                <w:rtl/>
              </w:rPr>
              <w:t xml:space="preserve">סעיף 14 </w:t>
            </w:r>
          </w:p>
        </w:tc>
        <w:tc>
          <w:tcPr>
            <w:tcW w:w="5669" w:type="dxa"/>
          </w:tcPr>
          <w:p w14:paraId="686BE8D2" w14:textId="77777777" w:rsidR="00243E7E" w:rsidRPr="00243E7E" w:rsidRDefault="00243E7E" w:rsidP="00243E7E">
            <w:pPr>
              <w:spacing w:line="240" w:lineRule="auto"/>
              <w:jc w:val="left"/>
              <w:rPr>
                <w:rFonts w:cs="Frankruhel"/>
                <w:sz w:val="24"/>
                <w:rtl/>
              </w:rPr>
            </w:pPr>
            <w:r>
              <w:rPr>
                <w:rFonts w:cs="Times New Roman"/>
                <w:sz w:val="24"/>
                <w:rtl/>
              </w:rPr>
              <w:t>הפסקת כהנה והשעיה</w:t>
            </w:r>
          </w:p>
        </w:tc>
        <w:tc>
          <w:tcPr>
            <w:tcW w:w="567" w:type="dxa"/>
          </w:tcPr>
          <w:p w14:paraId="0ECFA85E" w14:textId="77777777" w:rsidR="00243E7E" w:rsidRPr="00243E7E" w:rsidRDefault="00243E7E" w:rsidP="00243E7E">
            <w:pPr>
              <w:spacing w:line="240" w:lineRule="auto"/>
              <w:jc w:val="left"/>
              <w:rPr>
                <w:rStyle w:val="Hyperlink"/>
                <w:rtl/>
              </w:rPr>
            </w:pPr>
            <w:hyperlink w:anchor="Seif14" w:tooltip="הפסקת כהנה והשעיה" w:history="1">
              <w:r w:rsidRPr="00243E7E">
                <w:rPr>
                  <w:rStyle w:val="Hyperlink"/>
                </w:rPr>
                <w:t>Go</w:t>
              </w:r>
            </w:hyperlink>
          </w:p>
        </w:tc>
        <w:tc>
          <w:tcPr>
            <w:tcW w:w="850" w:type="dxa"/>
          </w:tcPr>
          <w:p w14:paraId="4F7ADD16"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43E7E" w:rsidRPr="00243E7E" w14:paraId="30AA5881" w14:textId="77777777" w:rsidTr="00243E7E">
        <w:tblPrEx>
          <w:tblCellMar>
            <w:top w:w="0" w:type="dxa"/>
            <w:bottom w:w="0" w:type="dxa"/>
          </w:tblCellMar>
        </w:tblPrEx>
        <w:tc>
          <w:tcPr>
            <w:tcW w:w="1247" w:type="dxa"/>
          </w:tcPr>
          <w:p w14:paraId="587B8CC5" w14:textId="77777777" w:rsidR="00243E7E" w:rsidRPr="00243E7E" w:rsidRDefault="00243E7E" w:rsidP="00243E7E">
            <w:pPr>
              <w:spacing w:line="240" w:lineRule="auto"/>
              <w:jc w:val="left"/>
              <w:rPr>
                <w:rFonts w:cs="Frankruhel"/>
                <w:sz w:val="24"/>
                <w:rtl/>
              </w:rPr>
            </w:pPr>
            <w:r>
              <w:rPr>
                <w:rFonts w:cs="Times New Roman"/>
                <w:sz w:val="24"/>
                <w:rtl/>
              </w:rPr>
              <w:t xml:space="preserve">סעיף 15 </w:t>
            </w:r>
          </w:p>
        </w:tc>
        <w:tc>
          <w:tcPr>
            <w:tcW w:w="5669" w:type="dxa"/>
          </w:tcPr>
          <w:p w14:paraId="16D442C0" w14:textId="77777777" w:rsidR="00243E7E" w:rsidRPr="00243E7E" w:rsidRDefault="00243E7E" w:rsidP="00243E7E">
            <w:pPr>
              <w:spacing w:line="240" w:lineRule="auto"/>
              <w:jc w:val="left"/>
              <w:rPr>
                <w:rFonts w:cs="Frankruhel"/>
                <w:sz w:val="24"/>
                <w:rtl/>
              </w:rPr>
            </w:pPr>
            <w:r>
              <w:rPr>
                <w:rFonts w:cs="Times New Roman"/>
                <w:sz w:val="24"/>
                <w:rtl/>
              </w:rPr>
              <w:t>תוקף פעולות</w:t>
            </w:r>
          </w:p>
        </w:tc>
        <w:tc>
          <w:tcPr>
            <w:tcW w:w="567" w:type="dxa"/>
          </w:tcPr>
          <w:p w14:paraId="681189C7" w14:textId="77777777" w:rsidR="00243E7E" w:rsidRPr="00243E7E" w:rsidRDefault="00243E7E" w:rsidP="00243E7E">
            <w:pPr>
              <w:spacing w:line="240" w:lineRule="auto"/>
              <w:jc w:val="left"/>
              <w:rPr>
                <w:rStyle w:val="Hyperlink"/>
                <w:rtl/>
              </w:rPr>
            </w:pPr>
            <w:hyperlink w:anchor="Seif15" w:tooltip="תוקף פעולות" w:history="1">
              <w:r w:rsidRPr="00243E7E">
                <w:rPr>
                  <w:rStyle w:val="Hyperlink"/>
                </w:rPr>
                <w:t>Go</w:t>
              </w:r>
            </w:hyperlink>
          </w:p>
        </w:tc>
        <w:tc>
          <w:tcPr>
            <w:tcW w:w="850" w:type="dxa"/>
          </w:tcPr>
          <w:p w14:paraId="03DF82D2"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43E7E" w:rsidRPr="00243E7E" w14:paraId="6E5BD904" w14:textId="77777777" w:rsidTr="00243E7E">
        <w:tblPrEx>
          <w:tblCellMar>
            <w:top w:w="0" w:type="dxa"/>
            <w:bottom w:w="0" w:type="dxa"/>
          </w:tblCellMar>
        </w:tblPrEx>
        <w:tc>
          <w:tcPr>
            <w:tcW w:w="1247" w:type="dxa"/>
          </w:tcPr>
          <w:p w14:paraId="121218C5" w14:textId="77777777" w:rsidR="00243E7E" w:rsidRPr="00243E7E" w:rsidRDefault="00243E7E" w:rsidP="00243E7E">
            <w:pPr>
              <w:spacing w:line="240" w:lineRule="auto"/>
              <w:jc w:val="left"/>
              <w:rPr>
                <w:rFonts w:cs="Frankruhel"/>
                <w:sz w:val="24"/>
                <w:rtl/>
              </w:rPr>
            </w:pPr>
            <w:r>
              <w:rPr>
                <w:rFonts w:cs="Times New Roman"/>
                <w:sz w:val="24"/>
                <w:rtl/>
              </w:rPr>
              <w:t xml:space="preserve">סעיף 16 </w:t>
            </w:r>
          </w:p>
        </w:tc>
        <w:tc>
          <w:tcPr>
            <w:tcW w:w="5669" w:type="dxa"/>
          </w:tcPr>
          <w:p w14:paraId="5B4CF11E" w14:textId="77777777" w:rsidR="00243E7E" w:rsidRPr="00243E7E" w:rsidRDefault="00243E7E" w:rsidP="00243E7E">
            <w:pPr>
              <w:spacing w:line="240" w:lineRule="auto"/>
              <w:jc w:val="left"/>
              <w:rPr>
                <w:rFonts w:cs="Frankruhel"/>
                <w:sz w:val="24"/>
                <w:rtl/>
              </w:rPr>
            </w:pPr>
            <w:r>
              <w:rPr>
                <w:rFonts w:cs="Times New Roman"/>
                <w:sz w:val="24"/>
                <w:rtl/>
              </w:rPr>
              <w:t>החלת דינים</w:t>
            </w:r>
          </w:p>
        </w:tc>
        <w:tc>
          <w:tcPr>
            <w:tcW w:w="567" w:type="dxa"/>
          </w:tcPr>
          <w:p w14:paraId="31CAE48A" w14:textId="77777777" w:rsidR="00243E7E" w:rsidRPr="00243E7E" w:rsidRDefault="00243E7E" w:rsidP="00243E7E">
            <w:pPr>
              <w:spacing w:line="240" w:lineRule="auto"/>
              <w:jc w:val="left"/>
              <w:rPr>
                <w:rStyle w:val="Hyperlink"/>
                <w:rtl/>
              </w:rPr>
            </w:pPr>
            <w:hyperlink w:anchor="Seif16" w:tooltip="החלת דינים" w:history="1">
              <w:r w:rsidRPr="00243E7E">
                <w:rPr>
                  <w:rStyle w:val="Hyperlink"/>
                </w:rPr>
                <w:t>Go</w:t>
              </w:r>
            </w:hyperlink>
          </w:p>
        </w:tc>
        <w:tc>
          <w:tcPr>
            <w:tcW w:w="850" w:type="dxa"/>
          </w:tcPr>
          <w:p w14:paraId="4FAE5767"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43E7E" w:rsidRPr="00243E7E" w14:paraId="7EFF8A23" w14:textId="77777777" w:rsidTr="00243E7E">
        <w:tblPrEx>
          <w:tblCellMar>
            <w:top w:w="0" w:type="dxa"/>
            <w:bottom w:w="0" w:type="dxa"/>
          </w:tblCellMar>
        </w:tblPrEx>
        <w:tc>
          <w:tcPr>
            <w:tcW w:w="1247" w:type="dxa"/>
          </w:tcPr>
          <w:p w14:paraId="54A15D0C" w14:textId="77777777" w:rsidR="00243E7E" w:rsidRPr="00243E7E" w:rsidRDefault="00243E7E" w:rsidP="00243E7E">
            <w:pPr>
              <w:spacing w:line="240" w:lineRule="auto"/>
              <w:jc w:val="left"/>
              <w:rPr>
                <w:rFonts w:cs="Frankruhel"/>
                <w:sz w:val="24"/>
                <w:rtl/>
              </w:rPr>
            </w:pPr>
            <w:r>
              <w:rPr>
                <w:rFonts w:cs="Times New Roman"/>
                <w:sz w:val="24"/>
                <w:rtl/>
              </w:rPr>
              <w:t xml:space="preserve">סעיף 17 </w:t>
            </w:r>
          </w:p>
        </w:tc>
        <w:tc>
          <w:tcPr>
            <w:tcW w:w="5669" w:type="dxa"/>
          </w:tcPr>
          <w:p w14:paraId="4D7B7318" w14:textId="77777777" w:rsidR="00243E7E" w:rsidRPr="00243E7E" w:rsidRDefault="00243E7E" w:rsidP="00243E7E">
            <w:pPr>
              <w:spacing w:line="240" w:lineRule="auto"/>
              <w:jc w:val="left"/>
              <w:rPr>
                <w:rFonts w:cs="Frankruhel"/>
                <w:sz w:val="24"/>
                <w:rtl/>
              </w:rPr>
            </w:pPr>
            <w:r>
              <w:rPr>
                <w:rFonts w:cs="Times New Roman"/>
                <w:sz w:val="24"/>
                <w:rtl/>
              </w:rPr>
              <w:t>ביצוע ותקנות</w:t>
            </w:r>
          </w:p>
        </w:tc>
        <w:tc>
          <w:tcPr>
            <w:tcW w:w="567" w:type="dxa"/>
          </w:tcPr>
          <w:p w14:paraId="13FB427A" w14:textId="77777777" w:rsidR="00243E7E" w:rsidRPr="00243E7E" w:rsidRDefault="00243E7E" w:rsidP="00243E7E">
            <w:pPr>
              <w:spacing w:line="240" w:lineRule="auto"/>
              <w:jc w:val="left"/>
              <w:rPr>
                <w:rStyle w:val="Hyperlink"/>
                <w:rtl/>
              </w:rPr>
            </w:pPr>
            <w:hyperlink w:anchor="Seif17" w:tooltip="ביצוע ותקנות" w:history="1">
              <w:r w:rsidRPr="00243E7E">
                <w:rPr>
                  <w:rStyle w:val="Hyperlink"/>
                </w:rPr>
                <w:t>Go</w:t>
              </w:r>
            </w:hyperlink>
          </w:p>
        </w:tc>
        <w:tc>
          <w:tcPr>
            <w:tcW w:w="850" w:type="dxa"/>
          </w:tcPr>
          <w:p w14:paraId="2932053C"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43E7E" w:rsidRPr="00243E7E" w14:paraId="1A6A7902" w14:textId="77777777" w:rsidTr="00243E7E">
        <w:tblPrEx>
          <w:tblCellMar>
            <w:top w:w="0" w:type="dxa"/>
            <w:bottom w:w="0" w:type="dxa"/>
          </w:tblCellMar>
        </w:tblPrEx>
        <w:tc>
          <w:tcPr>
            <w:tcW w:w="1247" w:type="dxa"/>
          </w:tcPr>
          <w:p w14:paraId="2C635B86" w14:textId="77777777" w:rsidR="00243E7E" w:rsidRPr="00243E7E" w:rsidRDefault="00243E7E" w:rsidP="00243E7E">
            <w:pPr>
              <w:spacing w:line="240" w:lineRule="auto"/>
              <w:jc w:val="left"/>
              <w:rPr>
                <w:rFonts w:cs="Frankruhel"/>
                <w:sz w:val="24"/>
                <w:rtl/>
              </w:rPr>
            </w:pPr>
            <w:r>
              <w:rPr>
                <w:rFonts w:cs="Times New Roman"/>
                <w:sz w:val="24"/>
                <w:rtl/>
              </w:rPr>
              <w:t xml:space="preserve">סעיף 18 </w:t>
            </w:r>
          </w:p>
        </w:tc>
        <w:tc>
          <w:tcPr>
            <w:tcW w:w="5669" w:type="dxa"/>
          </w:tcPr>
          <w:p w14:paraId="7ABAF26D" w14:textId="77777777" w:rsidR="00243E7E" w:rsidRPr="00243E7E" w:rsidRDefault="00243E7E" w:rsidP="00243E7E">
            <w:pPr>
              <w:spacing w:line="240" w:lineRule="auto"/>
              <w:jc w:val="left"/>
              <w:rPr>
                <w:rFonts w:cs="Frankruhel"/>
                <w:sz w:val="24"/>
                <w:rtl/>
              </w:rPr>
            </w:pPr>
            <w:r>
              <w:rPr>
                <w:rFonts w:cs="Times New Roman"/>
                <w:sz w:val="24"/>
                <w:rtl/>
              </w:rPr>
              <w:t>תחילה ותחולה</w:t>
            </w:r>
          </w:p>
        </w:tc>
        <w:tc>
          <w:tcPr>
            <w:tcW w:w="567" w:type="dxa"/>
          </w:tcPr>
          <w:p w14:paraId="70F33C20" w14:textId="77777777" w:rsidR="00243E7E" w:rsidRPr="00243E7E" w:rsidRDefault="00243E7E" w:rsidP="00243E7E">
            <w:pPr>
              <w:spacing w:line="240" w:lineRule="auto"/>
              <w:jc w:val="left"/>
              <w:rPr>
                <w:rStyle w:val="Hyperlink"/>
                <w:rtl/>
              </w:rPr>
            </w:pPr>
            <w:hyperlink w:anchor="Seif18" w:tooltip="תחילה ותחולה" w:history="1">
              <w:r w:rsidRPr="00243E7E">
                <w:rPr>
                  <w:rStyle w:val="Hyperlink"/>
                </w:rPr>
                <w:t>Go</w:t>
              </w:r>
            </w:hyperlink>
          </w:p>
        </w:tc>
        <w:tc>
          <w:tcPr>
            <w:tcW w:w="850" w:type="dxa"/>
          </w:tcPr>
          <w:p w14:paraId="3E5693A2" w14:textId="77777777" w:rsidR="00243E7E" w:rsidRPr="00243E7E" w:rsidRDefault="00243E7E" w:rsidP="00243E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01B0FC53" w14:textId="77777777" w:rsidR="003F2762" w:rsidRDefault="003F2762">
      <w:pPr>
        <w:pStyle w:val="big-header"/>
        <w:ind w:left="0" w:right="1134"/>
        <w:rPr>
          <w:rtl/>
        </w:rPr>
      </w:pPr>
    </w:p>
    <w:p w14:paraId="7DCCB146" w14:textId="77777777" w:rsidR="003F2762" w:rsidRPr="003B0786" w:rsidRDefault="003F2762" w:rsidP="00C57973">
      <w:pPr>
        <w:pStyle w:val="big-header"/>
        <w:ind w:left="0" w:right="1134"/>
        <w:rPr>
          <w:rStyle w:val="default"/>
          <w:rFonts w:cs="FrankRuehl" w:hint="cs"/>
          <w:szCs w:val="32"/>
          <w:rtl/>
        </w:rPr>
      </w:pPr>
      <w:r>
        <w:rPr>
          <w:rtl/>
        </w:rPr>
        <w:br w:type="page"/>
      </w:r>
      <w:r w:rsidR="00C57973">
        <w:rPr>
          <w:rtl/>
        </w:rPr>
        <w:lastRenderedPageBreak/>
        <w:t xml:space="preserve">חוק </w:t>
      </w:r>
      <w:r w:rsidR="00C57973">
        <w:rPr>
          <w:rFonts w:hint="cs"/>
          <w:rtl/>
        </w:rPr>
        <w:t xml:space="preserve">קביעת מועד כניסה לתוקף של הוראות סימון מזון ארוז מראש, </w:t>
      </w:r>
      <w:r w:rsidR="00C57973">
        <w:rPr>
          <w:rtl/>
        </w:rPr>
        <w:br/>
      </w:r>
      <w:r w:rsidR="00C57973">
        <w:rPr>
          <w:rFonts w:hint="cs"/>
          <w:rtl/>
        </w:rPr>
        <w:t>תשע"ה-2014</w:t>
      </w:r>
      <w:r>
        <w:rPr>
          <w:rStyle w:val="a9"/>
          <w:rtl/>
        </w:rPr>
        <w:footnoteReference w:customMarkFollows="1" w:id="1"/>
        <w:t>*</w:t>
      </w:r>
    </w:p>
    <w:p w14:paraId="30B9C252" w14:textId="77777777" w:rsidR="00BD75DF" w:rsidRDefault="003F2762" w:rsidP="00BD75DF">
      <w:pPr>
        <w:pStyle w:val="P00"/>
        <w:spacing w:before="72"/>
        <w:ind w:left="0" w:right="1134"/>
        <w:rPr>
          <w:rStyle w:val="default"/>
          <w:rFonts w:cs="FrankRuehl" w:hint="cs"/>
          <w:rtl/>
        </w:rPr>
      </w:pPr>
      <w:bookmarkStart w:id="0" w:name="Seif4"/>
      <w:bookmarkEnd w:id="0"/>
      <w:r>
        <w:rPr>
          <w:lang w:val="he-IL"/>
        </w:rPr>
        <w:pict w14:anchorId="6A7B68CF">
          <v:rect id="_x0000_s2050" style="position:absolute;left:0;text-align:left;margin-left:464.5pt;margin-top:8.05pt;width:75.05pt;height:10pt;z-index:251651072" o:allowincell="f" filled="f" stroked="f" strokecolor="lime" strokeweight=".25pt">
            <v:textbox inset="0,0,0,0">
              <w:txbxContent>
                <w:p w14:paraId="77E7AA8E" w14:textId="77777777" w:rsidR="003F2762" w:rsidRDefault="00BD75D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BD75DF">
        <w:rPr>
          <w:rStyle w:val="default"/>
          <w:rFonts w:cs="FrankRuehl" w:hint="cs"/>
          <w:rtl/>
        </w:rPr>
        <w:t xml:space="preserve">בחוק זה </w:t>
      </w:r>
      <w:r w:rsidR="00BD75DF">
        <w:rPr>
          <w:rStyle w:val="default"/>
          <w:rFonts w:cs="FrankRuehl"/>
          <w:rtl/>
        </w:rPr>
        <w:t>–</w:t>
      </w:r>
    </w:p>
    <w:p w14:paraId="61607FF4"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"הוראת סימון" </w:t>
      </w:r>
      <w:r>
        <w:rPr>
          <w:rStyle w:val="default"/>
          <w:rFonts w:cs="FrankRuehl"/>
          <w:rtl/>
        </w:rPr>
        <w:t>–</w:t>
      </w:r>
      <w:r>
        <w:rPr>
          <w:rStyle w:val="default"/>
          <w:rFonts w:cs="FrankRuehl" w:hint="cs"/>
          <w:rtl/>
        </w:rPr>
        <w:t xml:space="preserve"> הוראה לפי דין שקובעת דרישת סימון חדשה למוצר מזון ארוז מראש, משנה דרישה לסימון קיים למוצר כאמור או אוסרת את סימונו;</w:t>
      </w:r>
    </w:p>
    <w:p w14:paraId="4E19AE5F"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"ועדה מייעצת" </w:t>
      </w:r>
      <w:r>
        <w:rPr>
          <w:rStyle w:val="default"/>
          <w:rFonts w:cs="FrankRuehl"/>
          <w:rtl/>
        </w:rPr>
        <w:t>–</w:t>
      </w:r>
      <w:r>
        <w:rPr>
          <w:rStyle w:val="default"/>
          <w:rFonts w:cs="FrankRuehl" w:hint="cs"/>
          <w:rtl/>
        </w:rPr>
        <w:t xml:space="preserve"> הוועדה שהוקמה לפי סעיף 7;</w:t>
      </w:r>
    </w:p>
    <w:p w14:paraId="4A436095"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"חוק הגנת הפרטיות" </w:t>
      </w:r>
      <w:r>
        <w:rPr>
          <w:rStyle w:val="default"/>
          <w:rFonts w:cs="FrankRuehl"/>
          <w:rtl/>
        </w:rPr>
        <w:t>–</w:t>
      </w:r>
      <w:r>
        <w:rPr>
          <w:rStyle w:val="default"/>
          <w:rFonts w:cs="FrankRuehl" w:hint="cs"/>
          <w:rtl/>
        </w:rPr>
        <w:t xml:space="preserve"> חוק הגנת הפרטיות, התשמ"א-1981;</w:t>
      </w:r>
    </w:p>
    <w:p w14:paraId="15DD0774"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"מאסדר" </w:t>
      </w:r>
      <w:r>
        <w:rPr>
          <w:rStyle w:val="default"/>
          <w:rFonts w:cs="FrankRuehl"/>
          <w:rtl/>
        </w:rPr>
        <w:t>–</w:t>
      </w:r>
      <w:r>
        <w:rPr>
          <w:rStyle w:val="default"/>
          <w:rFonts w:cs="FrankRuehl" w:hint="cs"/>
          <w:rtl/>
        </w:rPr>
        <w:t xml:space="preserve"> מי שהוסמך לפי דין לקבוע הוראת סימון;</w:t>
      </w:r>
    </w:p>
    <w:p w14:paraId="5B73A004"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"מועד חובת סימון" </w:t>
      </w:r>
      <w:r>
        <w:rPr>
          <w:rStyle w:val="default"/>
          <w:rFonts w:cs="FrankRuehl"/>
          <w:rtl/>
        </w:rPr>
        <w:t>–</w:t>
      </w:r>
      <w:r>
        <w:rPr>
          <w:rStyle w:val="default"/>
          <w:rFonts w:cs="FrankRuehl" w:hint="cs"/>
          <w:rtl/>
        </w:rPr>
        <w:t xml:space="preserve"> מועד הכניסה לתוקף של הוראת סימון בהתאם להוראות סעיף 2;</w:t>
      </w:r>
    </w:p>
    <w:p w14:paraId="7DCEA01A"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"מועד מוקדם של חובת סימון" </w:t>
      </w:r>
      <w:r>
        <w:rPr>
          <w:rStyle w:val="default"/>
          <w:rFonts w:cs="FrankRuehl"/>
          <w:rtl/>
        </w:rPr>
        <w:t>–</w:t>
      </w:r>
      <w:r>
        <w:rPr>
          <w:rStyle w:val="default"/>
          <w:rFonts w:cs="FrankRuehl" w:hint="cs"/>
          <w:rtl/>
        </w:rPr>
        <w:t xml:space="preserve"> מועד הכניסה לתוקף של הוראת סימון שקבע מאסדר בהתאם להוראות סעיף 3;</w:t>
      </w:r>
    </w:p>
    <w:p w14:paraId="7AE0FFCD"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"מזון" </w:t>
      </w:r>
      <w:r>
        <w:rPr>
          <w:rStyle w:val="default"/>
          <w:rFonts w:cs="FrankRuehl"/>
          <w:rtl/>
        </w:rPr>
        <w:t>–</w:t>
      </w:r>
      <w:r>
        <w:rPr>
          <w:rStyle w:val="default"/>
          <w:rFonts w:cs="FrankRuehl" w:hint="cs"/>
          <w:rtl/>
        </w:rPr>
        <w:t xml:space="preserve"> כהגדרתו בפקודת בריאות הציבור (מזון) [נוסח חדש], התשמ"ג-1983, לרבות מים;</w:t>
      </w:r>
    </w:p>
    <w:p w14:paraId="24C24D24"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"מזון ארוז מראש" </w:t>
      </w:r>
      <w:r>
        <w:rPr>
          <w:rStyle w:val="default"/>
          <w:rFonts w:cs="FrankRuehl"/>
          <w:rtl/>
        </w:rPr>
        <w:t>–</w:t>
      </w:r>
      <w:r>
        <w:rPr>
          <w:rStyle w:val="default"/>
          <w:rFonts w:cs="FrankRuehl" w:hint="cs"/>
          <w:rtl/>
        </w:rPr>
        <w:t xml:space="preserve"> מזון שנארז בעטיפת או במכל קיבול טרם מכירתו לצרכן;</w:t>
      </w:r>
    </w:p>
    <w:p w14:paraId="4D1626AF"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כהגדרתה בחוק התקנים, התשי"ג-1953;</w:t>
      </w:r>
    </w:p>
    <w:p w14:paraId="65D6E1C9"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"עוסק" </w:t>
      </w:r>
      <w:r>
        <w:rPr>
          <w:rStyle w:val="default"/>
          <w:rFonts w:cs="FrankRuehl"/>
          <w:rtl/>
        </w:rPr>
        <w:t>–</w:t>
      </w:r>
      <w:r>
        <w:rPr>
          <w:rStyle w:val="default"/>
          <w:rFonts w:cs="FrankRuehl" w:hint="cs"/>
          <w:rtl/>
        </w:rPr>
        <w:t xml:space="preserve"> מי שמוכר, מייבא או מייצר מוצר מזון ארוז מראש או משתמש בו בתהליכי עבודה;</w:t>
      </w:r>
    </w:p>
    <w:p w14:paraId="7FA0D088"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הכלכלה;</w:t>
      </w:r>
    </w:p>
    <w:p w14:paraId="576CDC8D" w14:textId="77777777" w:rsidR="00BD75DF" w:rsidRDefault="00BD75DF" w:rsidP="00BD75DF">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השר ושר שהתחום שהמאסדר מופקד עליו הוא בסמכותו או באחריותו.</w:t>
      </w:r>
    </w:p>
    <w:p w14:paraId="065603D7" w14:textId="77777777" w:rsidR="003F2762" w:rsidRDefault="003F2762" w:rsidP="00BD75DF">
      <w:pPr>
        <w:pStyle w:val="P00"/>
        <w:spacing w:before="72"/>
        <w:ind w:left="0" w:right="1134"/>
        <w:rPr>
          <w:rStyle w:val="default"/>
          <w:rFonts w:cs="FrankRuehl" w:hint="cs"/>
          <w:rtl/>
        </w:rPr>
      </w:pPr>
      <w:bookmarkStart w:id="1" w:name="Seif5"/>
      <w:bookmarkEnd w:id="1"/>
      <w:r>
        <w:rPr>
          <w:lang w:val="he-IL"/>
        </w:rPr>
        <w:pict w14:anchorId="1B70C516">
          <v:rect id="_x0000_s2057" style="position:absolute;left:0;text-align:left;margin-left:464.5pt;margin-top:8.05pt;width:75.05pt;height:19.65pt;z-index:251652096" o:allowincell="f" filled="f" stroked="f" strokecolor="lime" strokeweight=".25pt">
            <v:textbox style="mso-next-textbox:#_x0000_s2057" inset="0,0,0,0">
              <w:txbxContent>
                <w:p w14:paraId="11C2EE5F" w14:textId="77777777" w:rsidR="003F2762" w:rsidRDefault="00BD75DF">
                  <w:pPr>
                    <w:spacing w:line="160" w:lineRule="exact"/>
                    <w:jc w:val="left"/>
                    <w:rPr>
                      <w:rFonts w:cs="Miriam" w:hint="cs"/>
                      <w:noProof/>
                      <w:szCs w:val="18"/>
                      <w:rtl/>
                    </w:rPr>
                  </w:pPr>
                  <w:r>
                    <w:rPr>
                      <w:rFonts w:cs="Miriam" w:hint="cs"/>
                      <w:szCs w:val="18"/>
                      <w:rtl/>
                    </w:rPr>
                    <w:t>מועד כניסה לתוקף של הוראת סימון</w:t>
                  </w:r>
                </w:p>
              </w:txbxContent>
            </v:textbox>
            <w10:anchorlock/>
          </v:rect>
        </w:pict>
      </w:r>
      <w:r>
        <w:rPr>
          <w:rStyle w:val="big-number"/>
          <w:rtl/>
        </w:rPr>
        <w:t>2.</w:t>
      </w:r>
      <w:r>
        <w:rPr>
          <w:rStyle w:val="big-number"/>
          <w:rtl/>
        </w:rPr>
        <w:tab/>
      </w:r>
      <w:r w:rsidR="00BD75DF">
        <w:rPr>
          <w:rStyle w:val="default"/>
          <w:rFonts w:cs="FrankRuehl" w:hint="cs"/>
          <w:rtl/>
        </w:rPr>
        <w:t>(א)</w:t>
      </w:r>
      <w:r w:rsidR="00BD75DF">
        <w:rPr>
          <w:rStyle w:val="default"/>
          <w:rFonts w:cs="FrankRuehl" w:hint="cs"/>
          <w:rtl/>
        </w:rPr>
        <w:tab/>
        <w:t xml:space="preserve">על אף האמור בכל דין, מועד חובת הסימון של הוראת סימון שפורסמה ברשומות בין 1 בינואר ל-31 בדצמבר בשנה כלשהי יהיה שנתיים מתום אותה שנה; ואולם </w:t>
      </w:r>
      <w:r w:rsidR="00BD75DF">
        <w:rPr>
          <w:rStyle w:val="default"/>
          <w:rFonts w:cs="FrankRuehl"/>
          <w:rtl/>
        </w:rPr>
        <w:t>–</w:t>
      </w:r>
    </w:p>
    <w:p w14:paraId="2CDDF0D3" w14:textId="77777777" w:rsidR="00BD75DF" w:rsidRDefault="00BD75DF" w:rsidP="00BD75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קבע מאסדר מועד מוקדם של חובת סימון לפי סעיף 3 </w:t>
      </w:r>
      <w:r>
        <w:rPr>
          <w:rStyle w:val="default"/>
          <w:rFonts w:cs="FrankRuehl"/>
          <w:rtl/>
        </w:rPr>
        <w:t>–</w:t>
      </w:r>
      <w:r>
        <w:rPr>
          <w:rStyle w:val="default"/>
          <w:rFonts w:cs="FrankRuehl" w:hint="cs"/>
          <w:rtl/>
        </w:rPr>
        <w:t xml:space="preserve"> יהיה מועד חובת הסימון במועד המוקדם שקבע;</w:t>
      </w:r>
    </w:p>
    <w:p w14:paraId="596C9E73" w14:textId="77777777" w:rsidR="00BD75DF" w:rsidRDefault="00BD75DF" w:rsidP="00BD75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חלה על הוראת הסימון התחייבות של המדינה לפי אמנה בין-לאומית </w:t>
      </w:r>
      <w:r>
        <w:rPr>
          <w:rStyle w:val="default"/>
          <w:rFonts w:cs="FrankRuehl"/>
          <w:rtl/>
        </w:rPr>
        <w:t>–</w:t>
      </w:r>
      <w:r>
        <w:rPr>
          <w:rStyle w:val="default"/>
          <w:rFonts w:cs="FrankRuehl" w:hint="cs"/>
          <w:rtl/>
        </w:rPr>
        <w:t xml:space="preserve"> יהיה מועד חובת הסימון במועד שקבע מאסדר בהתאם להתחייבות זו</w:t>
      </w:r>
      <w:r w:rsidR="00940510">
        <w:rPr>
          <w:rStyle w:val="default"/>
          <w:rFonts w:cs="FrankRuehl" w:hint="cs"/>
          <w:rtl/>
        </w:rPr>
        <w:t>;</w:t>
      </w:r>
    </w:p>
    <w:p w14:paraId="37078CC7" w14:textId="77777777" w:rsidR="00940510" w:rsidRPr="00940510" w:rsidRDefault="00940510" w:rsidP="00940510">
      <w:pPr>
        <w:pStyle w:val="P00"/>
        <w:spacing w:before="0"/>
        <w:ind w:left="1021" w:right="1134"/>
        <w:rPr>
          <w:rStyle w:val="default"/>
          <w:rFonts w:cs="FrankRuehl" w:hint="cs"/>
          <w:sz w:val="2"/>
          <w:szCs w:val="2"/>
          <w:rtl/>
        </w:rPr>
      </w:pPr>
      <w:bookmarkStart w:id="2" w:name="Rov22"/>
      <w:r w:rsidRPr="00940510">
        <w:rPr>
          <w:rStyle w:val="default"/>
          <w:rFonts w:cs="FrankRuehl" w:hint="cs"/>
          <w:vanish/>
          <w:shd w:val="clear" w:color="auto" w:fill="FFFF99"/>
          <w:rtl/>
        </w:rPr>
        <w:pict w14:anchorId="5045A872">
          <v:shapetype id="_x0000_t202" coordsize="21600,21600" o:spt="202" path="m,l,21600r21600,l21600,xe">
            <v:stroke joinstyle="miter"/>
            <v:path gradientshapeok="t" o:connecttype="rect"/>
          </v:shapetype>
          <v:shape id="_x0000_s2124" type="#_x0000_t202" style="position:absolute;left:0;text-align:left;margin-left:470.35pt;margin-top:7.1pt;width:1in;height:16.8pt;z-index:251667456" filled="f" stroked="f">
            <v:textbox inset="1mm,0,1mm,0">
              <w:txbxContent>
                <w:p w14:paraId="60669605" w14:textId="77777777" w:rsidR="00940510" w:rsidRDefault="00940510" w:rsidP="00940510">
                  <w:pPr>
                    <w:spacing w:line="160" w:lineRule="exact"/>
                    <w:jc w:val="left"/>
                    <w:rPr>
                      <w:rFonts w:cs="Miriam" w:hint="cs"/>
                      <w:noProof/>
                      <w:sz w:val="18"/>
                      <w:szCs w:val="18"/>
                      <w:rtl/>
                    </w:rPr>
                  </w:pPr>
                  <w:r>
                    <w:rPr>
                      <w:rFonts w:cs="Miriam" w:hint="cs"/>
                      <w:sz w:val="18"/>
                      <w:szCs w:val="18"/>
                      <w:rtl/>
                    </w:rPr>
                    <w:t>(תיקון מס' 3) תשפ"ב-2021</w:t>
                  </w:r>
                </w:p>
              </w:txbxContent>
            </v:textbox>
            <w10:anchorlock/>
          </v:shape>
        </w:pict>
      </w:r>
      <w:r w:rsidRPr="00940510">
        <w:rPr>
          <w:rStyle w:val="default"/>
          <w:rFonts w:cs="FrankRuehl" w:hint="cs"/>
          <w:vanish/>
          <w:shd w:val="clear" w:color="auto" w:fill="FFFF99"/>
          <w:rtl/>
        </w:rPr>
        <w:t>(3)</w:t>
      </w:r>
      <w:r w:rsidRPr="00940510">
        <w:rPr>
          <w:rStyle w:val="default"/>
          <w:rFonts w:cs="FrankRuehl" w:hint="cs"/>
          <w:vanish/>
          <w:shd w:val="clear" w:color="auto" w:fill="FFFF99"/>
          <w:rtl/>
        </w:rPr>
        <w:tab/>
        <w:t>אם הוראת הסימון נקבעה בהוראה מחייבת החלה באיחוד האירופי שהוחלה בישראל לפי סעיף 3א לחוק הגנה על בריאות הציבור (מזון), התשע"ו-2015.</w:t>
      </w:r>
      <w:bookmarkEnd w:id="2"/>
    </w:p>
    <w:p w14:paraId="37B07075" w14:textId="77777777" w:rsidR="00BD75DF" w:rsidRDefault="00BD75DF" w:rsidP="00BD75D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בהוראת סימון יצוין מועד כניסתה לתוקף.</w:t>
      </w:r>
    </w:p>
    <w:p w14:paraId="06D6FAE5" w14:textId="77777777" w:rsidR="00940510" w:rsidRPr="00940510" w:rsidRDefault="00940510" w:rsidP="00940510">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3" w:name="Rov21"/>
      <w:r w:rsidRPr="00940510">
        <w:rPr>
          <w:rStyle w:val="default"/>
          <w:rFonts w:ascii="FrankRuehl" w:hAnsi="FrankRuehl" w:cs="FrankRuehl"/>
          <w:vanish/>
          <w:color w:val="FF0000"/>
          <w:szCs w:val="20"/>
          <w:shd w:val="clear" w:color="auto" w:fill="FFFF99"/>
          <w:rtl/>
        </w:rPr>
        <w:t>מיום 1.1.2023</w:t>
      </w:r>
    </w:p>
    <w:p w14:paraId="0063D420" w14:textId="77777777" w:rsidR="00940510" w:rsidRPr="00940510" w:rsidRDefault="00940510" w:rsidP="00940510">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940510">
        <w:rPr>
          <w:rStyle w:val="default"/>
          <w:rFonts w:ascii="FrankRuehl" w:hAnsi="FrankRuehl" w:cs="FrankRuehl"/>
          <w:b/>
          <w:bCs/>
          <w:vanish/>
          <w:szCs w:val="20"/>
          <w:shd w:val="clear" w:color="auto" w:fill="FFFF99"/>
          <w:rtl/>
        </w:rPr>
        <w:t>תיקון מס' 4</w:t>
      </w:r>
    </w:p>
    <w:p w14:paraId="10CD7431" w14:textId="77777777" w:rsidR="00940510" w:rsidRPr="00940510" w:rsidRDefault="00940510" w:rsidP="00940510">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6" w:history="1">
        <w:r w:rsidRPr="00940510">
          <w:rPr>
            <w:rStyle w:val="Hyperlink"/>
            <w:rFonts w:ascii="FrankRuehl" w:hAnsi="FrankRuehl"/>
            <w:vanish/>
            <w:szCs w:val="20"/>
            <w:shd w:val="clear" w:color="auto" w:fill="FFFF99"/>
            <w:rtl/>
          </w:rPr>
          <w:t>ס"ח תשפ"ב מס' 2933</w:t>
        </w:r>
      </w:hyperlink>
      <w:r w:rsidRPr="00940510">
        <w:rPr>
          <w:rStyle w:val="default"/>
          <w:rFonts w:ascii="FrankRuehl" w:hAnsi="FrankRuehl" w:cs="FrankRuehl"/>
          <w:vanish/>
          <w:szCs w:val="20"/>
          <w:shd w:val="clear" w:color="auto" w:fill="FFFF99"/>
          <w:rtl/>
        </w:rPr>
        <w:t xml:space="preserve"> מיום 18.11.2021 עמ' 446 (</w:t>
      </w:r>
      <w:hyperlink r:id="rId7" w:history="1">
        <w:r w:rsidRPr="00940510">
          <w:rPr>
            <w:rStyle w:val="Hyperlink"/>
            <w:rFonts w:ascii="FrankRuehl" w:hAnsi="FrankRuehl"/>
            <w:vanish/>
            <w:szCs w:val="20"/>
            <w:shd w:val="clear" w:color="auto" w:fill="FFFF99"/>
            <w:rtl/>
          </w:rPr>
          <w:t>ה"ח 1443</w:t>
        </w:r>
      </w:hyperlink>
      <w:r w:rsidRPr="00940510">
        <w:rPr>
          <w:rStyle w:val="default"/>
          <w:rFonts w:ascii="FrankRuehl" w:hAnsi="FrankRuehl" w:cs="FrankRuehl"/>
          <w:vanish/>
          <w:szCs w:val="20"/>
          <w:shd w:val="clear" w:color="auto" w:fill="FFFF99"/>
          <w:rtl/>
        </w:rPr>
        <w:t>)</w:t>
      </w:r>
    </w:p>
    <w:p w14:paraId="34EF47DB" w14:textId="77777777" w:rsidR="00940510" w:rsidRPr="00940510" w:rsidRDefault="00940510" w:rsidP="00940510">
      <w:pPr>
        <w:pStyle w:val="P00"/>
        <w:tabs>
          <w:tab w:val="left" w:pos="624"/>
          <w:tab w:val="left" w:pos="1021"/>
        </w:tabs>
        <w:spacing w:before="0"/>
        <w:ind w:left="1021" w:right="1134"/>
        <w:rPr>
          <w:rStyle w:val="default"/>
          <w:rFonts w:ascii="FrankRuehl" w:hAnsi="FrankRuehl" w:cs="FrankRuehl"/>
          <w:sz w:val="2"/>
          <w:szCs w:val="2"/>
          <w:shd w:val="clear" w:color="auto" w:fill="FFFF99"/>
          <w:rtl/>
        </w:rPr>
      </w:pPr>
      <w:r w:rsidRPr="00940510">
        <w:rPr>
          <w:rStyle w:val="default"/>
          <w:rFonts w:ascii="FrankRuehl" w:hAnsi="FrankRuehl" w:cs="FrankRuehl" w:hint="cs"/>
          <w:b/>
          <w:bCs/>
          <w:vanish/>
          <w:szCs w:val="20"/>
          <w:shd w:val="clear" w:color="auto" w:fill="FFFF99"/>
          <w:rtl/>
        </w:rPr>
        <w:t>הוספת פסקה 2(א)(3)</w:t>
      </w:r>
      <w:bookmarkEnd w:id="3"/>
    </w:p>
    <w:p w14:paraId="5AA46C6A" w14:textId="77777777" w:rsidR="003F2762" w:rsidRDefault="003F2762" w:rsidP="00BD75DF">
      <w:pPr>
        <w:pStyle w:val="P00"/>
        <w:spacing w:before="72"/>
        <w:ind w:left="0" w:right="1134"/>
        <w:rPr>
          <w:rStyle w:val="default"/>
          <w:rFonts w:cs="FrankRuehl" w:hint="cs"/>
          <w:rtl/>
        </w:rPr>
      </w:pPr>
      <w:bookmarkStart w:id="4" w:name="Seif6"/>
      <w:bookmarkEnd w:id="4"/>
      <w:r>
        <w:rPr>
          <w:lang w:val="he-IL"/>
        </w:rPr>
        <w:pict w14:anchorId="1B5BF3E2">
          <v:rect id="_x0000_s2058" style="position:absolute;left:0;text-align:left;margin-left:464.5pt;margin-top:8.05pt;width:75.05pt;height:19.9pt;z-index:251653120" o:allowincell="f" filled="f" stroked="f" strokecolor="lime" strokeweight=".25pt">
            <v:textbox inset="0,0,0,0">
              <w:txbxContent>
                <w:p w14:paraId="4FDEE29C" w14:textId="77777777" w:rsidR="003F2762" w:rsidRDefault="00BD75DF">
                  <w:pPr>
                    <w:spacing w:line="160" w:lineRule="exact"/>
                    <w:jc w:val="left"/>
                    <w:rPr>
                      <w:rFonts w:cs="Miriam" w:hint="cs"/>
                      <w:noProof/>
                      <w:szCs w:val="18"/>
                      <w:rtl/>
                    </w:rPr>
                  </w:pPr>
                  <w:r>
                    <w:rPr>
                      <w:rFonts w:cs="Miriam" w:hint="cs"/>
                      <w:szCs w:val="18"/>
                      <w:rtl/>
                    </w:rPr>
                    <w:t>קביעת מועד מוקדם של חובת סימון</w:t>
                  </w:r>
                </w:p>
              </w:txbxContent>
            </v:textbox>
            <w10:anchorlock/>
          </v:rect>
        </w:pict>
      </w:r>
      <w:r>
        <w:rPr>
          <w:rStyle w:val="big-number"/>
          <w:rtl/>
        </w:rPr>
        <w:t>3.</w:t>
      </w:r>
      <w:r>
        <w:rPr>
          <w:rStyle w:val="big-number"/>
          <w:rtl/>
        </w:rPr>
        <w:tab/>
      </w:r>
      <w:r w:rsidR="00BD75DF">
        <w:rPr>
          <w:rStyle w:val="default"/>
          <w:rFonts w:cs="FrankRuehl" w:hint="cs"/>
          <w:rtl/>
        </w:rPr>
        <w:t>מצא מאסדר כי קיים חשש ממשי לפגיעה בשלום הציבור, בבריאותו או בבטיחותו או להטעיית הצרכן כמשמעותה בחוק הגנת הצרכן, התשמ"א-1981, או היה בכוונתו לקבוע הוראות סימון בענייני כשרות, רשאי הוא, לאחר התייעצות עם הוועדה המייעצת, לקבוע מועד מוקדם של חובת סימון</w:t>
      </w:r>
      <w:r w:rsidR="00D200BF">
        <w:rPr>
          <w:rStyle w:val="default"/>
          <w:rFonts w:cs="FrankRuehl" w:hint="cs"/>
          <w:rtl/>
        </w:rPr>
        <w:t>.</w:t>
      </w:r>
    </w:p>
    <w:p w14:paraId="70DFF1FA" w14:textId="77777777" w:rsidR="003F2762" w:rsidRDefault="003F2762" w:rsidP="00BD75DF">
      <w:pPr>
        <w:pStyle w:val="P00"/>
        <w:spacing w:before="72"/>
        <w:ind w:left="0" w:right="1134"/>
        <w:rPr>
          <w:rStyle w:val="default"/>
          <w:rFonts w:cs="FrankRuehl" w:hint="cs"/>
          <w:rtl/>
        </w:rPr>
      </w:pPr>
      <w:bookmarkStart w:id="5" w:name="Seif7"/>
      <w:bookmarkEnd w:id="5"/>
      <w:r>
        <w:rPr>
          <w:lang w:val="he-IL"/>
        </w:rPr>
        <w:pict w14:anchorId="31A7F01B">
          <v:rect id="_x0000_s2060" style="position:absolute;left:0;text-align:left;margin-left:464.5pt;margin-top:8.05pt;width:75.05pt;height:25.6pt;z-index:251654144" o:allowincell="f" filled="f" stroked="f" strokecolor="lime" strokeweight=".25pt">
            <v:textbox inset="0,0,0,0">
              <w:txbxContent>
                <w:p w14:paraId="3A0C6843" w14:textId="77777777" w:rsidR="003F2762" w:rsidRDefault="00BD75DF">
                  <w:pPr>
                    <w:spacing w:line="160" w:lineRule="exact"/>
                    <w:jc w:val="left"/>
                    <w:rPr>
                      <w:rFonts w:cs="Miriam" w:hint="cs"/>
                      <w:noProof/>
                      <w:szCs w:val="18"/>
                      <w:rtl/>
                    </w:rPr>
                  </w:pPr>
                  <w:r>
                    <w:rPr>
                      <w:rFonts w:cs="Miriam" w:hint="cs"/>
                      <w:szCs w:val="18"/>
                      <w:rtl/>
                    </w:rPr>
                    <w:t>סימון לפני מועד כניסה לתוקף של הוראת סימון</w:t>
                  </w:r>
                </w:p>
              </w:txbxContent>
            </v:textbox>
            <w10:anchorlock/>
          </v:rect>
        </w:pict>
      </w:r>
      <w:r>
        <w:rPr>
          <w:rStyle w:val="big-number"/>
          <w:rtl/>
        </w:rPr>
        <w:t>4.</w:t>
      </w:r>
      <w:r>
        <w:rPr>
          <w:rStyle w:val="big-number"/>
          <w:rtl/>
        </w:rPr>
        <w:tab/>
      </w:r>
      <w:r w:rsidR="00BD75DF">
        <w:rPr>
          <w:rStyle w:val="default"/>
          <w:rFonts w:cs="FrankRuehl" w:hint="cs"/>
          <w:rtl/>
        </w:rPr>
        <w:t>(א)</w:t>
      </w:r>
      <w:r w:rsidR="00BD75DF">
        <w:rPr>
          <w:rStyle w:val="default"/>
          <w:rFonts w:cs="FrankRuehl" w:hint="cs"/>
          <w:rtl/>
        </w:rPr>
        <w:tab/>
        <w:t>עוסק רשאי לסמן מוצר מזון ארוז מראש לפי הוראת סימון לפני מועד כניסתה לתוקף; סימן עוסק מוצר כאמור, יחול על הסימון הדין שלפיו נקבעה הוראת הסימון</w:t>
      </w:r>
      <w:r>
        <w:rPr>
          <w:rStyle w:val="default"/>
          <w:rFonts w:cs="FrankRuehl" w:hint="cs"/>
          <w:rtl/>
        </w:rPr>
        <w:t>.</w:t>
      </w:r>
    </w:p>
    <w:p w14:paraId="5A52EAFF" w14:textId="77777777" w:rsidR="00BD75DF" w:rsidRDefault="00BD75DF" w:rsidP="00BD75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עוסק אינו רשאי לסמן מוצר מזון ארוז מראש לפי הוראת סימון לפני מועד כניסתה לתוקף, אם המאסדר מצא כי הדבר עלול לפגוע בתכלית הוראת הסימון ואסר זאת בהוראת הסימון, לאחר התייעצות עם הוועדה המייעצת.</w:t>
      </w:r>
    </w:p>
    <w:p w14:paraId="3A0E171F" w14:textId="77777777" w:rsidR="003F2762" w:rsidRDefault="003F2762" w:rsidP="00BD75DF">
      <w:pPr>
        <w:pStyle w:val="P00"/>
        <w:spacing w:before="72"/>
        <w:ind w:left="0" w:right="1134"/>
        <w:rPr>
          <w:rStyle w:val="default"/>
          <w:rFonts w:cs="FrankRuehl" w:hint="cs"/>
          <w:rtl/>
        </w:rPr>
      </w:pPr>
      <w:bookmarkStart w:id="6" w:name="Seif8"/>
      <w:bookmarkEnd w:id="6"/>
      <w:r>
        <w:rPr>
          <w:lang w:val="he-IL"/>
        </w:rPr>
        <w:lastRenderedPageBreak/>
        <w:pict w14:anchorId="12B30ED5">
          <v:rect id="_x0000_s2062" style="position:absolute;left:0;text-align:left;margin-left:464.5pt;margin-top:8.05pt;width:75.05pt;height:16.85pt;z-index:251655168" o:allowincell="f" filled="f" stroked="f" strokecolor="lime" strokeweight=".25pt">
            <v:textbox inset="0,0,0,0">
              <w:txbxContent>
                <w:p w14:paraId="2A0A91AE" w14:textId="77777777" w:rsidR="0064198E" w:rsidRDefault="00BD75DF" w:rsidP="0064198E">
                  <w:pPr>
                    <w:spacing w:line="160" w:lineRule="exact"/>
                    <w:jc w:val="left"/>
                    <w:rPr>
                      <w:rFonts w:cs="Miriam" w:hint="cs"/>
                      <w:noProof/>
                      <w:szCs w:val="18"/>
                      <w:rtl/>
                    </w:rPr>
                  </w:pPr>
                  <w:r>
                    <w:rPr>
                      <w:rFonts w:cs="Miriam" w:hint="cs"/>
                      <w:szCs w:val="18"/>
                      <w:rtl/>
                    </w:rPr>
                    <w:t>סייגים לתחולה</w:t>
                  </w:r>
                </w:p>
              </w:txbxContent>
            </v:textbox>
            <w10:anchorlock/>
          </v:rect>
        </w:pict>
      </w:r>
      <w:r>
        <w:rPr>
          <w:rStyle w:val="big-number"/>
          <w:rtl/>
        </w:rPr>
        <w:t>5</w:t>
      </w:r>
      <w:r w:rsidRPr="0064198E">
        <w:rPr>
          <w:rStyle w:val="default"/>
          <w:rFonts w:cs="FrankRuehl"/>
          <w:rtl/>
        </w:rPr>
        <w:t>.</w:t>
      </w:r>
      <w:r w:rsidRPr="0064198E">
        <w:rPr>
          <w:rStyle w:val="default"/>
          <w:rFonts w:cs="FrankRuehl"/>
          <w:rtl/>
        </w:rPr>
        <w:tab/>
      </w:r>
      <w:r w:rsidR="00BD75DF">
        <w:rPr>
          <w:rStyle w:val="default"/>
          <w:rFonts w:cs="FrankRuehl" w:hint="cs"/>
          <w:rtl/>
        </w:rPr>
        <w:t xml:space="preserve">הוראות סעיף 2 לא יחולו על </w:t>
      </w:r>
      <w:r w:rsidR="00BD75DF">
        <w:rPr>
          <w:rStyle w:val="default"/>
          <w:rFonts w:cs="FrankRuehl"/>
          <w:rtl/>
        </w:rPr>
        <w:t>–</w:t>
      </w:r>
    </w:p>
    <w:p w14:paraId="4999DBF9" w14:textId="77777777" w:rsidR="00BD75DF" w:rsidRDefault="00BD75DF" w:rsidP="000406E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מוצר מזון ארוז מראש שסומן לפני מועד חובת הסימון; על אף האמור, רשאי מאסדר, לאחר התייעצות עם הוועדה המייעצת, לקבוע בהוראת הסימון כי היא תחול על מוצר כאמור ממועד חובת הסימון או ממועד אחר שיקבע, אם מצא כי הדבר נחוץ לשם הבטחת תכלית הוראת הסימון, והוא רשאי להקל בדרישות הוראת הסימון כאמור ככל האפשר;</w:t>
      </w:r>
    </w:p>
    <w:p w14:paraId="2E98C5E3" w14:textId="77777777" w:rsidR="00BD75DF" w:rsidRDefault="00BD75DF" w:rsidP="000406E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הוראת סימון שניתנה לעוסק מסוים.</w:t>
      </w:r>
    </w:p>
    <w:p w14:paraId="35EC548E" w14:textId="77777777" w:rsidR="003F2762" w:rsidRDefault="003F2762" w:rsidP="000406E7">
      <w:pPr>
        <w:pStyle w:val="P00"/>
        <w:spacing w:before="72"/>
        <w:ind w:left="0" w:right="1134"/>
        <w:rPr>
          <w:rStyle w:val="default"/>
          <w:rFonts w:cs="FrankRuehl" w:hint="cs"/>
          <w:rtl/>
        </w:rPr>
      </w:pPr>
      <w:bookmarkStart w:id="7" w:name="Seif9"/>
      <w:bookmarkEnd w:id="7"/>
      <w:r>
        <w:rPr>
          <w:lang w:val="he-IL"/>
        </w:rPr>
        <w:pict w14:anchorId="7A4CBEBE">
          <v:rect id="_x0000_s2064" style="position:absolute;left:0;text-align:left;margin-left:464.5pt;margin-top:8.05pt;width:75.05pt;height:18.75pt;z-index:251656192" o:allowincell="f" filled="f" stroked="f" strokecolor="lime" strokeweight=".25pt">
            <v:textbox style="mso-next-textbox:#_x0000_s2064" inset="0,0,0,0">
              <w:txbxContent>
                <w:p w14:paraId="3DA2B76E" w14:textId="77777777" w:rsidR="003F2762" w:rsidRDefault="000406E7">
                  <w:pPr>
                    <w:spacing w:line="160" w:lineRule="exact"/>
                    <w:jc w:val="left"/>
                    <w:rPr>
                      <w:rFonts w:cs="Miriam" w:hint="cs"/>
                      <w:noProof/>
                      <w:szCs w:val="18"/>
                      <w:rtl/>
                    </w:rPr>
                  </w:pPr>
                  <w:r>
                    <w:rPr>
                      <w:rFonts w:cs="Miriam" w:hint="cs"/>
                      <w:szCs w:val="18"/>
                      <w:rtl/>
                    </w:rPr>
                    <w:t>פרסום באינטרנט של הוראת סימון</w:t>
                  </w:r>
                </w:p>
              </w:txbxContent>
            </v:textbox>
            <w10:anchorlock/>
          </v:rect>
        </w:pict>
      </w:r>
      <w:r>
        <w:rPr>
          <w:rStyle w:val="big-number"/>
          <w:rtl/>
        </w:rPr>
        <w:t>6.</w:t>
      </w:r>
      <w:r>
        <w:rPr>
          <w:rStyle w:val="big-number"/>
          <w:rtl/>
        </w:rPr>
        <w:tab/>
      </w:r>
      <w:r w:rsidR="000406E7">
        <w:rPr>
          <w:rStyle w:val="default"/>
          <w:rFonts w:cs="FrankRuehl" w:hint="cs"/>
          <w:rtl/>
        </w:rPr>
        <w:t>מאסדר יפרסם באתר האינטרנט של משרדו, בסמוך לפרסומה של הוראת הסימון ברשומות, הודעה על הוראת הסימון ומועד כניסתה לתוקף; בהודעה יציין המאסדר אם אסר את הסימון לפני מועד כניסתה לתוקף של הוראת הסימון לפי סעיף 4(ב) או אם הוראת הסימון תחול גם על מוצר מזון ארוז מראש שסומן לפני מועד חובת הסימון לפי סעיף 5(1)</w:t>
      </w:r>
      <w:r>
        <w:rPr>
          <w:rStyle w:val="default"/>
          <w:rFonts w:cs="FrankRuehl" w:hint="cs"/>
          <w:rtl/>
        </w:rPr>
        <w:t>.</w:t>
      </w:r>
    </w:p>
    <w:p w14:paraId="4674A32D" w14:textId="77777777" w:rsidR="003F2762" w:rsidRDefault="003F2762" w:rsidP="000406E7">
      <w:pPr>
        <w:pStyle w:val="P00"/>
        <w:spacing w:before="72"/>
        <w:ind w:left="0" w:right="1134"/>
        <w:rPr>
          <w:rStyle w:val="default"/>
          <w:rFonts w:cs="FrankRuehl" w:hint="cs"/>
          <w:rtl/>
        </w:rPr>
      </w:pPr>
      <w:bookmarkStart w:id="8" w:name="Seif1"/>
      <w:bookmarkEnd w:id="8"/>
      <w:r>
        <w:rPr>
          <w:lang w:val="he-IL"/>
        </w:rPr>
        <w:pict w14:anchorId="6D3E7628">
          <v:rect id="_x0000_s2065" style="position:absolute;left:0;text-align:left;margin-left:464.5pt;margin-top:8.05pt;width:75.05pt;height:10.6pt;z-index:251648000" o:allowincell="f" filled="f" stroked="f" strokecolor="lime" strokeweight=".25pt">
            <v:textbox style="mso-next-textbox:#_x0000_s2065" inset="0,0,0,0">
              <w:txbxContent>
                <w:p w14:paraId="5D73A3F9" w14:textId="77777777" w:rsidR="003F2762" w:rsidRDefault="000406E7">
                  <w:pPr>
                    <w:spacing w:line="160" w:lineRule="exact"/>
                    <w:jc w:val="left"/>
                    <w:rPr>
                      <w:rFonts w:cs="Miriam" w:hint="cs"/>
                      <w:noProof/>
                      <w:szCs w:val="18"/>
                      <w:rtl/>
                    </w:rPr>
                  </w:pPr>
                  <w:r>
                    <w:rPr>
                      <w:rFonts w:cs="Miriam" w:hint="cs"/>
                      <w:szCs w:val="18"/>
                      <w:rtl/>
                    </w:rPr>
                    <w:t>ועדה מייעצת</w:t>
                  </w:r>
                </w:p>
              </w:txbxContent>
            </v:textbox>
            <w10:anchorlock/>
          </v:rect>
        </w:pict>
      </w:r>
      <w:r>
        <w:rPr>
          <w:rStyle w:val="big-number"/>
          <w:rtl/>
        </w:rPr>
        <w:t>7.</w:t>
      </w:r>
      <w:r>
        <w:rPr>
          <w:rStyle w:val="big-number"/>
          <w:rtl/>
        </w:rPr>
        <w:tab/>
      </w:r>
      <w:r w:rsidR="000406E7">
        <w:rPr>
          <w:rStyle w:val="default"/>
          <w:rFonts w:cs="FrankRuehl" w:hint="cs"/>
          <w:rtl/>
        </w:rPr>
        <w:t>(א)</w:t>
      </w:r>
      <w:r w:rsidR="000406E7">
        <w:rPr>
          <w:rStyle w:val="default"/>
          <w:rFonts w:cs="FrankRuehl" w:hint="cs"/>
          <w:rtl/>
        </w:rPr>
        <w:tab/>
        <w:t>השר ימנה ועדה מייעצת בת שישה חברים, ואלה הם:</w:t>
      </w:r>
    </w:p>
    <w:p w14:paraId="03A4DC27" w14:textId="77777777" w:rsidR="000406E7" w:rsidRDefault="00570DFD" w:rsidP="00570DFD">
      <w:pPr>
        <w:pStyle w:val="P00"/>
        <w:spacing w:before="72"/>
        <w:ind w:left="1021" w:right="1134"/>
        <w:rPr>
          <w:rStyle w:val="default"/>
          <w:rFonts w:cs="FrankRuehl" w:hint="cs"/>
          <w:rtl/>
        </w:rPr>
      </w:pPr>
      <w:r w:rsidRPr="00570DFD">
        <w:rPr>
          <w:rStyle w:val="default"/>
          <w:rFonts w:cs="FrankRuehl" w:hint="cs"/>
          <w:rtl/>
        </w:rPr>
        <w:pict w14:anchorId="1047D58B">
          <v:shape id="_x0000_s2123" type="#_x0000_t202" style="position:absolute;left:0;text-align:left;margin-left:470.35pt;margin-top:7.1pt;width:1in;height:16.8pt;z-index:251666432" filled="f" stroked="f">
            <v:textbox inset="1mm,0,1mm,0">
              <w:txbxContent>
                <w:p w14:paraId="4B8FA832" w14:textId="77777777" w:rsidR="00570DFD" w:rsidRDefault="00570DFD" w:rsidP="00570DFD">
                  <w:pPr>
                    <w:spacing w:line="160" w:lineRule="exact"/>
                    <w:jc w:val="left"/>
                    <w:rPr>
                      <w:rFonts w:cs="Miriam" w:hint="cs"/>
                      <w:noProof/>
                      <w:sz w:val="18"/>
                      <w:szCs w:val="18"/>
                      <w:rtl/>
                    </w:rPr>
                  </w:pPr>
                  <w:r>
                    <w:rPr>
                      <w:rFonts w:cs="Miriam" w:hint="cs"/>
                      <w:sz w:val="18"/>
                      <w:szCs w:val="18"/>
                      <w:rtl/>
                    </w:rPr>
                    <w:t>(תיקון מס' 1) תשפ"ב-2021</w:t>
                  </w:r>
                </w:p>
              </w:txbxContent>
            </v:textbox>
            <w10:anchorlock/>
          </v:shape>
        </w:pict>
      </w:r>
      <w:r w:rsidRPr="00570DFD">
        <w:rPr>
          <w:rStyle w:val="default"/>
          <w:rFonts w:cs="FrankRuehl" w:hint="cs"/>
          <w:rtl/>
        </w:rPr>
        <w:t>(1)</w:t>
      </w:r>
      <w:r w:rsidRPr="00570DFD">
        <w:rPr>
          <w:rStyle w:val="default"/>
          <w:rFonts w:cs="FrankRuehl" w:hint="cs"/>
          <w:rtl/>
        </w:rPr>
        <w:tab/>
        <w:t>יושב ראש הרשות כהגדרתו בחוק עקרונות האסדרה, התשפ"ב-2021, או עובד הרשות האמורה שימנה היושב ראש</w:t>
      </w:r>
      <w:r w:rsidR="000406E7">
        <w:rPr>
          <w:rStyle w:val="default"/>
          <w:rFonts w:cs="FrankRuehl" w:hint="cs"/>
          <w:rtl/>
        </w:rPr>
        <w:t>, והוא יהיה היושב ראש;</w:t>
      </w:r>
    </w:p>
    <w:p w14:paraId="669E7FBC" w14:textId="77777777" w:rsidR="000406E7" w:rsidRDefault="000406E7" w:rsidP="000406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נציגים של משרד הכלכלה, שהם עובדי המשרד, האחד בעל ידע ומומחיות בתחום התעשייה, והוא יהיה ממלא מקום היושב ראש, והשני בעל ידע ומומחיות בתחום התעשייה, התקינה או העסקים הקטנים והבינוניים;</w:t>
      </w:r>
    </w:p>
    <w:p w14:paraId="699738A5" w14:textId="77777777" w:rsidR="000406E7" w:rsidRDefault="000406E7" w:rsidP="000406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משרד הבריאות, שהוא עובד המשרד, בעל ידע ומומחיות בתחום הפיקוח על המזון, לפי המלצת שר הבריאות;</w:t>
      </w:r>
    </w:p>
    <w:p w14:paraId="6964FA9D" w14:textId="77777777" w:rsidR="000406E7" w:rsidRDefault="000406E7" w:rsidP="000406E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הרשות להגנת הצרכן ולסחר הוגן, שהוא עובד הרשות, לפי המלצת הממונה על הגנת הצרכן והסחר ההוגן;</w:t>
      </w:r>
    </w:p>
    <w:p w14:paraId="61EF4FB8" w14:textId="77777777" w:rsidR="000406E7" w:rsidRDefault="000406E7" w:rsidP="000406E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מכון התקנים הישראלי, שהוא עובד המכון, לפי המלצת המנהל הכללי של מכון התקנים הישראלי.</w:t>
      </w:r>
    </w:p>
    <w:p w14:paraId="34D23B42" w14:textId="77777777" w:rsidR="000406E7" w:rsidRDefault="000406E7" w:rsidP="000406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לוועדה המייעצת מי שמתקיים בו אחד מאלה:</w:t>
      </w:r>
    </w:p>
    <w:p w14:paraId="00381EA9" w14:textId="77777777" w:rsidR="000406E7" w:rsidRDefault="000406E7" w:rsidP="000406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שמפאת מהותה, חומרתה או נסיבותיה אין הוא ראוי לשמש חבר הוועדה;</w:t>
      </w:r>
    </w:p>
    <w:p w14:paraId="03FCD80B" w14:textId="77777777" w:rsidR="000406E7" w:rsidRDefault="000406E7" w:rsidP="000406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 נגדו כתב אישום בשל עבירה כאמור בפסקה (1) וטרם ניתן לגביו פסק דין סופי;</w:t>
      </w:r>
    </w:p>
    <w:p w14:paraId="15F8DCA4" w14:textId="77777777" w:rsidR="000406E7" w:rsidRDefault="000406E7" w:rsidP="000406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עלול להימצא, במישרין או בעקיפין, באופן תדיר, במצב של ניגוד עניינים בין תפקידו כחבר הוועדה המייעצת לבין עניין אישי שלו או לבין תפקיד אחר שלו או של קרובו; לעניין זה </w:t>
      </w:r>
      <w:r>
        <w:rPr>
          <w:rStyle w:val="default"/>
          <w:rFonts w:cs="FrankRuehl"/>
          <w:rtl/>
        </w:rPr>
        <w:t>–</w:t>
      </w:r>
    </w:p>
    <w:p w14:paraId="07353BBC" w14:textId="77777777" w:rsidR="000406E7" w:rsidRDefault="000406E7" w:rsidP="000406E7">
      <w:pPr>
        <w:pStyle w:val="P00"/>
        <w:spacing w:before="72"/>
        <w:ind w:left="1021"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או של גוף שכל אחד מאלה או קרובו של כל אחד מאלה, מנהלים או עובדים אחראים בו, או עניין של גוף שיש לכל אחד מהם חלק בהון המניות שלו, בזכות לקבל רווחים, בזכות למנות מנהל או בזכות ההצבעה;</w:t>
      </w:r>
    </w:p>
    <w:p w14:paraId="204158C7" w14:textId="77777777" w:rsidR="000406E7" w:rsidRDefault="000406E7" w:rsidP="000406E7">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הורי הורה, הורה של בן זוג, ילד, אח או אחות, או אדם אחר הסמוך על שולחנו של חבר הוועדה המייעצת.</w:t>
      </w:r>
    </w:p>
    <w:p w14:paraId="05F79257" w14:textId="77777777" w:rsidR="000406E7" w:rsidRDefault="000406E7" w:rsidP="000406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הוועדה המייעצת ימונה לתקופה של שלוש שנים, וניתן לשוב ולמנותו לתקופת כהונה נוספת אחת.</w:t>
      </w:r>
    </w:p>
    <w:p w14:paraId="05B5CCBE" w14:textId="77777777" w:rsidR="000406E7" w:rsidRDefault="000406E7" w:rsidP="000406E7">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חבר הוועדה המייעצת לא יקבל גמול בעד כהונתו בוועדה.</w:t>
      </w:r>
    </w:p>
    <w:p w14:paraId="2A7C488A" w14:textId="77777777" w:rsidR="00570DFD" w:rsidRPr="00940510" w:rsidRDefault="00570DFD" w:rsidP="00570DFD">
      <w:pPr>
        <w:pStyle w:val="P00"/>
        <w:spacing w:before="0"/>
        <w:ind w:left="0" w:right="1134"/>
        <w:rPr>
          <w:rStyle w:val="default"/>
          <w:rFonts w:ascii="FrankRuehl" w:hAnsi="FrankRuehl" w:cs="FrankRuehl"/>
          <w:vanish/>
          <w:color w:val="FF0000"/>
          <w:szCs w:val="20"/>
          <w:shd w:val="clear" w:color="auto" w:fill="FFFF99"/>
          <w:rtl/>
        </w:rPr>
      </w:pPr>
      <w:bookmarkStart w:id="9" w:name="Rov20"/>
      <w:r w:rsidRPr="00940510">
        <w:rPr>
          <w:rStyle w:val="default"/>
          <w:rFonts w:ascii="FrankRuehl" w:hAnsi="FrankRuehl" w:cs="FrankRuehl"/>
          <w:vanish/>
          <w:color w:val="FF0000"/>
          <w:szCs w:val="20"/>
          <w:shd w:val="clear" w:color="auto" w:fill="FFFF99"/>
          <w:rtl/>
        </w:rPr>
        <w:t>מיום 1.1.2022</w:t>
      </w:r>
    </w:p>
    <w:p w14:paraId="7CF7981B" w14:textId="77777777" w:rsidR="00570DFD" w:rsidRPr="00940510" w:rsidRDefault="00570DFD" w:rsidP="00570DFD">
      <w:pPr>
        <w:pStyle w:val="P00"/>
        <w:spacing w:before="0"/>
        <w:ind w:left="0" w:right="1134"/>
        <w:rPr>
          <w:rStyle w:val="default"/>
          <w:rFonts w:ascii="FrankRuehl" w:hAnsi="FrankRuehl" w:cs="FrankRuehl"/>
          <w:vanish/>
          <w:szCs w:val="20"/>
          <w:shd w:val="clear" w:color="auto" w:fill="FFFF99"/>
          <w:rtl/>
        </w:rPr>
      </w:pPr>
      <w:r w:rsidRPr="00940510">
        <w:rPr>
          <w:rStyle w:val="default"/>
          <w:rFonts w:ascii="FrankRuehl" w:hAnsi="FrankRuehl" w:cs="FrankRuehl"/>
          <w:b/>
          <w:bCs/>
          <w:vanish/>
          <w:szCs w:val="20"/>
          <w:shd w:val="clear" w:color="auto" w:fill="FFFF99"/>
          <w:rtl/>
        </w:rPr>
        <w:t>תיקון מס' 1</w:t>
      </w:r>
    </w:p>
    <w:p w14:paraId="41932E52" w14:textId="77777777" w:rsidR="00570DFD" w:rsidRPr="00940510" w:rsidRDefault="00570DFD" w:rsidP="00570DFD">
      <w:pPr>
        <w:pStyle w:val="P00"/>
        <w:spacing w:before="0"/>
        <w:ind w:left="0" w:right="1134"/>
        <w:rPr>
          <w:rStyle w:val="default"/>
          <w:rFonts w:ascii="FrankRuehl" w:hAnsi="FrankRuehl" w:cs="FrankRuehl"/>
          <w:vanish/>
          <w:szCs w:val="20"/>
          <w:shd w:val="clear" w:color="auto" w:fill="FFFF99"/>
          <w:rtl/>
        </w:rPr>
      </w:pPr>
      <w:hyperlink r:id="rId8" w:history="1">
        <w:r w:rsidRPr="00940510">
          <w:rPr>
            <w:rStyle w:val="Hyperlink"/>
            <w:rFonts w:ascii="FrankRuehl" w:hAnsi="FrankRuehl"/>
            <w:vanish/>
            <w:szCs w:val="20"/>
            <w:shd w:val="clear" w:color="auto" w:fill="FFFF99"/>
            <w:rtl/>
          </w:rPr>
          <w:t>ס"ח תשפ"ב מס' 2933</w:t>
        </w:r>
      </w:hyperlink>
      <w:r w:rsidRPr="00940510">
        <w:rPr>
          <w:rStyle w:val="default"/>
          <w:rFonts w:ascii="FrankRuehl" w:hAnsi="FrankRuehl" w:cs="FrankRuehl"/>
          <w:vanish/>
          <w:szCs w:val="20"/>
          <w:shd w:val="clear" w:color="auto" w:fill="FFFF99"/>
          <w:rtl/>
        </w:rPr>
        <w:t xml:space="preserve"> מיום 18.11.2021 עמ' 148 (</w:t>
      </w:r>
      <w:hyperlink r:id="rId9" w:history="1">
        <w:r w:rsidRPr="00940510">
          <w:rPr>
            <w:rStyle w:val="Hyperlink"/>
            <w:rFonts w:ascii="FrankRuehl" w:hAnsi="FrankRuehl"/>
            <w:vanish/>
            <w:szCs w:val="20"/>
            <w:shd w:val="clear" w:color="auto" w:fill="FFFF99"/>
            <w:rtl/>
          </w:rPr>
          <w:t>ה"ח 1443</w:t>
        </w:r>
      </w:hyperlink>
      <w:r w:rsidRPr="00940510">
        <w:rPr>
          <w:rStyle w:val="default"/>
          <w:rFonts w:ascii="FrankRuehl" w:hAnsi="FrankRuehl" w:cs="FrankRuehl"/>
          <w:vanish/>
          <w:szCs w:val="20"/>
          <w:shd w:val="clear" w:color="auto" w:fill="FFFF99"/>
          <w:rtl/>
        </w:rPr>
        <w:t>)</w:t>
      </w:r>
    </w:p>
    <w:p w14:paraId="4664CE3D" w14:textId="77777777" w:rsidR="00570DFD" w:rsidRPr="00940510" w:rsidRDefault="00570DFD" w:rsidP="00570DFD">
      <w:pPr>
        <w:pStyle w:val="P00"/>
        <w:ind w:left="0" w:right="1134"/>
        <w:rPr>
          <w:rStyle w:val="default"/>
          <w:rFonts w:cs="FrankRuehl" w:hint="cs"/>
          <w:vanish/>
          <w:sz w:val="16"/>
          <w:szCs w:val="22"/>
          <w:shd w:val="clear" w:color="auto" w:fill="FFFF99"/>
          <w:rtl/>
        </w:rPr>
      </w:pPr>
      <w:r w:rsidRPr="00940510">
        <w:rPr>
          <w:rStyle w:val="default"/>
          <w:rFonts w:cs="FrankRuehl"/>
          <w:vanish/>
          <w:sz w:val="16"/>
          <w:szCs w:val="22"/>
          <w:shd w:val="clear" w:color="auto" w:fill="FFFF99"/>
          <w:rtl/>
        </w:rPr>
        <w:tab/>
      </w:r>
      <w:r w:rsidRPr="00940510">
        <w:rPr>
          <w:rStyle w:val="default"/>
          <w:rFonts w:cs="FrankRuehl" w:hint="cs"/>
          <w:vanish/>
          <w:sz w:val="16"/>
          <w:szCs w:val="22"/>
          <w:shd w:val="clear" w:color="auto" w:fill="FFFF99"/>
          <w:rtl/>
        </w:rPr>
        <w:t>(א)</w:t>
      </w:r>
      <w:r w:rsidRPr="00940510">
        <w:rPr>
          <w:rStyle w:val="default"/>
          <w:rFonts w:cs="FrankRuehl" w:hint="cs"/>
          <w:vanish/>
          <w:sz w:val="16"/>
          <w:szCs w:val="22"/>
          <w:shd w:val="clear" w:color="auto" w:fill="FFFF99"/>
          <w:rtl/>
        </w:rPr>
        <w:tab/>
        <w:t>השר ימנה ועדה מייעצת בת שישה חברים, ואלה הם:</w:t>
      </w:r>
    </w:p>
    <w:p w14:paraId="2448DAD2" w14:textId="77777777" w:rsidR="00570DFD" w:rsidRPr="00570DFD" w:rsidRDefault="00570DFD" w:rsidP="00570DFD">
      <w:pPr>
        <w:pStyle w:val="P00"/>
        <w:spacing w:before="0"/>
        <w:ind w:left="1021" w:right="1134"/>
        <w:rPr>
          <w:rStyle w:val="default"/>
          <w:rFonts w:cs="FrankRuehl" w:hint="cs"/>
          <w:sz w:val="2"/>
          <w:szCs w:val="2"/>
          <w:rtl/>
        </w:rPr>
      </w:pPr>
      <w:r w:rsidRPr="00940510">
        <w:rPr>
          <w:rStyle w:val="default"/>
          <w:rFonts w:cs="FrankRuehl" w:hint="cs"/>
          <w:vanish/>
          <w:sz w:val="16"/>
          <w:szCs w:val="22"/>
          <w:shd w:val="clear" w:color="auto" w:fill="FFFF99"/>
          <w:rtl/>
        </w:rPr>
        <w:t>(1)</w:t>
      </w:r>
      <w:r w:rsidRPr="00940510">
        <w:rPr>
          <w:rStyle w:val="default"/>
          <w:rFonts w:cs="FrankRuehl" w:hint="cs"/>
          <w:vanish/>
          <w:sz w:val="16"/>
          <w:szCs w:val="22"/>
          <w:shd w:val="clear" w:color="auto" w:fill="FFFF99"/>
          <w:rtl/>
        </w:rPr>
        <w:tab/>
      </w:r>
      <w:r w:rsidRPr="00940510">
        <w:rPr>
          <w:rStyle w:val="default"/>
          <w:rFonts w:cs="FrankRuehl" w:hint="cs"/>
          <w:strike/>
          <w:vanish/>
          <w:sz w:val="16"/>
          <w:szCs w:val="22"/>
          <w:shd w:val="clear" w:color="auto" w:fill="FFFF99"/>
          <w:rtl/>
        </w:rPr>
        <w:t>נציג משרד ראש הממשלה, שהוא עובד המשרד, לפי המלצת המנהל הכללי של משרד ראש הממשלה</w:t>
      </w:r>
      <w:r w:rsidRPr="00940510">
        <w:rPr>
          <w:rStyle w:val="default"/>
          <w:rFonts w:cs="FrankRuehl" w:hint="cs"/>
          <w:vanish/>
          <w:sz w:val="16"/>
          <w:szCs w:val="22"/>
          <w:shd w:val="clear" w:color="auto" w:fill="FFFF99"/>
          <w:rtl/>
        </w:rPr>
        <w:t xml:space="preserve"> </w:t>
      </w:r>
      <w:r w:rsidRPr="00940510">
        <w:rPr>
          <w:rStyle w:val="default"/>
          <w:rFonts w:cs="FrankRuehl" w:hint="cs"/>
          <w:vanish/>
          <w:sz w:val="16"/>
          <w:szCs w:val="22"/>
          <w:u w:val="single"/>
          <w:shd w:val="clear" w:color="auto" w:fill="FFFF99"/>
          <w:rtl/>
        </w:rPr>
        <w:t>יושב ראש הרשות כהגדרתו בחוק עקרונות האסדרה, התשפ"ב-2021, או עובד הרשות האמורה שימנה היושב ראש</w:t>
      </w:r>
      <w:r w:rsidRPr="00940510">
        <w:rPr>
          <w:rStyle w:val="default"/>
          <w:rFonts w:cs="FrankRuehl" w:hint="cs"/>
          <w:vanish/>
          <w:sz w:val="16"/>
          <w:szCs w:val="22"/>
          <w:shd w:val="clear" w:color="auto" w:fill="FFFF99"/>
          <w:rtl/>
        </w:rPr>
        <w:t>, והוא יהיה היושב ראש;</w:t>
      </w:r>
      <w:bookmarkEnd w:id="9"/>
    </w:p>
    <w:p w14:paraId="19FF69E8" w14:textId="77777777" w:rsidR="003F2762" w:rsidRDefault="003F2762" w:rsidP="000406E7">
      <w:pPr>
        <w:pStyle w:val="P00"/>
        <w:spacing w:before="72"/>
        <w:ind w:left="0" w:right="1134"/>
        <w:rPr>
          <w:rStyle w:val="default"/>
          <w:rFonts w:cs="FrankRuehl" w:hint="cs"/>
          <w:rtl/>
        </w:rPr>
      </w:pPr>
      <w:bookmarkStart w:id="10" w:name="Seif2"/>
      <w:bookmarkEnd w:id="10"/>
      <w:r>
        <w:rPr>
          <w:lang w:val="he-IL"/>
        </w:rPr>
        <w:pict w14:anchorId="2ED7F676">
          <v:rect id="_x0000_s2066" style="position:absolute;left:0;text-align:left;margin-left:464.5pt;margin-top:8.05pt;width:75.05pt;height:16.3pt;z-index:251649024" o:allowincell="f" filled="f" stroked="f" strokecolor="lime" strokeweight=".25pt">
            <v:textbox inset="0,0,0,0">
              <w:txbxContent>
                <w:p w14:paraId="2F14F1E7" w14:textId="77777777" w:rsidR="003F2762" w:rsidRDefault="000406E7">
                  <w:pPr>
                    <w:spacing w:line="160" w:lineRule="exact"/>
                    <w:jc w:val="left"/>
                    <w:rPr>
                      <w:rFonts w:cs="Miriam" w:hint="cs"/>
                      <w:noProof/>
                      <w:szCs w:val="18"/>
                      <w:rtl/>
                    </w:rPr>
                  </w:pPr>
                  <w:r>
                    <w:rPr>
                      <w:rFonts w:cs="Miriam" w:hint="cs"/>
                      <w:szCs w:val="18"/>
                      <w:rtl/>
                    </w:rPr>
                    <w:t>תפקידי הוועדה המייעצת</w:t>
                  </w:r>
                </w:p>
              </w:txbxContent>
            </v:textbox>
            <w10:anchorlock/>
          </v:rect>
        </w:pict>
      </w:r>
      <w:r>
        <w:rPr>
          <w:rStyle w:val="big-number"/>
          <w:rtl/>
        </w:rPr>
        <w:t>8.</w:t>
      </w:r>
      <w:r>
        <w:rPr>
          <w:rStyle w:val="big-number"/>
          <w:rtl/>
        </w:rPr>
        <w:tab/>
      </w:r>
      <w:r w:rsidR="000406E7">
        <w:rPr>
          <w:rStyle w:val="default"/>
          <w:rFonts w:cs="FrankRuehl" w:hint="cs"/>
          <w:rtl/>
        </w:rPr>
        <w:t>תפקידי הוועדה המייעצת הם לדון בהודעת מאסדר ולמסור לו את המלצתה, ולקיים דיון נוסף בהמלצתה לבקשת המאסדר, לפי הוראות סעיף 9, או לבקשת אחד מהשרים.</w:t>
      </w:r>
    </w:p>
    <w:p w14:paraId="768EA4EC" w14:textId="77777777" w:rsidR="003F2762" w:rsidRDefault="003F2762" w:rsidP="000406E7">
      <w:pPr>
        <w:pStyle w:val="P00"/>
        <w:spacing w:before="72"/>
        <w:ind w:left="0" w:right="1134"/>
        <w:rPr>
          <w:rStyle w:val="default"/>
          <w:rFonts w:cs="FrankRuehl" w:hint="cs"/>
          <w:rtl/>
        </w:rPr>
      </w:pPr>
      <w:bookmarkStart w:id="11" w:name="Seif3"/>
      <w:bookmarkEnd w:id="11"/>
      <w:r>
        <w:rPr>
          <w:lang w:val="he-IL"/>
        </w:rPr>
        <w:pict w14:anchorId="2E16D2DA">
          <v:rect id="_x0000_s2067" style="position:absolute;left:0;text-align:left;margin-left:464.5pt;margin-top:8.05pt;width:75.05pt;height:17pt;z-index:251650048" o:allowincell="f" filled="f" stroked="f" strokecolor="lime" strokeweight=".25pt">
            <v:textbox inset="0,0,0,0">
              <w:txbxContent>
                <w:p w14:paraId="40683B11" w14:textId="77777777" w:rsidR="003F2762" w:rsidRDefault="000406E7">
                  <w:pPr>
                    <w:spacing w:line="160" w:lineRule="exact"/>
                    <w:jc w:val="left"/>
                    <w:rPr>
                      <w:rFonts w:cs="Miriam" w:hint="cs"/>
                      <w:noProof/>
                      <w:szCs w:val="18"/>
                      <w:rtl/>
                    </w:rPr>
                  </w:pPr>
                  <w:r>
                    <w:rPr>
                      <w:rFonts w:cs="Miriam" w:hint="cs"/>
                      <w:szCs w:val="18"/>
                      <w:rtl/>
                    </w:rPr>
                    <w:t>המלצת הוועדה המייעצת</w:t>
                  </w:r>
                </w:p>
              </w:txbxContent>
            </v:textbox>
            <w10:anchorlock/>
          </v:rect>
        </w:pict>
      </w:r>
      <w:r>
        <w:rPr>
          <w:rStyle w:val="big-number"/>
          <w:rtl/>
        </w:rPr>
        <w:t>9</w:t>
      </w:r>
      <w:r w:rsidRPr="00C57973">
        <w:rPr>
          <w:rStyle w:val="default"/>
          <w:rFonts w:cs="FrankRuehl"/>
          <w:rtl/>
        </w:rPr>
        <w:t>.</w:t>
      </w:r>
      <w:r w:rsidRPr="00C57973">
        <w:rPr>
          <w:rStyle w:val="default"/>
          <w:rFonts w:cs="FrankRuehl"/>
          <w:rtl/>
        </w:rPr>
        <w:tab/>
      </w:r>
      <w:r w:rsidR="000406E7">
        <w:rPr>
          <w:rStyle w:val="default"/>
          <w:rFonts w:cs="FrankRuehl" w:hint="cs"/>
          <w:rtl/>
        </w:rPr>
        <w:t>(א)</w:t>
      </w:r>
      <w:r w:rsidR="000406E7">
        <w:rPr>
          <w:rStyle w:val="default"/>
          <w:rFonts w:cs="FrankRuehl" w:hint="cs"/>
          <w:rtl/>
        </w:rPr>
        <w:tab/>
        <w:t>מאסדר יודיע לוועדה המייעצת על כוונתו לקבוע מועד מוקדם של חובת סימון, לפי סעיף 3, לאסור סימון לפי הוראת סימון לפני מועד כניסתה לתוקף, לפי סעיף 4(ב), או להחיל הוראת סימון גם על מוצר ארוז מראש שסומן לפני מועד חובת הסימון, לפי סעיף 5(1); הודעת המאסדר לוועדה תהיה בכתב ותכלול את הנימוקים להצעה</w:t>
      </w:r>
      <w:r>
        <w:rPr>
          <w:rStyle w:val="default"/>
          <w:rFonts w:cs="FrankRuehl" w:hint="cs"/>
          <w:rtl/>
        </w:rPr>
        <w:t>.</w:t>
      </w:r>
    </w:p>
    <w:p w14:paraId="5959E20D" w14:textId="77777777" w:rsidR="000406E7" w:rsidRDefault="000406E7" w:rsidP="000406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המייעצת תמליץ למאסדר אם לקבוע את ההוראה כאמור בסעיף קטן (א), להימנע מקביעתה או לקבעה בשינויים, ותמסור לו את המלצתה בתוך 30 ימים ממועד פנייתו; מאסדר רשאי להגיש לוועדה המייעצת בקשה מנומקת בכתב לקיים דיון נוסף בפנייתו, בתוך 30 ימים ממועד קבלת המלצתה; ביקש מאסדר לקיים דיון נוסף, תמסור הוועדה המייעצת את המלצתה בתוך 18 ימים ממועד בקשת המאסדר.</w:t>
      </w:r>
    </w:p>
    <w:p w14:paraId="6841F159" w14:textId="77777777" w:rsidR="000406E7" w:rsidRDefault="000406E7" w:rsidP="000406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מאסדר רשאי לקבל את המלצת הוועדה המייעצת, לדחותה, כולה או חלקה, או לקבוע הוראה כאמור בסעיף קטן (א) אף בלא המלצתה, אם הוועדה לא מסרה את המלצתה בתוך התקופות האמורות בסעיף קטן (ב); דחה המאסדר את המלצת הוועדה המייעצת, לא יקבע הוראה כאמור אלא לאחר שהודיע לשרים על החלטתו בהודעה מנומקת בכתב בתוך שבעה ימים ממועד קבלת המלצת הוועדה, וחלפו שבעה ימים ממועד הודעתו לשרים.</w:t>
      </w:r>
    </w:p>
    <w:p w14:paraId="44D4E15D" w14:textId="77777777" w:rsidR="000406E7" w:rsidRDefault="000406E7" w:rsidP="000406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B3DFB">
        <w:rPr>
          <w:rStyle w:val="default"/>
          <w:rFonts w:cs="FrankRuehl" w:hint="cs"/>
          <w:rtl/>
        </w:rPr>
        <w:t xml:space="preserve">החלטת מאסדר לקבוע הוראה כאמור בסעיף קטן (א) ונימוקיה יפורסמו בתוך שבעה ימים באתר האינטרנט של משרדו, ואם הודיע לשרים על החלטתו כאמור בסעיף קטן (ג) </w:t>
      </w:r>
      <w:r w:rsidR="00DB3DFB">
        <w:rPr>
          <w:rStyle w:val="default"/>
          <w:rFonts w:cs="FrankRuehl"/>
          <w:rtl/>
        </w:rPr>
        <w:t>–</w:t>
      </w:r>
      <w:r w:rsidR="00DB3DFB">
        <w:rPr>
          <w:rStyle w:val="default"/>
          <w:rFonts w:cs="FrankRuehl" w:hint="cs"/>
          <w:rtl/>
        </w:rPr>
        <w:t xml:space="preserve"> בתוך שבעה ימים ממועד הודעתו לשרים; בפרסום לפי סעיף זה לא ייכלל מידע כהגדרתו בסעיף 7 לחוק הגנת הפרטיות.</w:t>
      </w:r>
    </w:p>
    <w:p w14:paraId="35D67431" w14:textId="77777777" w:rsidR="00C57973" w:rsidRDefault="00C57973" w:rsidP="00DB3DFB">
      <w:pPr>
        <w:pStyle w:val="P00"/>
        <w:spacing w:before="72"/>
        <w:ind w:left="0" w:right="1134"/>
        <w:rPr>
          <w:rStyle w:val="default"/>
          <w:rFonts w:cs="FrankRuehl" w:hint="cs"/>
          <w:rtl/>
        </w:rPr>
      </w:pPr>
      <w:bookmarkStart w:id="12" w:name="Seif10"/>
      <w:bookmarkEnd w:id="12"/>
      <w:r>
        <w:rPr>
          <w:lang w:val="he-IL"/>
        </w:rPr>
        <w:pict w14:anchorId="3CA3C1B3">
          <v:rect id="_x0000_s2113" style="position:absolute;left:0;text-align:left;margin-left:464.5pt;margin-top:8.05pt;width:75.05pt;height:34.35pt;z-index:251657216" o:allowincell="f" filled="f" stroked="f" strokecolor="lime" strokeweight=".25pt">
            <v:textbox inset="0,0,0,0">
              <w:txbxContent>
                <w:p w14:paraId="43234CA4" w14:textId="77777777" w:rsidR="00C57973" w:rsidRDefault="00DB3DFB" w:rsidP="00C57973">
                  <w:pPr>
                    <w:spacing w:line="160" w:lineRule="exact"/>
                    <w:jc w:val="left"/>
                    <w:rPr>
                      <w:rFonts w:cs="Miriam" w:hint="cs"/>
                      <w:noProof/>
                      <w:szCs w:val="18"/>
                      <w:rtl/>
                    </w:rPr>
                  </w:pPr>
                  <w:r>
                    <w:rPr>
                      <w:rFonts w:cs="Miriam" w:hint="cs"/>
                      <w:szCs w:val="18"/>
                      <w:rtl/>
                    </w:rPr>
                    <w:t>שיקולי הוועדה המייעצת לעניין קביעת מועד מוקדם של חובת סימון</w:t>
                  </w:r>
                </w:p>
              </w:txbxContent>
            </v:textbox>
            <w10:anchorlock/>
          </v:rect>
        </w:pict>
      </w:r>
      <w:r>
        <w:rPr>
          <w:rStyle w:val="big-number"/>
          <w:rFonts w:hint="cs"/>
          <w:rtl/>
        </w:rPr>
        <w:t>10</w:t>
      </w:r>
      <w:r w:rsidRPr="00C57973">
        <w:rPr>
          <w:rStyle w:val="default"/>
          <w:rFonts w:cs="FrankRuehl"/>
          <w:rtl/>
        </w:rPr>
        <w:t>.</w:t>
      </w:r>
      <w:r w:rsidRPr="00C57973">
        <w:rPr>
          <w:rStyle w:val="default"/>
          <w:rFonts w:cs="FrankRuehl"/>
          <w:rtl/>
        </w:rPr>
        <w:tab/>
      </w:r>
      <w:r w:rsidR="00DB3DFB">
        <w:rPr>
          <w:rStyle w:val="default"/>
          <w:rFonts w:cs="FrankRuehl" w:hint="cs"/>
          <w:rtl/>
        </w:rPr>
        <w:t>לשם מתן המלצתה למאסדר לקבוע מועד מוקדם של חובת סימון תבחן הוועדה המייעצת אם התקיימו הנסיבות האמורות בסעיף 3, ותשקול את השפעת חובת הסימון במועד מוקדם על פעולת עוסק במוצר מזון ארוז מראש, על צרכנים ועל מאסדרים אחרים, ובכלל זה תביא בחשבון את מאפייני המזון הארוז מראש, הרכבו, אריזתו, ייעודו ואחזקתו ואת מאפייני צרכניו וגילם</w:t>
      </w:r>
      <w:r>
        <w:rPr>
          <w:rStyle w:val="default"/>
          <w:rFonts w:cs="FrankRuehl" w:hint="cs"/>
          <w:rtl/>
        </w:rPr>
        <w:t>.</w:t>
      </w:r>
    </w:p>
    <w:p w14:paraId="7F34599C" w14:textId="77777777" w:rsidR="00C57973" w:rsidRDefault="00C57973" w:rsidP="00DB3DFB">
      <w:pPr>
        <w:pStyle w:val="P00"/>
        <w:spacing w:before="72"/>
        <w:ind w:left="0" w:right="1134"/>
        <w:rPr>
          <w:rStyle w:val="default"/>
          <w:rFonts w:cs="FrankRuehl" w:hint="cs"/>
          <w:rtl/>
        </w:rPr>
      </w:pPr>
      <w:bookmarkStart w:id="13" w:name="Seif11"/>
      <w:bookmarkEnd w:id="13"/>
      <w:r>
        <w:rPr>
          <w:lang w:val="he-IL"/>
        </w:rPr>
        <w:pict w14:anchorId="714AB4F5">
          <v:rect id="_x0000_s2114" style="position:absolute;left:0;text-align:left;margin-left:464.5pt;margin-top:8.05pt;width:75.05pt;height:20.25pt;z-index:251658240" o:allowincell="f" filled="f" stroked="f" strokecolor="lime" strokeweight=".25pt">
            <v:textbox inset="0,0,0,0">
              <w:txbxContent>
                <w:p w14:paraId="0223039D" w14:textId="77777777" w:rsidR="00C57973" w:rsidRDefault="00DB3DFB" w:rsidP="00C57973">
                  <w:pPr>
                    <w:spacing w:line="160" w:lineRule="exact"/>
                    <w:jc w:val="left"/>
                    <w:rPr>
                      <w:rFonts w:cs="Miriam" w:hint="cs"/>
                      <w:noProof/>
                      <w:szCs w:val="18"/>
                      <w:rtl/>
                    </w:rPr>
                  </w:pPr>
                  <w:r>
                    <w:rPr>
                      <w:rFonts w:cs="Miriam" w:hint="cs"/>
                      <w:szCs w:val="18"/>
                      <w:rtl/>
                    </w:rPr>
                    <w:t>סדרי העבודה של הוועדה המייעצת</w:t>
                  </w:r>
                </w:p>
              </w:txbxContent>
            </v:textbox>
            <w10:anchorlock/>
          </v:rect>
        </w:pict>
      </w:r>
      <w:r>
        <w:rPr>
          <w:rStyle w:val="big-number"/>
          <w:rFonts w:hint="cs"/>
          <w:rtl/>
        </w:rPr>
        <w:t>1</w:t>
      </w:r>
      <w:r w:rsidR="00DB3DFB">
        <w:rPr>
          <w:rStyle w:val="big-number"/>
          <w:rFonts w:hint="cs"/>
          <w:rtl/>
        </w:rPr>
        <w:t>1</w:t>
      </w:r>
      <w:r w:rsidRPr="00C57973">
        <w:rPr>
          <w:rStyle w:val="default"/>
          <w:rFonts w:cs="FrankRuehl"/>
          <w:rtl/>
        </w:rPr>
        <w:t>.</w:t>
      </w:r>
      <w:r w:rsidRPr="00C57973">
        <w:rPr>
          <w:rStyle w:val="default"/>
          <w:rFonts w:cs="FrankRuehl"/>
          <w:rtl/>
        </w:rPr>
        <w:tab/>
      </w:r>
      <w:r w:rsidR="00DB3DFB">
        <w:rPr>
          <w:rStyle w:val="default"/>
          <w:rFonts w:cs="FrankRuehl" w:hint="cs"/>
          <w:rtl/>
        </w:rPr>
        <w:t>(א)</w:t>
      </w:r>
      <w:r w:rsidR="00DB3DFB">
        <w:rPr>
          <w:rStyle w:val="default"/>
          <w:rFonts w:cs="FrankRuehl" w:hint="cs"/>
          <w:rtl/>
        </w:rPr>
        <w:tab/>
        <w:t xml:space="preserve">הודיע מאסדר לוועדה המייעצת כאמור בסעיף 9(א), תפרסם הוועדה הודעה לציבור על כוונתה לדון בהודעת המאסדר, באתר האינטרנט של משרד הכלכלה, במקום נגיש ובולט, בעברית ובערבית, וכן בשפות אחרות אם מצאה לנכון לעשות כן; בהודעה יצוין בין השאר כי כל אדם רשאי למסור את עמדתו לוועדה המייעצת בדואר ובדואר אלקטרוני, ובדרך אחרת </w:t>
      </w:r>
      <w:r w:rsidR="00DB3DFB">
        <w:rPr>
          <w:rStyle w:val="default"/>
          <w:rFonts w:cs="FrankRuehl"/>
          <w:rtl/>
        </w:rPr>
        <w:t>–</w:t>
      </w:r>
      <w:r w:rsidR="00DB3DFB">
        <w:rPr>
          <w:rStyle w:val="default"/>
          <w:rFonts w:cs="FrankRuehl" w:hint="cs"/>
          <w:rtl/>
        </w:rPr>
        <w:t xml:space="preserve"> אם הוועדה המייעצת הודיעה על כך, בתוך שבעה ימים ממועד פרסום ההודעה</w:t>
      </w:r>
      <w:r>
        <w:rPr>
          <w:rStyle w:val="default"/>
          <w:rFonts w:cs="FrankRuehl" w:hint="cs"/>
          <w:rtl/>
        </w:rPr>
        <w:t>.</w:t>
      </w:r>
    </w:p>
    <w:p w14:paraId="165E9F66" w14:textId="77777777" w:rsidR="00DB3DFB" w:rsidRDefault="00DB3DFB" w:rsidP="00DB3D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ישלח בדואר אלקטרוני את הודעת הוועדה שפורסמה כאמור בסעיף קטן (א) למי שביקש מראש, בהודעת דואר אלקטרוני לכתובת שהוועדה פרסמה באתר האינטרנט של משרד הכלכלה, בדואר רשום או בדרך אחרת שפורסמה באתר האינטרנט של המשרד, להיכלל ברשימת התפוצה של הוועדה המייעצת.</w:t>
      </w:r>
    </w:p>
    <w:p w14:paraId="4715CAEB" w14:textId="77777777" w:rsidR="00DB3DFB" w:rsidRDefault="00DB3DFB" w:rsidP="00DB3D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תדון בעמדות שנמסרו לה, והיא רשאית להזמין את מגישי העמדות, כולם או חלקם, להופיע לפניה.</w:t>
      </w:r>
    </w:p>
    <w:p w14:paraId="2A16826C" w14:textId="77777777" w:rsidR="00DB3DFB" w:rsidRDefault="00DB3DFB" w:rsidP="00DB3DF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תנהל פרוטוקולים של דיוניה.</w:t>
      </w:r>
    </w:p>
    <w:p w14:paraId="3C963609" w14:textId="77777777" w:rsidR="00DB3DFB" w:rsidRDefault="00DB3DFB" w:rsidP="00DB3DF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90B97">
        <w:rPr>
          <w:rStyle w:val="default"/>
          <w:rFonts w:cs="FrankRuehl" w:hint="cs"/>
          <w:rtl/>
        </w:rPr>
        <w:t>הוועדה המייעצת תפרסם את המלצותיה ואת הנימוקים להן באתר האינטרנר של משרד הכלכלה בתוך שבעה ימים ממועד מסירתן למאסדר; בפרסום לפי סעיף זה לא ייכלל מידע כהגדרתו בסעיף 7 לחוק הגנת הפרטיות.</w:t>
      </w:r>
    </w:p>
    <w:p w14:paraId="69A3D813" w14:textId="77777777" w:rsidR="00190B97" w:rsidRDefault="00190B97" w:rsidP="00DB3DF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הוועדה המייעצת תקבע לעצמה את סדרי עבודתה ואת נוהלי דיוניה, ככל שלא נקבעו לפי חוק זה, ולשם מילוי תפקידיה היא רשאית לשמוע כל אדם ולבקש מכל אדם למסור לה מידע או מסמך הנוגע לתפקידיה, למעט מידע כהגדרתו בסעיף 7 לחוק הגנת הפרטיות; לעניין זה, "מסמך" </w:t>
      </w:r>
      <w:r>
        <w:rPr>
          <w:rStyle w:val="default"/>
          <w:rFonts w:cs="FrankRuehl"/>
          <w:rtl/>
        </w:rPr>
        <w:t>–</w:t>
      </w:r>
      <w:r>
        <w:rPr>
          <w:rStyle w:val="default"/>
          <w:rFonts w:cs="FrankRuehl" w:hint="cs"/>
          <w:rtl/>
        </w:rPr>
        <w:t xml:space="preserve"> כהגדרתו בסעיף 8ד לחוק התקנים, התשי"ג-1953.</w:t>
      </w:r>
    </w:p>
    <w:p w14:paraId="4DA544D1" w14:textId="77777777" w:rsidR="00C57973" w:rsidRDefault="00C57973" w:rsidP="00190B97">
      <w:pPr>
        <w:pStyle w:val="P00"/>
        <w:spacing w:before="72"/>
        <w:ind w:left="0" w:right="1134"/>
        <w:rPr>
          <w:rStyle w:val="default"/>
          <w:rFonts w:cs="FrankRuehl" w:hint="cs"/>
          <w:rtl/>
        </w:rPr>
      </w:pPr>
      <w:bookmarkStart w:id="14" w:name="Seif12"/>
      <w:bookmarkEnd w:id="14"/>
      <w:r>
        <w:rPr>
          <w:lang w:val="he-IL"/>
        </w:rPr>
        <w:pict w14:anchorId="5A0D1F67">
          <v:rect id="_x0000_s2115" style="position:absolute;left:0;text-align:left;margin-left:464.5pt;margin-top:8.05pt;width:75.05pt;height:17.1pt;z-index:251659264" o:allowincell="f" filled="f" stroked="f" strokecolor="lime" strokeweight=".25pt">
            <v:textbox inset="0,0,0,0">
              <w:txbxContent>
                <w:p w14:paraId="1A5DAE7E" w14:textId="77777777" w:rsidR="00C57973" w:rsidRDefault="00190B97" w:rsidP="00C57973">
                  <w:pPr>
                    <w:spacing w:line="160" w:lineRule="exact"/>
                    <w:jc w:val="left"/>
                    <w:rPr>
                      <w:rFonts w:cs="Miriam" w:hint="cs"/>
                      <w:noProof/>
                      <w:szCs w:val="18"/>
                      <w:rtl/>
                    </w:rPr>
                  </w:pPr>
                  <w:r>
                    <w:rPr>
                      <w:rFonts w:cs="Miriam" w:hint="cs"/>
                      <w:szCs w:val="18"/>
                      <w:rtl/>
                    </w:rPr>
                    <w:t>ישיבות הוועדה המייעצת</w:t>
                  </w:r>
                </w:p>
              </w:txbxContent>
            </v:textbox>
            <w10:anchorlock/>
          </v:rect>
        </w:pict>
      </w:r>
      <w:r>
        <w:rPr>
          <w:rStyle w:val="big-number"/>
          <w:rFonts w:hint="cs"/>
          <w:rtl/>
        </w:rPr>
        <w:t>1</w:t>
      </w:r>
      <w:r w:rsidR="00190B97">
        <w:rPr>
          <w:rStyle w:val="big-number"/>
          <w:rFonts w:hint="cs"/>
          <w:rtl/>
        </w:rPr>
        <w:t>2</w:t>
      </w:r>
      <w:r w:rsidRPr="00C57973">
        <w:rPr>
          <w:rStyle w:val="default"/>
          <w:rFonts w:cs="FrankRuehl"/>
          <w:rtl/>
        </w:rPr>
        <w:t>.</w:t>
      </w:r>
      <w:r w:rsidRPr="00C57973">
        <w:rPr>
          <w:rStyle w:val="default"/>
          <w:rFonts w:cs="FrankRuehl"/>
          <w:rtl/>
        </w:rPr>
        <w:tab/>
      </w:r>
      <w:r w:rsidR="00190B97">
        <w:rPr>
          <w:rStyle w:val="default"/>
          <w:rFonts w:cs="FrankRuehl" w:hint="cs"/>
          <w:rtl/>
        </w:rPr>
        <w:t>(א)</w:t>
      </w:r>
      <w:r w:rsidR="00190B97">
        <w:rPr>
          <w:rStyle w:val="default"/>
          <w:rFonts w:cs="FrankRuehl" w:hint="cs"/>
          <w:rtl/>
        </w:rPr>
        <w:tab/>
        <w:t>יושב ראש הוועדה המייעצת יזמן את ישיבותיה ויקבע את מועדיהן ואת סדר היום שלהן</w:t>
      </w:r>
      <w:r>
        <w:rPr>
          <w:rStyle w:val="default"/>
          <w:rFonts w:cs="FrankRuehl" w:hint="cs"/>
          <w:rtl/>
        </w:rPr>
        <w:t>.</w:t>
      </w:r>
    </w:p>
    <w:p w14:paraId="584DDFB0" w14:textId="77777777" w:rsidR="00190B97" w:rsidRDefault="00190B97" w:rsidP="00190B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המניין החוקי לישיבות הוועדה המייעצת הוא ארבעה חברים, ובלבד שיושב ראש הוועדה או ממלא מקומו נוכח בישיבה.</w:t>
      </w:r>
    </w:p>
    <w:p w14:paraId="3E8B5401" w14:textId="77777777" w:rsidR="00190B97" w:rsidRDefault="00190B97" w:rsidP="00190B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החלטות הוועדה המייעצת יתקבלו ברוב קולות הנוכחים בישיבה, ובלבד שיושב ראש הוועדה או ממלא מקומו נוכח בהצבעה; היו הקולות שקולים, תכריע עמדתו של היושב ראש, ובהיעדרו </w:t>
      </w:r>
      <w:r>
        <w:rPr>
          <w:rStyle w:val="default"/>
          <w:rFonts w:cs="FrankRuehl"/>
          <w:rtl/>
        </w:rPr>
        <w:t>–</w:t>
      </w:r>
      <w:r>
        <w:rPr>
          <w:rStyle w:val="default"/>
          <w:rFonts w:cs="FrankRuehl" w:hint="cs"/>
          <w:rtl/>
        </w:rPr>
        <w:t xml:space="preserve"> של ממלא מקומו.</w:t>
      </w:r>
    </w:p>
    <w:p w14:paraId="022287E1" w14:textId="77777777" w:rsidR="00190B97" w:rsidRDefault="00190B97" w:rsidP="00190B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112EC">
        <w:rPr>
          <w:rStyle w:val="default"/>
          <w:rFonts w:cs="FrankRuehl" w:hint="cs"/>
          <w:rtl/>
        </w:rPr>
        <w:t xml:space="preserve">לא התקיים מניין חוקי </w:t>
      </w:r>
      <w:r w:rsidR="00EB1F17">
        <w:rPr>
          <w:rStyle w:val="default"/>
          <w:rFonts w:cs="FrankRuehl" w:hint="cs"/>
          <w:rtl/>
        </w:rPr>
        <w:t>כאמור בסעיף קטן (ב), תתכנס הוועדה המייעצת פעם נוספת בתוך עשרה ימים; התכנסה הוועדה כאמור, יתקבלו החלטותיה ברוב קולות הנוכחים בישיבה, ובלבד שיושב ראש הוועדה או ממלא מקומו נוכח בהצבעה.</w:t>
      </w:r>
    </w:p>
    <w:p w14:paraId="01C36A3B" w14:textId="77777777" w:rsidR="00EB1F17" w:rsidRDefault="00EB1F17" w:rsidP="00190B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קיום ישיבת הוועדה המייעצת תומצא למאסדר, והוא או נציגו ישתתפו בה; הודיע המאסדר ליושב ראש הוועדה כי הוא מוותר על זכותו להשתתף בדיון או נעדר מהדיון בלי שמסר הודעה כאמור, תתקיים הישיבה בלעדיו; הודעת המאסדר כאמור, אם נמסרה, תצוין בפרוטוקול.</w:t>
      </w:r>
    </w:p>
    <w:p w14:paraId="40CF0259" w14:textId="77777777" w:rsidR="00C57973" w:rsidRDefault="00C57973" w:rsidP="00EB1F17">
      <w:pPr>
        <w:pStyle w:val="P00"/>
        <w:spacing w:before="72"/>
        <w:ind w:left="0" w:right="1134"/>
        <w:rPr>
          <w:rStyle w:val="default"/>
          <w:rFonts w:cs="FrankRuehl" w:hint="cs"/>
          <w:rtl/>
        </w:rPr>
      </w:pPr>
      <w:bookmarkStart w:id="15" w:name="Seif13"/>
      <w:bookmarkEnd w:id="15"/>
      <w:r>
        <w:rPr>
          <w:lang w:val="he-IL"/>
        </w:rPr>
        <w:pict w14:anchorId="447A8AC2">
          <v:rect id="_x0000_s2116" style="position:absolute;left:0;text-align:left;margin-left:464.5pt;margin-top:8.05pt;width:75.05pt;height:14.55pt;z-index:251660288" o:allowincell="f" filled="f" stroked="f" strokecolor="lime" strokeweight=".25pt">
            <v:textbox inset="0,0,0,0">
              <w:txbxContent>
                <w:p w14:paraId="57042D26" w14:textId="77777777" w:rsidR="00C57973" w:rsidRDefault="00EB1F17" w:rsidP="00C57973">
                  <w:pPr>
                    <w:spacing w:line="160" w:lineRule="exact"/>
                    <w:jc w:val="left"/>
                    <w:rPr>
                      <w:rFonts w:cs="Miriam" w:hint="cs"/>
                      <w:noProof/>
                      <w:szCs w:val="18"/>
                      <w:rtl/>
                    </w:rPr>
                  </w:pPr>
                  <w:r>
                    <w:rPr>
                      <w:rFonts w:cs="Miriam" w:hint="cs"/>
                      <w:szCs w:val="18"/>
                      <w:rtl/>
                    </w:rPr>
                    <w:t>ניגוד עניינים</w:t>
                  </w:r>
                </w:p>
              </w:txbxContent>
            </v:textbox>
            <w10:anchorlock/>
          </v:rect>
        </w:pict>
      </w:r>
      <w:r>
        <w:rPr>
          <w:rStyle w:val="big-number"/>
          <w:rFonts w:hint="cs"/>
          <w:rtl/>
        </w:rPr>
        <w:t>1</w:t>
      </w:r>
      <w:r w:rsidR="00EB1F17">
        <w:rPr>
          <w:rStyle w:val="big-number"/>
          <w:rFonts w:hint="cs"/>
          <w:rtl/>
        </w:rPr>
        <w:t>3</w:t>
      </w:r>
      <w:r w:rsidRPr="00C57973">
        <w:rPr>
          <w:rStyle w:val="default"/>
          <w:rFonts w:cs="FrankRuehl"/>
          <w:rtl/>
        </w:rPr>
        <w:t>.</w:t>
      </w:r>
      <w:r w:rsidRPr="00C57973">
        <w:rPr>
          <w:rStyle w:val="default"/>
          <w:rFonts w:cs="FrankRuehl"/>
          <w:rtl/>
        </w:rPr>
        <w:tab/>
      </w:r>
      <w:r w:rsidR="00EB1F17">
        <w:rPr>
          <w:rStyle w:val="default"/>
          <w:rFonts w:cs="FrankRuehl" w:hint="cs"/>
          <w:rtl/>
        </w:rPr>
        <w:t>(א)</w:t>
      </w:r>
      <w:r w:rsidR="00EB1F17">
        <w:rPr>
          <w:rStyle w:val="default"/>
          <w:rFonts w:cs="FrankRuehl" w:hint="cs"/>
          <w:rtl/>
        </w:rPr>
        <w:tab/>
        <w:t xml:space="preserve">חבר הוועדה המייעצת יימנע מהשתתפות בדיון ומהצבעה בישיבות הוועדה אם הנושא עלול לגרום לו להימצא, במישרין או בעקיפין, במצב של ניגוד עניינים בין תפקידו לבין עניין אישי שלו או לבין תפקיד אחר שלו, ולא יטפל במסגרת תפקידו בנושא העלול לגרום לו להימצא במצב כאמור גם מחוץ לישיבות הוועדה; לעניין זה, "עניין אישי" ו"קרוב" </w:t>
      </w:r>
      <w:r w:rsidR="00EB1F17">
        <w:rPr>
          <w:rStyle w:val="default"/>
          <w:rFonts w:cs="FrankRuehl"/>
          <w:rtl/>
        </w:rPr>
        <w:t>–</w:t>
      </w:r>
      <w:r w:rsidR="00EB1F17">
        <w:rPr>
          <w:rStyle w:val="default"/>
          <w:rFonts w:cs="FrankRuehl" w:hint="cs"/>
          <w:rtl/>
        </w:rPr>
        <w:t xml:space="preserve"> כהגדרתם בסעיף 7(ב)(3)</w:t>
      </w:r>
      <w:r>
        <w:rPr>
          <w:rStyle w:val="default"/>
          <w:rFonts w:cs="FrankRuehl" w:hint="cs"/>
          <w:rtl/>
        </w:rPr>
        <w:t>.</w:t>
      </w:r>
    </w:p>
    <w:p w14:paraId="6099E18C" w14:textId="77777777" w:rsidR="00EB1F17" w:rsidRDefault="00EB1F17" w:rsidP="00EB1F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התברר לחבר הוועדה המייעצת או ליושב ראש הוועדה כי הנושא הנדון בישיבת הוועדה או המטופל על ידיו עלול לגרום לו להימצא במצב של ניגוד עניינים כאמור בסעיף קטן (א), יודיע על כך בלא דיחוי ליושב ראש הוועדה או לשר, לפי העניין.</w:t>
      </w:r>
    </w:p>
    <w:p w14:paraId="0A6EAC87" w14:textId="77777777" w:rsidR="00EB1F17" w:rsidRDefault="00EB1F17" w:rsidP="00EB1F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חבר הוועדה המייעצת רשאי להביא בחשבון גם את ענייניו של הגוף שהוא נציגו, ולא יראו אותו כמצוי במצב של ניגוד עניינים בשל כך בלבד.</w:t>
      </w:r>
    </w:p>
    <w:p w14:paraId="52DD6366" w14:textId="77777777" w:rsidR="00C57973" w:rsidRDefault="00C57973" w:rsidP="005B1539">
      <w:pPr>
        <w:pStyle w:val="P00"/>
        <w:spacing w:before="72"/>
        <w:ind w:left="0" w:right="1134"/>
        <w:rPr>
          <w:rStyle w:val="default"/>
          <w:rFonts w:cs="FrankRuehl" w:hint="cs"/>
          <w:rtl/>
        </w:rPr>
      </w:pPr>
      <w:bookmarkStart w:id="16" w:name="Seif14"/>
      <w:bookmarkEnd w:id="16"/>
      <w:r>
        <w:rPr>
          <w:lang w:val="he-IL"/>
        </w:rPr>
        <w:pict w14:anchorId="2C2A143D">
          <v:rect id="_x0000_s2117" style="position:absolute;left:0;text-align:left;margin-left:464.5pt;margin-top:8.05pt;width:75.05pt;height:19.85pt;z-index:251661312" o:allowincell="f" filled="f" stroked="f" strokecolor="lime" strokeweight=".25pt">
            <v:textbox inset="0,0,0,0">
              <w:txbxContent>
                <w:p w14:paraId="30570DD3" w14:textId="77777777" w:rsidR="00C57973" w:rsidRDefault="005B1539" w:rsidP="00C57973">
                  <w:pPr>
                    <w:spacing w:line="160" w:lineRule="exact"/>
                    <w:jc w:val="left"/>
                    <w:rPr>
                      <w:rFonts w:cs="Miriam" w:hint="cs"/>
                      <w:noProof/>
                      <w:szCs w:val="18"/>
                      <w:rtl/>
                    </w:rPr>
                  </w:pPr>
                  <w:r>
                    <w:rPr>
                      <w:rFonts w:cs="Miriam" w:hint="cs"/>
                      <w:szCs w:val="18"/>
                      <w:rtl/>
                    </w:rPr>
                    <w:t>הפסקת כהנה והשעיה</w:t>
                  </w:r>
                </w:p>
              </w:txbxContent>
            </v:textbox>
            <w10:anchorlock/>
          </v:rect>
        </w:pict>
      </w:r>
      <w:r>
        <w:rPr>
          <w:rStyle w:val="big-number"/>
          <w:rFonts w:hint="cs"/>
          <w:rtl/>
        </w:rPr>
        <w:t>1</w:t>
      </w:r>
      <w:r w:rsidR="00EB1F17">
        <w:rPr>
          <w:rStyle w:val="big-number"/>
          <w:rFonts w:hint="cs"/>
          <w:rtl/>
        </w:rPr>
        <w:t>4</w:t>
      </w:r>
      <w:r w:rsidRPr="00C57973">
        <w:rPr>
          <w:rStyle w:val="default"/>
          <w:rFonts w:cs="FrankRuehl"/>
          <w:rtl/>
        </w:rPr>
        <w:t>.</w:t>
      </w:r>
      <w:r w:rsidRPr="00C57973">
        <w:rPr>
          <w:rStyle w:val="default"/>
          <w:rFonts w:cs="FrankRuehl"/>
          <w:rtl/>
        </w:rPr>
        <w:tab/>
      </w:r>
      <w:r w:rsidR="005B1539">
        <w:rPr>
          <w:rStyle w:val="default"/>
          <w:rFonts w:cs="FrankRuehl" w:hint="cs"/>
          <w:rtl/>
        </w:rPr>
        <w:t>(א)</w:t>
      </w:r>
      <w:r w:rsidR="005B1539">
        <w:rPr>
          <w:rStyle w:val="default"/>
          <w:rFonts w:cs="FrankRuehl" w:hint="cs"/>
          <w:rtl/>
        </w:rPr>
        <w:tab/>
        <w:t>חבר הוועדה המייעצת יחדל לכהן לפני תום תקופת כהונתו באחת מאלה:</w:t>
      </w:r>
    </w:p>
    <w:p w14:paraId="123B2E47" w14:textId="77777777" w:rsidR="005B1539" w:rsidRDefault="005B1539" w:rsidP="005228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14:paraId="036B14B1" w14:textId="77777777" w:rsidR="005B1539" w:rsidRDefault="005B1539" w:rsidP="005228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התקיימה אחת הנסיבות הפוסלות אותו מלהתמנות לחבר הוועדה המייעצת, למעט לפי סעיף 7(ב)(2);</w:t>
      </w:r>
    </w:p>
    <w:p w14:paraId="3E0574EF" w14:textId="77777777" w:rsidR="005B1539" w:rsidRDefault="005B1539" w:rsidP="0052288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חדל להיות עובד המשרד או הגוף שהוא מייצג;</w:t>
      </w:r>
    </w:p>
    <w:p w14:paraId="7263DC39" w14:textId="77777777" w:rsidR="005B1539" w:rsidRDefault="005B1539" w:rsidP="0052288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נבצר ממנו דרך קבע למלא את תפקידו;</w:t>
      </w:r>
    </w:p>
    <w:p w14:paraId="7C046A05" w14:textId="77777777" w:rsidR="005B1539" w:rsidRDefault="005B1539" w:rsidP="0052288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השר נוכח כי הוא נעדר בלא סיבה </w:t>
      </w:r>
      <w:r w:rsidR="00522887">
        <w:rPr>
          <w:rStyle w:val="default"/>
          <w:rFonts w:cs="FrankRuehl" w:hint="cs"/>
          <w:rtl/>
        </w:rPr>
        <w:t>סבירה משלוש ישיבות רצופות של הוועדה או מחמש ישיבות בתקופה של שנה אחת; יושב ראש הוועדה המייעצת ידווח לשר על חבר הוועדה שנעדר מישיבותיה כאמור; נוכח השר כאמור, יעביר את חבר הוועדה מכהונתו, בהודעה בכתב, לאחר שניתנה לו הזדמנות לטעון את טענותיו לפני השר.</w:t>
      </w:r>
    </w:p>
    <w:p w14:paraId="506430A2" w14:textId="77777777" w:rsidR="00522887" w:rsidRDefault="00522887" w:rsidP="005B15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נגד חבר הוועדה המייעצת כתב אישום בעבירה כאמור בסעיף 7(ב)(2), רשאי השר להשעותו מכהונתו עד לסיום ההליכים בעניינו; הושעה חבר ועדה כאמור, רשאי השר למנות לו ממלא מקום לתקופת ההשעיה, לפי הוראות סעיף 7.</w:t>
      </w:r>
    </w:p>
    <w:p w14:paraId="2EAAA991" w14:textId="77777777" w:rsidR="00C57973" w:rsidRDefault="00C57973" w:rsidP="00522887">
      <w:pPr>
        <w:pStyle w:val="P00"/>
        <w:spacing w:before="72"/>
        <w:ind w:left="0" w:right="1134"/>
        <w:rPr>
          <w:rStyle w:val="default"/>
          <w:rFonts w:cs="FrankRuehl" w:hint="cs"/>
          <w:rtl/>
        </w:rPr>
      </w:pPr>
      <w:bookmarkStart w:id="17" w:name="Seif15"/>
      <w:bookmarkEnd w:id="17"/>
      <w:r>
        <w:rPr>
          <w:lang w:val="he-IL"/>
        </w:rPr>
        <w:pict w14:anchorId="655720E1">
          <v:rect id="_x0000_s2118" style="position:absolute;left:0;text-align:left;margin-left:464.5pt;margin-top:8.05pt;width:75.05pt;height:14.55pt;z-index:251662336" o:allowincell="f" filled="f" stroked="f" strokecolor="lime" strokeweight=".25pt">
            <v:textbox inset="0,0,0,0">
              <w:txbxContent>
                <w:p w14:paraId="7DEA38E2" w14:textId="77777777" w:rsidR="00C57973" w:rsidRDefault="00C57973" w:rsidP="00C57973">
                  <w:pPr>
                    <w:spacing w:line="160" w:lineRule="exact"/>
                    <w:jc w:val="left"/>
                    <w:rPr>
                      <w:rFonts w:cs="Miriam" w:hint="cs"/>
                      <w:noProof/>
                      <w:szCs w:val="18"/>
                      <w:rtl/>
                    </w:rPr>
                  </w:pPr>
                  <w:r>
                    <w:rPr>
                      <w:rFonts w:cs="Miriam" w:hint="cs"/>
                      <w:szCs w:val="18"/>
                      <w:rtl/>
                    </w:rPr>
                    <w:t>תוקף</w:t>
                  </w:r>
                  <w:r w:rsidR="00522887">
                    <w:rPr>
                      <w:rFonts w:cs="Miriam" w:hint="cs"/>
                      <w:szCs w:val="18"/>
                      <w:rtl/>
                    </w:rPr>
                    <w:t xml:space="preserve"> פעולות</w:t>
                  </w:r>
                </w:p>
              </w:txbxContent>
            </v:textbox>
            <w10:anchorlock/>
          </v:rect>
        </w:pict>
      </w:r>
      <w:r>
        <w:rPr>
          <w:rStyle w:val="big-number"/>
          <w:rFonts w:hint="cs"/>
          <w:rtl/>
        </w:rPr>
        <w:t>1</w:t>
      </w:r>
      <w:r w:rsidR="00522887">
        <w:rPr>
          <w:rStyle w:val="big-number"/>
          <w:rFonts w:hint="cs"/>
          <w:rtl/>
        </w:rPr>
        <w:t>5</w:t>
      </w:r>
      <w:r w:rsidRPr="00C57973">
        <w:rPr>
          <w:rStyle w:val="default"/>
          <w:rFonts w:cs="FrankRuehl"/>
          <w:rtl/>
        </w:rPr>
        <w:t>.</w:t>
      </w:r>
      <w:r w:rsidRPr="00C57973">
        <w:rPr>
          <w:rStyle w:val="default"/>
          <w:rFonts w:cs="FrankRuehl"/>
          <w:rtl/>
        </w:rPr>
        <w:tab/>
      </w:r>
      <w:r w:rsidR="00522887">
        <w:rPr>
          <w:rStyle w:val="default"/>
          <w:rFonts w:cs="FrankRuehl" w:hint="cs"/>
          <w:rtl/>
        </w:rPr>
        <w:t>קיום הוועדה, סמכויותיה ותוקף פעולותיה, לא ייפגעו מחמת שהתפנה מקומו של חבר בה, או מחמת ליקוי במינויו או בהמשך כהונתו, ובלבד שרוב חבריה מכהנים כדין</w:t>
      </w:r>
      <w:r>
        <w:rPr>
          <w:rStyle w:val="default"/>
          <w:rFonts w:cs="FrankRuehl" w:hint="cs"/>
          <w:rtl/>
        </w:rPr>
        <w:t>.</w:t>
      </w:r>
    </w:p>
    <w:p w14:paraId="6437FD09" w14:textId="77777777" w:rsidR="00C57973" w:rsidRDefault="00C57973" w:rsidP="00522887">
      <w:pPr>
        <w:pStyle w:val="P00"/>
        <w:spacing w:before="72"/>
        <w:ind w:left="0" w:right="1134"/>
        <w:rPr>
          <w:rStyle w:val="default"/>
          <w:rFonts w:cs="FrankRuehl" w:hint="cs"/>
          <w:rtl/>
        </w:rPr>
      </w:pPr>
      <w:bookmarkStart w:id="18" w:name="Seif16"/>
      <w:bookmarkEnd w:id="18"/>
      <w:r>
        <w:rPr>
          <w:lang w:val="he-IL"/>
        </w:rPr>
        <w:pict w14:anchorId="5A9544D5">
          <v:rect id="_x0000_s2119" style="position:absolute;left:0;text-align:left;margin-left:464.5pt;margin-top:8.05pt;width:75.05pt;height:14.55pt;z-index:251663360" o:allowincell="f" filled="f" stroked="f" strokecolor="lime" strokeweight=".25pt">
            <v:textbox inset="0,0,0,0">
              <w:txbxContent>
                <w:p w14:paraId="01FD6CBE" w14:textId="77777777" w:rsidR="00C57973" w:rsidRDefault="00522887" w:rsidP="00C57973">
                  <w:pPr>
                    <w:spacing w:line="160" w:lineRule="exact"/>
                    <w:jc w:val="left"/>
                    <w:rPr>
                      <w:rFonts w:cs="Miriam" w:hint="cs"/>
                      <w:noProof/>
                      <w:szCs w:val="18"/>
                      <w:rtl/>
                    </w:rPr>
                  </w:pPr>
                  <w:r>
                    <w:rPr>
                      <w:rFonts w:cs="Miriam" w:hint="cs"/>
                      <w:szCs w:val="18"/>
                      <w:rtl/>
                    </w:rPr>
                    <w:t>החלת דינים</w:t>
                  </w:r>
                </w:p>
              </w:txbxContent>
            </v:textbox>
            <w10:anchorlock/>
          </v:rect>
        </w:pict>
      </w:r>
      <w:r>
        <w:rPr>
          <w:rStyle w:val="big-number"/>
          <w:rFonts w:hint="cs"/>
          <w:rtl/>
        </w:rPr>
        <w:t>1</w:t>
      </w:r>
      <w:r w:rsidR="00522887">
        <w:rPr>
          <w:rStyle w:val="big-number"/>
          <w:rFonts w:hint="cs"/>
          <w:rtl/>
        </w:rPr>
        <w:t>6</w:t>
      </w:r>
      <w:r w:rsidRPr="00C57973">
        <w:rPr>
          <w:rStyle w:val="default"/>
          <w:rFonts w:cs="FrankRuehl"/>
          <w:rtl/>
        </w:rPr>
        <w:t>.</w:t>
      </w:r>
      <w:r w:rsidRPr="00C57973">
        <w:rPr>
          <w:rStyle w:val="default"/>
          <w:rFonts w:cs="FrankRuehl"/>
          <w:rtl/>
        </w:rPr>
        <w:tab/>
      </w:r>
      <w:r w:rsidR="00522887">
        <w:rPr>
          <w:rStyle w:val="default"/>
          <w:rFonts w:cs="FrankRuehl" w:hint="cs"/>
          <w:rtl/>
        </w:rPr>
        <w:t>דינו של חבר הוועדה שהוא עובד מכון התקנים כדין עובד המדינה, לעניין חיקוקים אלה:</w:t>
      </w:r>
    </w:p>
    <w:p w14:paraId="52F3288C" w14:textId="77777777" w:rsidR="00522887" w:rsidRDefault="00522887" w:rsidP="0052288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14:paraId="55675A60" w14:textId="77777777" w:rsidR="00522887" w:rsidRDefault="00522887" w:rsidP="0052288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העונשין, התשל"ז-1977, לעניין ההוראות הנוגעות לעובדי המדינה;</w:t>
      </w:r>
    </w:p>
    <w:p w14:paraId="7902F4B5" w14:textId="77777777" w:rsidR="00522887" w:rsidRDefault="00522887" w:rsidP="0052288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w:t>
      </w:r>
    </w:p>
    <w:p w14:paraId="0172A9CF" w14:textId="77777777" w:rsidR="00522887" w:rsidRDefault="00522887" w:rsidP="0052288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פקודת הראיות [נוסח חדש], התשל"א-1971.</w:t>
      </w:r>
    </w:p>
    <w:p w14:paraId="26E92CF6" w14:textId="77777777" w:rsidR="00C57973" w:rsidRDefault="00C57973" w:rsidP="00522887">
      <w:pPr>
        <w:pStyle w:val="P00"/>
        <w:spacing w:before="72"/>
        <w:ind w:left="0" w:right="1134"/>
        <w:rPr>
          <w:rStyle w:val="default"/>
          <w:rFonts w:cs="FrankRuehl" w:hint="cs"/>
          <w:rtl/>
        </w:rPr>
      </w:pPr>
      <w:bookmarkStart w:id="19" w:name="Seif17"/>
      <w:bookmarkEnd w:id="19"/>
      <w:r>
        <w:rPr>
          <w:lang w:val="he-IL"/>
        </w:rPr>
        <w:pict w14:anchorId="2B7E8B34">
          <v:rect id="_x0000_s2120" style="position:absolute;left:0;text-align:left;margin-left:464.5pt;margin-top:8.05pt;width:75.05pt;height:14.55pt;z-index:251664384" o:allowincell="f" filled="f" stroked="f" strokecolor="lime" strokeweight=".25pt">
            <v:textbox inset="0,0,0,0">
              <w:txbxContent>
                <w:p w14:paraId="5238E956" w14:textId="77777777" w:rsidR="00C57973" w:rsidRDefault="00522887" w:rsidP="00C57973">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1</w:t>
      </w:r>
      <w:r w:rsidR="00522887">
        <w:rPr>
          <w:rStyle w:val="big-number"/>
          <w:rFonts w:hint="cs"/>
          <w:rtl/>
        </w:rPr>
        <w:t>7</w:t>
      </w:r>
      <w:r w:rsidRPr="00C57973">
        <w:rPr>
          <w:rStyle w:val="default"/>
          <w:rFonts w:cs="FrankRuehl"/>
          <w:rtl/>
        </w:rPr>
        <w:t>.</w:t>
      </w:r>
      <w:r w:rsidRPr="00C57973">
        <w:rPr>
          <w:rStyle w:val="default"/>
          <w:rFonts w:cs="FrankRuehl"/>
          <w:rtl/>
        </w:rPr>
        <w:tab/>
      </w:r>
      <w:r w:rsidR="00522887">
        <w:rPr>
          <w:rStyle w:val="default"/>
          <w:rFonts w:cs="FrankRuehl" w:hint="cs"/>
          <w:rtl/>
        </w:rPr>
        <w:t>(א)</w:t>
      </w:r>
      <w:r w:rsidR="00522887">
        <w:rPr>
          <w:rStyle w:val="default"/>
          <w:rFonts w:cs="FrankRuehl" w:hint="cs"/>
          <w:rtl/>
        </w:rPr>
        <w:tab/>
        <w:t>השר ממונה על ביצוע חוק זה והוא רשאי, בהתייעצות עם שר הבריאות ובאישור ועדת הכלכלה של הכנסת, להתקין תקנות לביצועו</w:t>
      </w:r>
      <w:r>
        <w:rPr>
          <w:rStyle w:val="default"/>
          <w:rFonts w:cs="FrankRuehl" w:hint="cs"/>
          <w:rtl/>
        </w:rPr>
        <w:t>.</w:t>
      </w:r>
    </w:p>
    <w:p w14:paraId="5A6EAD23" w14:textId="77777777" w:rsidR="00522887" w:rsidRDefault="00522887" w:rsidP="005228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קטן (א), הוראות מינהל למאסדר לשם יישום הוראות חוק זה יינתנו על ידי השר שהתחום שהמאסדר מופקד עליו הוא בסמכותו או באחריותו.</w:t>
      </w:r>
    </w:p>
    <w:p w14:paraId="62F4FFE7" w14:textId="77777777" w:rsidR="00C57973" w:rsidRDefault="00C57973" w:rsidP="00522887">
      <w:pPr>
        <w:pStyle w:val="P00"/>
        <w:spacing w:before="72"/>
        <w:ind w:left="0" w:right="1134"/>
        <w:rPr>
          <w:rStyle w:val="default"/>
          <w:rFonts w:cs="FrankRuehl" w:hint="cs"/>
          <w:rtl/>
        </w:rPr>
      </w:pPr>
      <w:bookmarkStart w:id="20" w:name="Seif18"/>
      <w:bookmarkEnd w:id="20"/>
      <w:r>
        <w:rPr>
          <w:lang w:val="he-IL"/>
        </w:rPr>
        <w:pict w14:anchorId="30AF0BFB">
          <v:rect id="_x0000_s2121" style="position:absolute;left:0;text-align:left;margin-left:464.5pt;margin-top:8.05pt;width:75.05pt;height:14.55pt;z-index:251665408" o:allowincell="f" filled="f" stroked="f" strokecolor="lime" strokeweight=".25pt">
            <v:textbox inset="0,0,0,0">
              <w:txbxContent>
                <w:p w14:paraId="325BEC93" w14:textId="77777777" w:rsidR="00C57973" w:rsidRDefault="00522887" w:rsidP="00C57973">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hint="cs"/>
          <w:rtl/>
        </w:rPr>
        <w:t>1</w:t>
      </w:r>
      <w:r w:rsidR="00522887">
        <w:rPr>
          <w:rStyle w:val="big-number"/>
          <w:rFonts w:hint="cs"/>
          <w:rtl/>
        </w:rPr>
        <w:t>8</w:t>
      </w:r>
      <w:r w:rsidRPr="00C57973">
        <w:rPr>
          <w:rStyle w:val="default"/>
          <w:rFonts w:cs="FrankRuehl"/>
          <w:rtl/>
        </w:rPr>
        <w:t>.</w:t>
      </w:r>
      <w:r w:rsidRPr="00C57973">
        <w:rPr>
          <w:rStyle w:val="default"/>
          <w:rFonts w:cs="FrankRuehl"/>
          <w:rtl/>
        </w:rPr>
        <w:tab/>
      </w:r>
      <w:r w:rsidR="00522887">
        <w:rPr>
          <w:rStyle w:val="default"/>
          <w:rFonts w:cs="FrankRuehl" w:hint="cs"/>
          <w:rtl/>
        </w:rPr>
        <w:t>תחילתו של חוק זה ביום י' בטבת התשע"ה (1 בינואר 2015), והוא יחול על הוראת סימון שנקבעה מיום תחילתו ואילך</w:t>
      </w:r>
      <w:r>
        <w:rPr>
          <w:rStyle w:val="default"/>
          <w:rFonts w:cs="FrankRuehl" w:hint="cs"/>
          <w:rtl/>
        </w:rPr>
        <w:t>.</w:t>
      </w:r>
    </w:p>
    <w:p w14:paraId="6C0A1D87" w14:textId="77777777" w:rsidR="003F2762" w:rsidRDefault="003F2762">
      <w:pPr>
        <w:pStyle w:val="P00"/>
        <w:spacing w:before="72"/>
        <w:ind w:left="0" w:right="1134"/>
        <w:rPr>
          <w:rStyle w:val="default"/>
          <w:rFonts w:cs="FrankRuehl" w:hint="cs"/>
          <w:rtl/>
        </w:rPr>
      </w:pPr>
    </w:p>
    <w:p w14:paraId="5B1BB15D" w14:textId="77777777" w:rsidR="003F2762" w:rsidRDefault="003F2762">
      <w:pPr>
        <w:pStyle w:val="P00"/>
        <w:spacing w:before="72"/>
        <w:ind w:left="0" w:right="1134"/>
        <w:rPr>
          <w:rStyle w:val="default"/>
          <w:rFonts w:cs="FrankRuehl" w:hint="cs"/>
          <w:rtl/>
        </w:rPr>
      </w:pPr>
    </w:p>
    <w:p w14:paraId="50701739" w14:textId="77777777" w:rsidR="003F2762" w:rsidRDefault="003F2762" w:rsidP="00FF3EF4">
      <w:pPr>
        <w:pStyle w:val="sig-1"/>
        <w:widowControl/>
        <w:tabs>
          <w:tab w:val="clear" w:pos="851"/>
          <w:tab w:val="clear" w:pos="4820"/>
          <w:tab w:val="center" w:pos="1701"/>
          <w:tab w:val="center" w:pos="4536"/>
          <w:tab w:val="center" w:pos="6237"/>
        </w:tabs>
        <w:spacing w:before="72"/>
        <w:ind w:left="0" w:right="1134"/>
        <w:rPr>
          <w:rFonts w:hint="cs"/>
          <w:sz w:val="26"/>
          <w:szCs w:val="26"/>
          <w:rtl/>
        </w:rPr>
      </w:pPr>
      <w:r>
        <w:rPr>
          <w:sz w:val="26"/>
          <w:szCs w:val="26"/>
          <w:rtl/>
        </w:rPr>
        <w:tab/>
      </w:r>
      <w:r>
        <w:rPr>
          <w:sz w:val="26"/>
          <w:szCs w:val="26"/>
          <w:rtl/>
        </w:rPr>
        <w:tab/>
      </w:r>
      <w:r w:rsidR="00FF3EF4">
        <w:rPr>
          <w:rFonts w:hint="cs"/>
          <w:sz w:val="26"/>
          <w:szCs w:val="26"/>
          <w:rtl/>
        </w:rPr>
        <w:t>בנימין נתניהו</w:t>
      </w:r>
      <w:r w:rsidR="00522887">
        <w:rPr>
          <w:rFonts w:hint="cs"/>
          <w:sz w:val="26"/>
          <w:szCs w:val="26"/>
          <w:rtl/>
        </w:rPr>
        <w:tab/>
      </w:r>
      <w:r w:rsidR="00522887">
        <w:rPr>
          <w:rFonts w:hint="cs"/>
          <w:sz w:val="26"/>
          <w:szCs w:val="26"/>
          <w:rtl/>
        </w:rPr>
        <w:tab/>
        <w:t>נפתלי בנט</w:t>
      </w:r>
    </w:p>
    <w:p w14:paraId="7737C8C2" w14:textId="77777777" w:rsidR="003F2762" w:rsidRDefault="003F2762" w:rsidP="00FF3EF4">
      <w:pPr>
        <w:pStyle w:val="sig-1"/>
        <w:widowControl/>
        <w:tabs>
          <w:tab w:val="clear" w:pos="851"/>
          <w:tab w:val="clear" w:pos="4820"/>
          <w:tab w:val="center" w:pos="1701"/>
          <w:tab w:val="center" w:pos="4536"/>
          <w:tab w:val="center" w:pos="6237"/>
        </w:tabs>
        <w:ind w:left="0" w:right="1134"/>
        <w:rPr>
          <w:rFonts w:hint="cs"/>
          <w:rtl/>
        </w:rPr>
      </w:pPr>
      <w:r>
        <w:rPr>
          <w:rtl/>
        </w:rPr>
        <w:tab/>
      </w:r>
      <w:r>
        <w:rPr>
          <w:rtl/>
        </w:rPr>
        <w:tab/>
      </w:r>
      <w:r>
        <w:rPr>
          <w:rFonts w:hint="cs"/>
          <w:rtl/>
        </w:rPr>
        <w:t>ראש הממשלה</w:t>
      </w:r>
      <w:r w:rsidR="00522887">
        <w:rPr>
          <w:rFonts w:hint="cs"/>
          <w:rtl/>
        </w:rPr>
        <w:tab/>
      </w:r>
      <w:r w:rsidR="00522887">
        <w:rPr>
          <w:rFonts w:hint="cs"/>
          <w:rtl/>
        </w:rPr>
        <w:tab/>
        <w:t>שר הכלכלה</w:t>
      </w:r>
    </w:p>
    <w:p w14:paraId="321DBFA0" w14:textId="77777777" w:rsidR="003F2762" w:rsidRDefault="003F2762" w:rsidP="00FF3EF4">
      <w:pPr>
        <w:pStyle w:val="sig-1"/>
        <w:widowControl/>
        <w:tabs>
          <w:tab w:val="clear" w:pos="851"/>
          <w:tab w:val="clear" w:pos="4820"/>
          <w:tab w:val="center" w:pos="1701"/>
          <w:tab w:val="center" w:pos="4536"/>
          <w:tab w:val="center" w:pos="6237"/>
        </w:tabs>
        <w:spacing w:before="72"/>
        <w:ind w:left="0" w:right="1134"/>
        <w:rPr>
          <w:sz w:val="26"/>
          <w:szCs w:val="26"/>
          <w:rtl/>
        </w:rPr>
      </w:pPr>
      <w:r>
        <w:rPr>
          <w:sz w:val="26"/>
          <w:szCs w:val="26"/>
          <w:rtl/>
        </w:rPr>
        <w:tab/>
      </w:r>
      <w:r w:rsidR="00FF3EF4">
        <w:rPr>
          <w:rFonts w:hint="cs"/>
          <w:sz w:val="26"/>
          <w:szCs w:val="26"/>
          <w:rtl/>
        </w:rPr>
        <w:t>ראובן ריבלין</w:t>
      </w:r>
      <w:r>
        <w:rPr>
          <w:sz w:val="26"/>
          <w:szCs w:val="26"/>
          <w:rtl/>
        </w:rPr>
        <w:tab/>
      </w:r>
      <w:r>
        <w:rPr>
          <w:sz w:val="26"/>
          <w:szCs w:val="26"/>
          <w:rtl/>
        </w:rPr>
        <w:tab/>
      </w:r>
      <w:r w:rsidR="00FF3EF4">
        <w:rPr>
          <w:rFonts w:hint="cs"/>
          <w:sz w:val="26"/>
          <w:szCs w:val="26"/>
          <w:rtl/>
        </w:rPr>
        <w:t>יולי יואל אדלשטיין</w:t>
      </w:r>
    </w:p>
    <w:p w14:paraId="3A4D2E6C" w14:textId="77777777" w:rsidR="003F2762" w:rsidRDefault="003F2762" w:rsidP="00FF3EF4">
      <w:pPr>
        <w:pStyle w:val="sig-1"/>
        <w:widowControl/>
        <w:tabs>
          <w:tab w:val="clear" w:pos="851"/>
          <w:tab w:val="clear" w:pos="4820"/>
          <w:tab w:val="center" w:pos="1701"/>
          <w:tab w:val="center" w:pos="4536"/>
          <w:tab w:val="center" w:pos="6237"/>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14:paraId="3DFAC225" w14:textId="77777777" w:rsidR="00BD75DF" w:rsidRPr="00A42C47" w:rsidRDefault="00BD75DF" w:rsidP="00A42C47">
      <w:pPr>
        <w:pStyle w:val="P00"/>
        <w:spacing w:before="72"/>
        <w:ind w:left="0" w:right="1134"/>
        <w:rPr>
          <w:rStyle w:val="default"/>
          <w:rFonts w:cs="FrankRuehl" w:hint="cs"/>
          <w:rtl/>
        </w:rPr>
      </w:pPr>
    </w:p>
    <w:p w14:paraId="57F6E845" w14:textId="77777777" w:rsidR="00A42C47" w:rsidRPr="00A42C47" w:rsidRDefault="00A42C47" w:rsidP="00A42C47">
      <w:pPr>
        <w:pStyle w:val="P00"/>
        <w:spacing w:before="72"/>
        <w:ind w:left="0" w:right="1134"/>
        <w:rPr>
          <w:rStyle w:val="default"/>
          <w:rFonts w:cs="FrankRuehl"/>
          <w:rtl/>
        </w:rPr>
      </w:pPr>
    </w:p>
    <w:p w14:paraId="36398F4F" w14:textId="77777777" w:rsidR="003F2762" w:rsidRPr="00A42C47" w:rsidRDefault="003F2762" w:rsidP="00A42C47">
      <w:pPr>
        <w:pStyle w:val="P00"/>
        <w:spacing w:before="72"/>
        <w:ind w:left="0" w:right="1134"/>
        <w:rPr>
          <w:rStyle w:val="default"/>
          <w:rFonts w:cs="FrankRuehl"/>
          <w:rtl/>
        </w:rPr>
      </w:pPr>
      <w:bookmarkStart w:id="21" w:name="LawPartEnd"/>
    </w:p>
    <w:bookmarkEnd w:id="21"/>
    <w:p w14:paraId="593BA749" w14:textId="77777777" w:rsidR="00E40FC0" w:rsidRDefault="00E40FC0" w:rsidP="00A42C47">
      <w:pPr>
        <w:pStyle w:val="P00"/>
        <w:spacing w:before="72"/>
        <w:ind w:left="0" w:right="1134"/>
        <w:rPr>
          <w:rStyle w:val="default"/>
          <w:rFonts w:cs="FrankRuehl"/>
          <w:rtl/>
        </w:rPr>
      </w:pPr>
    </w:p>
    <w:p w14:paraId="608D7056" w14:textId="77777777" w:rsidR="00E40FC0" w:rsidRDefault="00E40FC0" w:rsidP="00A42C47">
      <w:pPr>
        <w:pStyle w:val="P00"/>
        <w:spacing w:before="72"/>
        <w:ind w:left="0" w:right="1134"/>
        <w:rPr>
          <w:rStyle w:val="default"/>
          <w:rFonts w:cs="FrankRuehl"/>
          <w:rtl/>
        </w:rPr>
      </w:pPr>
    </w:p>
    <w:p w14:paraId="2D1B84C3" w14:textId="77777777" w:rsidR="00E40FC0" w:rsidRDefault="00E40FC0" w:rsidP="00E40FC0">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13C0E770" w14:textId="77777777" w:rsidR="00243E7E" w:rsidRDefault="00243E7E" w:rsidP="00E40FC0">
      <w:pPr>
        <w:pStyle w:val="P00"/>
        <w:spacing w:before="72"/>
        <w:ind w:left="0" w:right="1134"/>
        <w:jc w:val="center"/>
        <w:rPr>
          <w:rStyle w:val="default"/>
          <w:rFonts w:cs="David"/>
          <w:color w:val="0000FF"/>
          <w:szCs w:val="24"/>
          <w:u w:val="single"/>
          <w:rtl/>
        </w:rPr>
      </w:pPr>
    </w:p>
    <w:sectPr w:rsidR="00243E7E">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83C9" w14:textId="77777777" w:rsidR="00FD499D" w:rsidRDefault="00FD499D">
      <w:r>
        <w:separator/>
      </w:r>
    </w:p>
  </w:endnote>
  <w:endnote w:type="continuationSeparator" w:id="0">
    <w:p w14:paraId="426E8FFE" w14:textId="77777777" w:rsidR="00FD499D" w:rsidRDefault="00F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180E" w14:textId="77777777" w:rsidR="003F2762" w:rsidRDefault="003F27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0C5A53B" w14:textId="77777777" w:rsidR="003F2762" w:rsidRDefault="003F27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60A19A" w14:textId="77777777" w:rsidR="003F2762" w:rsidRDefault="003F27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0FC0">
      <w:rPr>
        <w:rFonts w:cs="TopType Jerushalmi"/>
        <w:noProof/>
        <w:color w:val="000000"/>
        <w:sz w:val="14"/>
        <w:szCs w:val="14"/>
      </w:rPr>
      <w:t>Z:\000-law\yael\2014\2014-12-22\tav\501_152.doc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EAD2" w14:textId="77777777" w:rsidR="003F2762" w:rsidRDefault="003F27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D7FF8">
      <w:rPr>
        <w:rFonts w:hAnsi="FrankRuehl"/>
        <w:noProof/>
        <w:sz w:val="24"/>
        <w:szCs w:val="24"/>
        <w:rtl/>
      </w:rPr>
      <w:t>2</w:t>
    </w:r>
    <w:r>
      <w:rPr>
        <w:rFonts w:hAnsi="FrankRuehl"/>
        <w:sz w:val="24"/>
        <w:szCs w:val="24"/>
        <w:rtl/>
      </w:rPr>
      <w:fldChar w:fldCharType="end"/>
    </w:r>
  </w:p>
  <w:p w14:paraId="3DDA4525" w14:textId="77777777" w:rsidR="003F2762" w:rsidRDefault="003F27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9B6186" w14:textId="77777777" w:rsidR="003F2762" w:rsidRDefault="003F27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0FC0">
      <w:rPr>
        <w:rFonts w:cs="TopType Jerushalmi"/>
        <w:noProof/>
        <w:color w:val="000000"/>
        <w:sz w:val="14"/>
        <w:szCs w:val="14"/>
      </w:rPr>
      <w:t>Z:\000-law\yael\2014\2014-12-22\tav\501_152.doc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579A" w14:textId="77777777" w:rsidR="00FD499D" w:rsidRDefault="00FD499D" w:rsidP="00BF4174">
      <w:pPr>
        <w:spacing w:before="72" w:line="240" w:lineRule="auto"/>
        <w:ind w:right="1134"/>
      </w:pPr>
      <w:r>
        <w:separator/>
      </w:r>
    </w:p>
  </w:footnote>
  <w:footnote w:type="continuationSeparator" w:id="0">
    <w:p w14:paraId="3F24B5FA" w14:textId="77777777" w:rsidR="00FD499D" w:rsidRDefault="00FD499D">
      <w:r>
        <w:continuationSeparator/>
      </w:r>
    </w:p>
  </w:footnote>
  <w:footnote w:id="1">
    <w:p w14:paraId="7666E2B5" w14:textId="77777777" w:rsidR="00727E84" w:rsidRDefault="003F2762" w:rsidP="00727E84">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sz w:val="20"/>
        </w:rPr>
        <w:t>*</w:t>
      </w:r>
      <w:r>
        <w:rPr>
          <w:rFonts w:hint="cs"/>
          <w:sz w:val="20"/>
          <w:rtl/>
        </w:rPr>
        <w:t xml:space="preserve"> </w:t>
      </w:r>
      <w:r>
        <w:rPr>
          <w:sz w:val="20"/>
          <w:rtl/>
        </w:rPr>
        <w:t>פ</w:t>
      </w:r>
      <w:r>
        <w:rPr>
          <w:rFonts w:hint="cs"/>
          <w:sz w:val="20"/>
          <w:rtl/>
        </w:rPr>
        <w:t>ורסם</w:t>
      </w:r>
      <w:r w:rsidR="00E2060F">
        <w:rPr>
          <w:rFonts w:hint="cs"/>
          <w:rtl/>
        </w:rPr>
        <w:t xml:space="preserve"> </w:t>
      </w:r>
      <w:hyperlink r:id="rId1" w:history="1">
        <w:r w:rsidR="00E2060F" w:rsidRPr="00727E84">
          <w:rPr>
            <w:rStyle w:val="Hyperlink"/>
            <w:rFonts w:hint="cs"/>
            <w:rtl/>
          </w:rPr>
          <w:t>ס"ח תשע"ה מס' 2485</w:t>
        </w:r>
      </w:hyperlink>
      <w:r w:rsidR="00E2060F">
        <w:rPr>
          <w:rFonts w:hint="cs"/>
          <w:rtl/>
        </w:rPr>
        <w:t xml:space="preserve"> מיום 17.12.2014 עמ' </w:t>
      </w:r>
      <w:r w:rsidR="00C57973">
        <w:rPr>
          <w:rFonts w:hint="cs"/>
          <w:rtl/>
        </w:rPr>
        <w:t>120</w:t>
      </w:r>
      <w:r w:rsidR="00E2060F">
        <w:rPr>
          <w:rFonts w:hint="cs"/>
          <w:rtl/>
        </w:rPr>
        <w:t xml:space="preserve"> (</w:t>
      </w:r>
      <w:hyperlink r:id="rId2" w:history="1">
        <w:r w:rsidR="00E2060F" w:rsidRPr="00C57973">
          <w:rPr>
            <w:rStyle w:val="Hyperlink"/>
            <w:rFonts w:hint="cs"/>
            <w:rtl/>
          </w:rPr>
          <w:t xml:space="preserve">ה"ח </w:t>
        </w:r>
        <w:r w:rsidR="00C57973" w:rsidRPr="00C57973">
          <w:rPr>
            <w:rStyle w:val="Hyperlink"/>
            <w:rFonts w:hint="cs"/>
            <w:rtl/>
          </w:rPr>
          <w:t>הכנסת</w:t>
        </w:r>
        <w:r w:rsidR="00E2060F" w:rsidRPr="00C57973">
          <w:rPr>
            <w:rStyle w:val="Hyperlink"/>
            <w:rFonts w:hint="cs"/>
            <w:rtl/>
          </w:rPr>
          <w:t xml:space="preserve"> תשע"ד מס' </w:t>
        </w:r>
        <w:r w:rsidR="00C57973" w:rsidRPr="00C57973">
          <w:rPr>
            <w:rStyle w:val="Hyperlink"/>
            <w:rFonts w:hint="cs"/>
            <w:rtl/>
          </w:rPr>
          <w:t>572</w:t>
        </w:r>
      </w:hyperlink>
      <w:r w:rsidR="00E2060F">
        <w:rPr>
          <w:rFonts w:hint="cs"/>
          <w:rtl/>
        </w:rPr>
        <w:t xml:space="preserve"> עמ' </w:t>
      </w:r>
      <w:r w:rsidR="00C57973">
        <w:rPr>
          <w:rFonts w:hint="cs"/>
          <w:rtl/>
        </w:rPr>
        <w:t>194</w:t>
      </w:r>
      <w:r w:rsidR="00E2060F">
        <w:rPr>
          <w:rFonts w:hint="cs"/>
          <w:rtl/>
        </w:rPr>
        <w:t>)</w:t>
      </w:r>
      <w:r w:rsidR="0064198E">
        <w:rPr>
          <w:rFonts w:hint="cs"/>
          <w:rtl/>
        </w:rPr>
        <w:t>.</w:t>
      </w:r>
    </w:p>
    <w:p w14:paraId="64143828" w14:textId="77777777" w:rsidR="009202F6" w:rsidRDefault="00570DFD" w:rsidP="009202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hint="cs"/>
          <w:rtl/>
        </w:rPr>
        <w:t xml:space="preserve">תוקן </w:t>
      </w:r>
      <w:hyperlink r:id="rId3" w:history="1">
        <w:r w:rsidRPr="009202F6">
          <w:rPr>
            <w:rStyle w:val="Hyperlink"/>
            <w:rFonts w:ascii="FrankRuehl" w:hAnsi="FrankRuehl" w:hint="cs"/>
            <w:rtl/>
          </w:rPr>
          <w:t>ס"ח תשפ"ב מס' 2933</w:t>
        </w:r>
      </w:hyperlink>
      <w:r>
        <w:rPr>
          <w:rFonts w:ascii="FrankRuehl" w:hAnsi="FrankRuehl" w:hint="cs"/>
          <w:rtl/>
        </w:rPr>
        <w:t xml:space="preserve"> מיום 18.11.2021 עמ' 148 (</w:t>
      </w:r>
      <w:hyperlink r:id="rId4" w:history="1">
        <w:r w:rsidRPr="00EC4CA6">
          <w:rPr>
            <w:rStyle w:val="Hyperlink"/>
            <w:rFonts w:ascii="FrankRuehl" w:hAnsi="FrankRuehl" w:hint="cs"/>
            <w:rtl/>
          </w:rPr>
          <w:t>ה"ח הממשלה תשפ"א מס' 1443</w:t>
        </w:r>
      </w:hyperlink>
      <w:r>
        <w:rPr>
          <w:rFonts w:ascii="FrankRuehl" w:hAnsi="FrankRuehl" w:hint="cs"/>
          <w:rtl/>
        </w:rPr>
        <w:t xml:space="preserve"> עמ' 840) </w:t>
      </w:r>
      <w:r>
        <w:rPr>
          <w:rFonts w:ascii="FrankRuehl" w:hAnsi="FrankRuehl"/>
          <w:rtl/>
        </w:rPr>
        <w:t>–</w:t>
      </w:r>
      <w:r>
        <w:rPr>
          <w:rFonts w:ascii="FrankRuehl" w:hAnsi="FrankRuehl" w:hint="cs"/>
          <w:rtl/>
        </w:rPr>
        <w:t xml:space="preserve"> תיקון מס' 1 בסעיף 43 לחוק עקרונות האסדרה, תשפ"ב-2021; תחילתו ביום 1.1.2022.</w:t>
      </w:r>
    </w:p>
    <w:p w14:paraId="76BB40DA" w14:textId="77777777" w:rsidR="004D7FF8" w:rsidRPr="009202F6" w:rsidRDefault="004D7FF8" w:rsidP="004D7FF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5" w:history="1">
        <w:r w:rsidR="00940510" w:rsidRPr="004D7FF8">
          <w:rPr>
            <w:rStyle w:val="Hyperlink"/>
            <w:rFonts w:ascii="FrankRuehl" w:hAnsi="FrankRuehl"/>
            <w:rtl/>
          </w:rPr>
          <w:t>ס"ח תשפ"ב מס' 2933</w:t>
        </w:r>
      </w:hyperlink>
      <w:r w:rsidR="00940510" w:rsidRPr="00AF4D33">
        <w:rPr>
          <w:rFonts w:ascii="FrankRuehl" w:hAnsi="FrankRuehl"/>
          <w:rtl/>
        </w:rPr>
        <w:t xml:space="preserve"> מיום 18.11.2021 עמ' </w:t>
      </w:r>
      <w:r w:rsidR="00940510">
        <w:rPr>
          <w:rFonts w:ascii="FrankRuehl" w:hAnsi="FrankRuehl" w:hint="cs"/>
          <w:rtl/>
        </w:rPr>
        <w:t>446</w:t>
      </w:r>
      <w:r w:rsidR="00940510" w:rsidRPr="00AF4D33">
        <w:rPr>
          <w:rFonts w:ascii="FrankRuehl" w:hAnsi="FrankRuehl"/>
          <w:rtl/>
        </w:rPr>
        <w:t xml:space="preserve"> (</w:t>
      </w:r>
      <w:hyperlink r:id="rId6" w:history="1">
        <w:r w:rsidR="00940510" w:rsidRPr="00AF4D33">
          <w:rPr>
            <w:rStyle w:val="Hyperlink"/>
            <w:rFonts w:ascii="FrankRuehl" w:hAnsi="FrankRuehl"/>
            <w:rtl/>
          </w:rPr>
          <w:t>ה"ח הממשלה תשפ"א מס' 1443</w:t>
        </w:r>
      </w:hyperlink>
      <w:r w:rsidR="00940510" w:rsidRPr="00AF4D33">
        <w:rPr>
          <w:rFonts w:ascii="FrankRuehl" w:hAnsi="FrankRuehl"/>
          <w:rtl/>
        </w:rPr>
        <w:t xml:space="preserve"> עמ' 840) – תיקון מס' </w:t>
      </w:r>
      <w:r w:rsidR="00940510">
        <w:rPr>
          <w:rFonts w:ascii="FrankRuehl" w:hAnsi="FrankRuehl" w:hint="cs"/>
          <w:rtl/>
        </w:rPr>
        <w:t>2</w:t>
      </w:r>
      <w:r w:rsidR="00940510" w:rsidRPr="00AF4D33">
        <w:rPr>
          <w:rFonts w:ascii="FrankRuehl" w:hAnsi="FrankRuehl"/>
          <w:rtl/>
        </w:rPr>
        <w:t xml:space="preserve"> בסעיף 10</w:t>
      </w:r>
      <w:r w:rsidR="00940510">
        <w:rPr>
          <w:rFonts w:ascii="FrankRuehl" w:hAnsi="FrankRuehl" w:hint="cs"/>
          <w:rtl/>
        </w:rPr>
        <w:t>8</w:t>
      </w:r>
      <w:r w:rsidR="00940510" w:rsidRPr="00AF4D33">
        <w:rPr>
          <w:rFonts w:ascii="FrankRuehl" w:hAnsi="FrankRuehl"/>
          <w:rtl/>
        </w:rPr>
        <w:t xml:space="preserve"> לחוק התכנית הכלכלית (תיקוני חקיקה ליישום המדיניות הכלכלית לשנות התקציב 2021 ו-2022), תשפ"ב-2021; תחילתו ביום 1.1.2023</w:t>
      </w:r>
      <w:r w:rsidR="00940510">
        <w:rPr>
          <w:rFonts w:ascii="FrankRuehl" w:hAnsi="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EC7C" w14:textId="77777777" w:rsidR="003F2762" w:rsidRDefault="003F2762">
    <w:pPr>
      <w:pStyle w:val="a3"/>
      <w:spacing w:line="220" w:lineRule="exact"/>
      <w:ind w:left="0" w:right="1134"/>
      <w:jc w:val="center"/>
      <w:rPr>
        <w:rFonts w:hAnsi="FrankRuehl"/>
        <w:color w:val="000000"/>
        <w:sz w:val="28"/>
        <w:szCs w:val="28"/>
        <w:rtl/>
      </w:rPr>
    </w:pPr>
    <w:r>
      <w:rPr>
        <w:rFonts w:hAnsi="FrankRuehl"/>
        <w:color w:val="000000"/>
        <w:sz w:val="28"/>
        <w:szCs w:val="28"/>
        <w:rtl/>
      </w:rPr>
      <w:t>חוק בית המשפט לעניני משפחה, תשנ"ה- 1995</w:t>
    </w:r>
  </w:p>
  <w:p w14:paraId="737713F4"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A457FB6"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8BFD" w14:textId="77777777" w:rsidR="003F2762" w:rsidRDefault="003F2762" w:rsidP="00C57973">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sidR="00C57973">
      <w:rPr>
        <w:rFonts w:hAnsi="FrankRuehl" w:hint="cs"/>
        <w:color w:val="000000"/>
        <w:sz w:val="28"/>
        <w:szCs w:val="28"/>
        <w:rtl/>
      </w:rPr>
      <w:t>קביעת מועד כניסה לתוקף של הוראות סימון מזון ארוז מראש</w:t>
    </w:r>
    <w:r w:rsidR="00E2060F">
      <w:rPr>
        <w:rFonts w:hAnsi="FrankRuehl" w:hint="cs"/>
        <w:color w:val="000000"/>
        <w:sz w:val="28"/>
        <w:szCs w:val="28"/>
        <w:rtl/>
      </w:rPr>
      <w:t>, תשע"ה-2014</w:t>
    </w:r>
  </w:p>
  <w:p w14:paraId="007E381D"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53B63CA"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660"/>
    <w:rsid w:val="00000CD6"/>
    <w:rsid w:val="000406E7"/>
    <w:rsid w:val="00042F4A"/>
    <w:rsid w:val="00051089"/>
    <w:rsid w:val="000617C9"/>
    <w:rsid w:val="00097E03"/>
    <w:rsid w:val="000D532F"/>
    <w:rsid w:val="000E24FF"/>
    <w:rsid w:val="000F1987"/>
    <w:rsid w:val="00104F2E"/>
    <w:rsid w:val="001430E6"/>
    <w:rsid w:val="00147959"/>
    <w:rsid w:val="001539D0"/>
    <w:rsid w:val="00184623"/>
    <w:rsid w:val="00190B97"/>
    <w:rsid w:val="001B1595"/>
    <w:rsid w:val="001C1C2C"/>
    <w:rsid w:val="001D7BE3"/>
    <w:rsid w:val="001E0A4C"/>
    <w:rsid w:val="00207708"/>
    <w:rsid w:val="0022094F"/>
    <w:rsid w:val="00240E9D"/>
    <w:rsid w:val="00243E7E"/>
    <w:rsid w:val="002465B8"/>
    <w:rsid w:val="00281713"/>
    <w:rsid w:val="002868F4"/>
    <w:rsid w:val="002F0D20"/>
    <w:rsid w:val="002F570E"/>
    <w:rsid w:val="003115B9"/>
    <w:rsid w:val="0037220D"/>
    <w:rsid w:val="003B0786"/>
    <w:rsid w:val="003F2762"/>
    <w:rsid w:val="0043680E"/>
    <w:rsid w:val="00457C9A"/>
    <w:rsid w:val="00463615"/>
    <w:rsid w:val="004A6AE6"/>
    <w:rsid w:val="004D7FF8"/>
    <w:rsid w:val="00522887"/>
    <w:rsid w:val="00570DFD"/>
    <w:rsid w:val="005B1539"/>
    <w:rsid w:val="006000E0"/>
    <w:rsid w:val="00604239"/>
    <w:rsid w:val="006112EC"/>
    <w:rsid w:val="00620270"/>
    <w:rsid w:val="00634686"/>
    <w:rsid w:val="0064198E"/>
    <w:rsid w:val="00650A58"/>
    <w:rsid w:val="006B0429"/>
    <w:rsid w:val="006B0B28"/>
    <w:rsid w:val="006C11DF"/>
    <w:rsid w:val="00727E84"/>
    <w:rsid w:val="00746167"/>
    <w:rsid w:val="007476A8"/>
    <w:rsid w:val="00761648"/>
    <w:rsid w:val="007A3CDA"/>
    <w:rsid w:val="007A4778"/>
    <w:rsid w:val="007C1600"/>
    <w:rsid w:val="007D3FE9"/>
    <w:rsid w:val="007E01B5"/>
    <w:rsid w:val="007F438C"/>
    <w:rsid w:val="00823B4A"/>
    <w:rsid w:val="00871A75"/>
    <w:rsid w:val="00890E2C"/>
    <w:rsid w:val="008A0EAF"/>
    <w:rsid w:val="008C6E35"/>
    <w:rsid w:val="008D39D6"/>
    <w:rsid w:val="009156DF"/>
    <w:rsid w:val="009202F6"/>
    <w:rsid w:val="009218E3"/>
    <w:rsid w:val="0093253E"/>
    <w:rsid w:val="00940510"/>
    <w:rsid w:val="00945C3A"/>
    <w:rsid w:val="00987660"/>
    <w:rsid w:val="00987827"/>
    <w:rsid w:val="00A2015E"/>
    <w:rsid w:val="00A42C47"/>
    <w:rsid w:val="00A53D00"/>
    <w:rsid w:val="00A74A1C"/>
    <w:rsid w:val="00AE724A"/>
    <w:rsid w:val="00B20106"/>
    <w:rsid w:val="00B814A9"/>
    <w:rsid w:val="00B958AF"/>
    <w:rsid w:val="00BB50EA"/>
    <w:rsid w:val="00BD75DF"/>
    <w:rsid w:val="00BF4174"/>
    <w:rsid w:val="00BF5FCE"/>
    <w:rsid w:val="00C5772F"/>
    <w:rsid w:val="00C57973"/>
    <w:rsid w:val="00C65E6D"/>
    <w:rsid w:val="00C66CE1"/>
    <w:rsid w:val="00C86845"/>
    <w:rsid w:val="00C94391"/>
    <w:rsid w:val="00C96073"/>
    <w:rsid w:val="00CC1949"/>
    <w:rsid w:val="00CD02FA"/>
    <w:rsid w:val="00CD4A44"/>
    <w:rsid w:val="00CE0122"/>
    <w:rsid w:val="00CE2696"/>
    <w:rsid w:val="00D13650"/>
    <w:rsid w:val="00D200BF"/>
    <w:rsid w:val="00D31732"/>
    <w:rsid w:val="00D63BD4"/>
    <w:rsid w:val="00D805CD"/>
    <w:rsid w:val="00D844B8"/>
    <w:rsid w:val="00DB3DFB"/>
    <w:rsid w:val="00DC5E86"/>
    <w:rsid w:val="00DD3B8D"/>
    <w:rsid w:val="00E03009"/>
    <w:rsid w:val="00E137AE"/>
    <w:rsid w:val="00E2060F"/>
    <w:rsid w:val="00E24942"/>
    <w:rsid w:val="00E408C5"/>
    <w:rsid w:val="00E40FC0"/>
    <w:rsid w:val="00E44528"/>
    <w:rsid w:val="00E97E75"/>
    <w:rsid w:val="00EB1F17"/>
    <w:rsid w:val="00EE27B9"/>
    <w:rsid w:val="00F31A7D"/>
    <w:rsid w:val="00F71819"/>
    <w:rsid w:val="00F76984"/>
    <w:rsid w:val="00F93D2C"/>
    <w:rsid w:val="00FD499D"/>
    <w:rsid w:val="00FE7AE7"/>
    <w:rsid w:val="00FF3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E3B0847"/>
  <w15:chartTrackingRefBased/>
  <w15:docId w15:val="{2414C8D9-F687-456D-9DBC-7CCE15B6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line="240" w:lineRule="auto"/>
      <w:ind w:left="1021" w:right="1157"/>
      <w:outlineLvl w:val="0"/>
    </w:pPr>
    <w:rPr>
      <w:rFonts w:cs="FrankRuehl"/>
      <w:b/>
      <w:bCs/>
      <w:sz w:val="20"/>
      <w:szCs w:val="20"/>
    </w:rPr>
  </w:style>
  <w:style w:type="paragraph" w:styleId="2">
    <w:name w:val="heading 2"/>
    <w:basedOn w:val="a"/>
    <w:next w:val="a"/>
    <w:qFormat/>
    <w:pPr>
      <w:keepNext/>
      <w:spacing w:line="240" w:lineRule="auto"/>
      <w:ind w:left="624" w:right="1157"/>
      <w:outlineLvl w:val="1"/>
    </w:pPr>
    <w:rPr>
      <w:rFonts w:cs="FrankRuehl"/>
      <w:b/>
      <w:bCs/>
      <w:szCs w:val="22"/>
    </w:rPr>
  </w:style>
  <w:style w:type="paragraph" w:styleId="3">
    <w:name w:val="heading 3"/>
    <w:basedOn w:val="a"/>
    <w:next w:val="a"/>
    <w:qFormat/>
    <w:pPr>
      <w:keepNext/>
      <w:spacing w:line="240" w:lineRule="auto"/>
      <w:ind w:left="624" w:right="1134"/>
      <w:outlineLvl w:val="2"/>
    </w:pPr>
    <w:rPr>
      <w:rFonts w:cs="FrankRuehl"/>
      <w:b/>
      <w:bCs/>
      <w:sz w:val="20"/>
      <w:szCs w:val="20"/>
    </w:rPr>
  </w:style>
  <w:style w:type="paragraph" w:styleId="4">
    <w:name w:val="heading 4"/>
    <w:basedOn w:val="a"/>
    <w:next w:val="a"/>
    <w:qFormat/>
    <w:pPr>
      <w:keepNext/>
      <w:spacing w:line="240" w:lineRule="auto"/>
      <w:ind w:right="1134"/>
      <w:outlineLvl w:val="3"/>
    </w:pPr>
    <w:rPr>
      <w:rFonts w:cs="FrankRuehl"/>
      <w:b/>
      <w:bCs/>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Block Text"/>
    <w:basedOn w:val="a"/>
    <w:pPr>
      <w:spacing w:line="240" w:lineRule="auto"/>
      <w:ind w:left="624" w:right="1134"/>
    </w:pPr>
    <w:rPr>
      <w:rFonts w:cs="FrankRuehl"/>
      <w:szCs w:val="22"/>
    </w:rPr>
  </w:style>
  <w:style w:type="paragraph" w:styleId="a7">
    <w:name w:val="Body Text Indent"/>
    <w:basedOn w:val="a"/>
    <w:pPr>
      <w:autoSpaceDE/>
      <w:autoSpaceDN/>
      <w:spacing w:after="120"/>
      <w:ind w:left="283"/>
    </w:pPr>
    <w:rPr>
      <w:rFonts w:ascii="David" w:hAnsi="David"/>
      <w:sz w:val="24"/>
      <w:lang w:eastAsia="en-US"/>
    </w:rPr>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20">
    <w:name w:val="Body Text 2"/>
    <w:basedOn w:val="a"/>
    <w:pPr>
      <w:tabs>
        <w:tab w:val="left" w:pos="624"/>
        <w:tab w:val="left" w:pos="1021"/>
      </w:tabs>
      <w:spacing w:line="240" w:lineRule="auto"/>
      <w:ind w:right="1134"/>
    </w:pPr>
    <w:rPr>
      <w:rFonts w:cs="FrankRuehl"/>
      <w:szCs w:val="22"/>
      <w:shd w:val="clear" w:color="auto" w:fill="FFFF99"/>
    </w:rPr>
  </w:style>
  <w:style w:type="character" w:styleId="FollowedHyperlink">
    <w:name w:val="FollowedHyperlink"/>
    <w:rPr>
      <w:color w:val="800080"/>
      <w:u w:val="single"/>
    </w:rPr>
  </w:style>
  <w:style w:type="character" w:customStyle="1" w:styleId="P000">
    <w:name w:val="P00 תו"/>
    <w:link w:val="P00"/>
    <w:rsid w:val="00570DFD"/>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4/law-293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15/memshala-144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14/law-293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15/memshala-144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933.pdf" TargetMode="External"/><Relationship Id="rId2" Type="http://schemas.openxmlformats.org/officeDocument/2006/relationships/hyperlink" Target="http://www.nevo.co.il/Law_word/law16/knesset-572.pdf" TargetMode="External"/><Relationship Id="rId1" Type="http://schemas.openxmlformats.org/officeDocument/2006/relationships/hyperlink" Target="http://www.nevo.co.il/Law_word/law14/LAW-2485.pdf" TargetMode="External"/><Relationship Id="rId6" Type="http://schemas.openxmlformats.org/officeDocument/2006/relationships/hyperlink" Target="https://www.nevo.co.il/Law_word/law15/memshala-1443.pdf" TargetMode="External"/><Relationship Id="rId5" Type="http://schemas.openxmlformats.org/officeDocument/2006/relationships/hyperlink" Target="http://www.nevo.co.il/law_word/law14/law-2933.pdf" TargetMode="External"/><Relationship Id="rId4" Type="http://schemas.openxmlformats.org/officeDocument/2006/relationships/hyperlink" Target="https://www.nevo.co.il/Law_word/law15/memshala-1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13573</CharactersWithSpaces>
  <SharedDoc>false</SharedDoc>
  <HLinks>
    <vt:vector size="174" baseType="variant">
      <vt:variant>
        <vt:i4>393283</vt:i4>
      </vt:variant>
      <vt:variant>
        <vt:i4>120</vt:i4>
      </vt:variant>
      <vt:variant>
        <vt:i4>0</vt:i4>
      </vt:variant>
      <vt:variant>
        <vt:i4>5</vt:i4>
      </vt:variant>
      <vt:variant>
        <vt:lpwstr>http://www.nevo.co.il/advertisements/nevo-100.doc</vt:lpwstr>
      </vt:variant>
      <vt:variant>
        <vt:lpwstr/>
      </vt:variant>
      <vt:variant>
        <vt:i4>7602202</vt:i4>
      </vt:variant>
      <vt:variant>
        <vt:i4>117</vt:i4>
      </vt:variant>
      <vt:variant>
        <vt:i4>0</vt:i4>
      </vt:variant>
      <vt:variant>
        <vt:i4>5</vt:i4>
      </vt:variant>
      <vt:variant>
        <vt:lpwstr>https://www.nevo.co.il/Law_word/law15/memshala-1443.pdf</vt:lpwstr>
      </vt:variant>
      <vt:variant>
        <vt:lpwstr/>
      </vt:variant>
      <vt:variant>
        <vt:i4>8192021</vt:i4>
      </vt:variant>
      <vt:variant>
        <vt:i4>114</vt:i4>
      </vt:variant>
      <vt:variant>
        <vt:i4>0</vt:i4>
      </vt:variant>
      <vt:variant>
        <vt:i4>5</vt:i4>
      </vt:variant>
      <vt:variant>
        <vt:lpwstr>https://www.nevo.co.il/Law_word/law14/law-2933.pdf</vt:lpwstr>
      </vt:variant>
      <vt:variant>
        <vt:lpwstr/>
      </vt:variant>
      <vt:variant>
        <vt:i4>7602202</vt:i4>
      </vt:variant>
      <vt:variant>
        <vt:i4>111</vt:i4>
      </vt:variant>
      <vt:variant>
        <vt:i4>0</vt:i4>
      </vt:variant>
      <vt:variant>
        <vt:i4>5</vt:i4>
      </vt:variant>
      <vt:variant>
        <vt:lpwstr>https://www.nevo.co.il/Law_word/law15/memshala-1443.pdf</vt:lpwstr>
      </vt:variant>
      <vt:variant>
        <vt:lpwstr/>
      </vt:variant>
      <vt:variant>
        <vt:i4>8192021</vt:i4>
      </vt:variant>
      <vt:variant>
        <vt:i4>108</vt:i4>
      </vt:variant>
      <vt:variant>
        <vt:i4>0</vt:i4>
      </vt:variant>
      <vt:variant>
        <vt:i4>5</vt:i4>
      </vt:variant>
      <vt:variant>
        <vt:lpwstr>https://www.nevo.co.il/Law_word/law14/law-2933.pdf</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7602202</vt:i4>
      </vt:variant>
      <vt:variant>
        <vt:i4>15</vt:i4>
      </vt:variant>
      <vt:variant>
        <vt:i4>0</vt:i4>
      </vt:variant>
      <vt:variant>
        <vt:i4>5</vt:i4>
      </vt:variant>
      <vt:variant>
        <vt:lpwstr>https://www.nevo.co.il/Law_word/law15/memshala-1443.pdf</vt:lpwstr>
      </vt:variant>
      <vt:variant>
        <vt:lpwstr/>
      </vt:variant>
      <vt:variant>
        <vt:i4>8257539</vt:i4>
      </vt:variant>
      <vt:variant>
        <vt:i4>12</vt:i4>
      </vt:variant>
      <vt:variant>
        <vt:i4>0</vt:i4>
      </vt:variant>
      <vt:variant>
        <vt:i4>5</vt:i4>
      </vt:variant>
      <vt:variant>
        <vt:lpwstr>http://www.nevo.co.il/law_word/law14/law-2933.pdf</vt:lpwstr>
      </vt:variant>
      <vt:variant>
        <vt:lpwstr/>
      </vt:variant>
      <vt:variant>
        <vt:i4>7602202</vt:i4>
      </vt:variant>
      <vt:variant>
        <vt:i4>9</vt:i4>
      </vt:variant>
      <vt:variant>
        <vt:i4>0</vt:i4>
      </vt:variant>
      <vt:variant>
        <vt:i4>5</vt:i4>
      </vt:variant>
      <vt:variant>
        <vt:lpwstr>https://www.nevo.co.il/Law_word/law15/memshala-1443.pdf</vt:lpwstr>
      </vt:variant>
      <vt:variant>
        <vt:lpwstr/>
      </vt:variant>
      <vt:variant>
        <vt:i4>8257539</vt:i4>
      </vt:variant>
      <vt:variant>
        <vt:i4>6</vt:i4>
      </vt:variant>
      <vt:variant>
        <vt:i4>0</vt:i4>
      </vt:variant>
      <vt:variant>
        <vt:i4>5</vt:i4>
      </vt:variant>
      <vt:variant>
        <vt:lpwstr>http://www.nevo.co.il/law_word/law14/law-2933.pdf</vt:lpwstr>
      </vt:variant>
      <vt:variant>
        <vt:lpwstr/>
      </vt:variant>
      <vt:variant>
        <vt:i4>3407901</vt:i4>
      </vt:variant>
      <vt:variant>
        <vt:i4>3</vt:i4>
      </vt:variant>
      <vt:variant>
        <vt:i4>0</vt:i4>
      </vt:variant>
      <vt:variant>
        <vt:i4>5</vt:i4>
      </vt:variant>
      <vt:variant>
        <vt:lpwstr>http://www.nevo.co.il/Law_word/law16/knesset-572.pdf</vt:lpwstr>
      </vt:variant>
      <vt:variant>
        <vt:lpwstr/>
      </vt:variant>
      <vt:variant>
        <vt:i4>7667720</vt:i4>
      </vt:variant>
      <vt:variant>
        <vt:i4>0</vt:i4>
      </vt:variant>
      <vt:variant>
        <vt:i4>0</vt:i4>
      </vt:variant>
      <vt:variant>
        <vt:i4>5</vt:i4>
      </vt:variant>
      <vt:variant>
        <vt:lpwstr>http://www.nevo.co.il/Law_word/law14/LAW-2485.pdf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h14</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הגנת הצרכן</vt:lpwstr>
  </property>
  <property fmtid="{D5CDD505-2E9C-101B-9397-08002B2CF9AE}" pid="4" name="LAWNAME">
    <vt:lpwstr>חוק קביעת מועד כניסה לתוקף של הוראות סימון מזון ארוז מראש, תשע"ה-2014</vt:lpwstr>
  </property>
  <property fmtid="{D5CDD505-2E9C-101B-9397-08002B2CF9AE}" pid="5" name="LAWNUMBER">
    <vt:lpwstr>0152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_ReviewingToolsShownOnce">
    <vt:lpwstr/>
  </property>
  <property fmtid="{D5CDD505-2E9C-101B-9397-08002B2CF9AE}" pid="20" name="NOSE11">
    <vt:lpwstr>משפט פרטי וכלכלה</vt:lpwstr>
  </property>
  <property fmtid="{D5CDD505-2E9C-101B-9397-08002B2CF9AE}" pid="21" name="NOSE21">
    <vt:lpwstr>מסחר </vt:lpwstr>
  </property>
  <property fmtid="{D5CDD505-2E9C-101B-9397-08002B2CF9AE}" pid="22" name="NOSE31">
    <vt:lpwstr>הגנת הצרכן</vt:lpwstr>
  </property>
  <property fmtid="{D5CDD505-2E9C-101B-9397-08002B2CF9AE}" pid="23" name="NOSE41">
    <vt:lpwstr/>
  </property>
  <property fmtid="{D5CDD505-2E9C-101B-9397-08002B2CF9AE}" pid="24" name="NOSE12">
    <vt:lpwstr>בריאות</vt:lpwstr>
  </property>
  <property fmtid="{D5CDD505-2E9C-101B-9397-08002B2CF9AE}" pid="25" name="NOSE22">
    <vt:lpwstr>בריאות הציבור (מזון)</vt:lpwstr>
  </property>
  <property fmtid="{D5CDD505-2E9C-101B-9397-08002B2CF9AE}" pid="26" name="NOSE32">
    <vt:lpwstr>אריזה וסימון</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1">
    <vt:lpwstr>http://www.nevo.co.il/Law_word/law14/LAW-2485.pdf;‎רשומות - ספר חוקים#פורסם ס"ח ‏תשע"ה מס' 2485 #מיום 17.12.2014 עמ' 120‏</vt:lpwstr>
  </property>
  <property fmtid="{D5CDD505-2E9C-101B-9397-08002B2CF9AE}" pid="62" name="LINKK2">
    <vt:lpwstr>http://www.nevo.co.il/law_word/law14/law-2933.pdf;‎רשומות - ספר חוקים#תוקן ס"ח תשפ"ב מס' ‏‏2933 #מיום 18.11.2021 עמ' 148– תיקון מס' 1 בסעיף 43 לחוק עקרונות האסדרה, תשפ"ב-2021; ‏תחילתו ביום 1.1.2022‏</vt:lpwstr>
  </property>
  <property fmtid="{D5CDD505-2E9C-101B-9397-08002B2CF9AE}" pid="63" name="LINKK3">
    <vt:lpwstr>p://www.nevo.co.il/law_word/law14/law-2933.pdf;‎רשומות - ספר חוקים#ס"ח תשפ"ב מס' 2933 ‏‏#מיום 18.11.2021 עמ' 446– תיקון מס' 2 בסעיף 108 לחוק התכנית הכלכלית (תיקוני חקיקה ליישום ‏המדיניות הכלכלית לשנות התקציב 2021 ו-2022), תשפ"ב-2021; תחילתו ביום 1.1.2023‏</vt:lpwstr>
  </property>
</Properties>
</file>