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3E7B" w:rsidRDefault="009B3E7B" w:rsidP="007E19F8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קרן קיימת לישראל, תשי"ד</w:t>
      </w:r>
      <w:r w:rsidR="007E19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</w:p>
    <w:p w:rsidR="00076B33" w:rsidRPr="00076B33" w:rsidRDefault="00076B33" w:rsidP="00076B33">
      <w:pPr>
        <w:spacing w:line="320" w:lineRule="auto"/>
        <w:jc w:val="left"/>
        <w:rPr>
          <w:rFonts w:cs="FrankRuehl"/>
          <w:szCs w:val="26"/>
          <w:rtl/>
        </w:rPr>
      </w:pPr>
    </w:p>
    <w:p w:rsidR="00076B33" w:rsidRDefault="00076B33" w:rsidP="00076B33">
      <w:pPr>
        <w:spacing w:line="320" w:lineRule="auto"/>
        <w:jc w:val="left"/>
        <w:rPr>
          <w:rtl/>
        </w:rPr>
      </w:pPr>
    </w:p>
    <w:p w:rsidR="00076B33" w:rsidRDefault="00076B33" w:rsidP="00076B33">
      <w:pPr>
        <w:spacing w:line="320" w:lineRule="auto"/>
        <w:jc w:val="left"/>
        <w:rPr>
          <w:rFonts w:cs="FrankRuehl"/>
          <w:szCs w:val="26"/>
          <w:rtl/>
        </w:rPr>
      </w:pPr>
      <w:r w:rsidRPr="00076B33">
        <w:rPr>
          <w:rFonts w:cs="Miriam"/>
          <w:szCs w:val="22"/>
          <w:rtl/>
        </w:rPr>
        <w:t>משפט פרטי וכלכלה</w:t>
      </w:r>
      <w:r w:rsidRPr="00076B33">
        <w:rPr>
          <w:rFonts w:cs="FrankRuehl"/>
          <w:szCs w:val="26"/>
          <w:rtl/>
        </w:rPr>
        <w:t xml:space="preserve"> – קניין – מקרקעין – מקרקעי ישראל</w:t>
      </w:r>
    </w:p>
    <w:p w:rsidR="003E46DE" w:rsidRPr="00076B33" w:rsidRDefault="00076B33" w:rsidP="00076B33">
      <w:pPr>
        <w:spacing w:line="320" w:lineRule="auto"/>
        <w:jc w:val="left"/>
        <w:rPr>
          <w:rFonts w:cs="Miriam"/>
          <w:szCs w:val="22"/>
        </w:rPr>
      </w:pPr>
      <w:r w:rsidRPr="00076B33">
        <w:rPr>
          <w:rFonts w:cs="Miriam"/>
          <w:szCs w:val="22"/>
          <w:rtl/>
        </w:rPr>
        <w:t>רשויות ומשפט מנהלי</w:t>
      </w:r>
      <w:r w:rsidRPr="00076B33">
        <w:rPr>
          <w:rFonts w:cs="FrankRuehl"/>
          <w:szCs w:val="26"/>
          <w:rtl/>
        </w:rPr>
        <w:t xml:space="preserve"> – קרנות – קרן קיימת לישראל</w:t>
      </w:r>
    </w:p>
    <w:p w:rsidR="003E46DE" w:rsidRDefault="003E46DE" w:rsidP="003E46DE">
      <w:pPr>
        <w:spacing w:line="320" w:lineRule="auto"/>
        <w:jc w:val="left"/>
        <w:rPr>
          <w:rtl/>
        </w:rPr>
      </w:pPr>
    </w:p>
    <w:p w:rsidR="009B3E7B" w:rsidRDefault="009B3E7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1" w:tooltip="תזכיר ותקנות לאגודה בישראל של החברה הקיימ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תזכיר ותקנות לאגודה בישראל של החברה הקיימת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2" w:tooltip="הקמת החברה החדש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החברה החדשה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3" w:tooltip="זהות בזכויות ו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זהות בזכויות וסמכויות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4" w:tooltip="אי תחולתם של סעיפים מפקודת החב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אי תחולתם של סעיפים מפקודת החברות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5" w:tooltip="סמכות לפי פקודת הקרקע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סמכות לפי פקודת הקרקעות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6" w:tooltip="עסקי עזבונות בחי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עסקי עזבונות בחיים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7" w:tooltip="העברת רכוש החברה הקיימת על פי סידור העברת העס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רכוש החברה הקיימת על פי סידור העברת העסקים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9" w:tooltip="העברת רכוש בדרך אחר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רכוש בדרך אחרת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9B3E7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7E19F8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hyperlink w:anchor="Seif8" w:tooltip="פטור ממסי העב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9B3E7B" w:rsidRDefault="009B3E7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 העברה</w:t>
            </w:r>
          </w:p>
        </w:tc>
        <w:tc>
          <w:tcPr>
            <w:tcW w:w="1247" w:type="dxa"/>
          </w:tcPr>
          <w:p w:rsidR="009B3E7B" w:rsidRDefault="009B3E7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</w:tbl>
    <w:p w:rsidR="009B3E7B" w:rsidRDefault="009B3E7B">
      <w:pPr>
        <w:pStyle w:val="big-header"/>
        <w:ind w:left="0" w:right="1134"/>
        <w:rPr>
          <w:rFonts w:cs="FrankRuehl"/>
          <w:sz w:val="32"/>
          <w:rtl/>
        </w:rPr>
      </w:pPr>
    </w:p>
    <w:p w:rsidR="009B3E7B" w:rsidRDefault="009B3E7B" w:rsidP="003E46D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קרן קיימת לישראל, תשי"ד</w:t>
      </w:r>
      <w:r w:rsidR="007E19F8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1953</w:t>
      </w:r>
      <w:r w:rsidR="007E19F8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2.6pt;z-index:251653120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7E19F8">
        <w:rPr>
          <w:rStyle w:val="default"/>
          <w:rFonts w:cs="FrankRuehl"/>
          <w:rtl/>
        </w:rPr>
        <w:t>–</w:t>
      </w:r>
    </w:p>
    <w:p w:rsidR="009B3E7B" w:rsidRDefault="009B3E7B" w:rsidP="007E19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>חב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ה הקיימת" פירושו </w:t>
      </w:r>
      <w:r w:rsidR="007E19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הקרן הקיימת לישראל בע"מ;</w:t>
      </w:r>
    </w:p>
    <w:p w:rsidR="009B3E7B" w:rsidRDefault="009B3E7B" w:rsidP="007E19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חברה החדשה" פירושו </w:t>
      </w:r>
      <w:r w:rsidR="007E19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החברה שהוקמה לפי חוק זה;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>כוש" ו"התחייבות" פירושם כמשמעותם בסעיף 119א לפקודת החברות.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28.6pt;z-index:251654144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כיר ותקנות לאגודה בישראל של החברה הקיימת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שר</w:t>
      </w:r>
      <w:r>
        <w:rPr>
          <w:rStyle w:val="default"/>
          <w:rFonts w:cs="FrankRuehl" w:hint="cs"/>
          <w:rtl/>
        </w:rPr>
        <w:t xml:space="preserve"> המשפטים רשאי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אשר תזכיר התאגדות ותקנות של חברה מוגבלת בערבות, שיוגשו לו על ידי החברה הקיימת, לשם הקמתו של גוף מואגד בישראל להמשכת פעולות החברה הקיימת שנוסדה והואגדה בגולה.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2"/>
      <w:bookmarkEnd w:id="2"/>
      <w:r>
        <w:rPr>
          <w:lang w:val="he-IL"/>
        </w:rPr>
        <w:pict>
          <v:rect id="_x0000_s1028" style="position:absolute;left:0;text-align:left;margin-left:464.5pt;margin-top:8.05pt;width:75.05pt;height:16.3pt;z-index:251655168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החברה החדשה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מש</w:t>
      </w:r>
      <w:r>
        <w:rPr>
          <w:rStyle w:val="default"/>
          <w:rFonts w:cs="FrankRuehl" w:hint="cs"/>
          <w:rtl/>
        </w:rPr>
        <w:t xml:space="preserve">אושרו התזכיר והתקנות </w:t>
      </w:r>
      <w:r w:rsidR="007E19F8">
        <w:rPr>
          <w:rStyle w:val="default"/>
          <w:rFonts w:cs="FrankRuehl"/>
          <w:rtl/>
        </w:rPr>
        <w:t>–</w:t>
      </w:r>
    </w:p>
    <w:p w:rsidR="009B3E7B" w:rsidRDefault="009B3E7B" w:rsidP="007E19F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פורסמו ברשומות הודעה על האישור (להלן </w:t>
      </w:r>
      <w:r w:rsidR="007E19F8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ההודעה), והתזכיר המאושר</w:t>
      </w:r>
      <w:r w:rsidR="007E19F8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;</w:t>
      </w:r>
    </w:p>
    <w:p w:rsidR="009B3E7B" w:rsidRDefault="009B3E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ועברו 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רשם החברות העתק תזכיר ההתאגדות והתקנות כפי שאושרו;</w:t>
      </w:r>
    </w:p>
    <w:p w:rsidR="009B3E7B" w:rsidRDefault="009B3E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יום פרסום ההודעה יהיה דין החברה, לרבות תזכירה ותקנותיה, כדין חברה שנרשמה לפי פקודת הח</w:t>
      </w:r>
      <w:r w:rsidR="007E19F8">
        <w:rPr>
          <w:rStyle w:val="default"/>
          <w:rFonts w:cs="FrankRuehl" w:hint="cs"/>
          <w:rtl/>
        </w:rPr>
        <w:t>ברות וניתן לה רשיון לפי סעיף 23</w:t>
      </w:r>
      <w:r>
        <w:rPr>
          <w:rStyle w:val="default"/>
          <w:rFonts w:cs="FrankRuehl" w:hint="cs"/>
          <w:rtl/>
        </w:rPr>
        <w:t>(1) לפקודה.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>
          <v:rect id="_x0000_s1029" style="position:absolute;left:0;text-align:left;margin-left:464.5pt;margin-top:8.05pt;width:75.05pt;height:15.65pt;z-index:251656192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בזכויות וסמכויות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זכות או סמכות שניתנה בחוק לחברה הקיימת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היה נת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ה גם לחברה החדשה.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>
          <v:rect id="_x0000_s1030" style="position:absolute;left:0;text-align:left;margin-left:464.5pt;margin-top:8.05pt;width:75.05pt;height:29.3pt;z-index:251657216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תחולתם של סעיפים מפקודת החברות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סע</w:t>
      </w:r>
      <w:r>
        <w:rPr>
          <w:rStyle w:val="default"/>
          <w:rFonts w:cs="FrankRuehl" w:hint="cs"/>
          <w:rtl/>
        </w:rPr>
        <w:t>יף 112 וה</w:t>
      </w:r>
      <w:r w:rsidR="007E19F8">
        <w:rPr>
          <w:rStyle w:val="default"/>
          <w:rFonts w:cs="FrankRuehl" w:hint="cs"/>
          <w:rtl/>
        </w:rPr>
        <w:t>פסקאות השניה והשלישית לסעיף 121</w:t>
      </w:r>
      <w:r>
        <w:rPr>
          <w:rStyle w:val="default"/>
          <w:rFonts w:cs="FrankRuehl" w:hint="cs"/>
          <w:rtl/>
        </w:rPr>
        <w:t>(1) של פקודת החברות לא יחולו על החברה החדשה.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>
          <v:rect id="_x0000_s1031" style="position:absolute;left:0;text-align:left;margin-left:464.5pt;margin-top:8.05pt;width:75.05pt;height:30pt;z-index:251658240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כות לפי פקודת הקרקעות (רכישה לצרכי ציבור), 1943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לצ</w:t>
      </w:r>
      <w:r>
        <w:rPr>
          <w:rStyle w:val="default"/>
          <w:rFonts w:cs="FrankRuehl" w:hint="cs"/>
          <w:rtl/>
        </w:rPr>
        <w:t>ורך סעיף 22 לפקודת הקרקעות (רכישה לצרכי ציב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ר), 1943, יהיה דין החברה החדשה כדין רשות מקומית.</w:t>
      </w:r>
    </w:p>
    <w:p w:rsidR="009B3E7B" w:rsidRDefault="009B3E7B" w:rsidP="007E19F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6"/>
      <w:bookmarkEnd w:id="6"/>
      <w:r>
        <w:rPr>
          <w:lang w:val="he-IL"/>
        </w:rPr>
        <w:pict>
          <v:rect id="_x0000_s1032" style="position:absolute;left:0;text-align:left;margin-left:464.5pt;margin-top:8.05pt;width:75.05pt;height:13.85pt;z-index:251659264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עס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 עזבונות בחיים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ק הפיקוח על עסקי ביטוח, תשי"</w:t>
      </w:r>
      <w:r w:rsidR="007E19F8">
        <w:rPr>
          <w:rStyle w:val="default"/>
          <w:rFonts w:cs="FrankRuehl" w:hint="cs"/>
          <w:rtl/>
        </w:rPr>
        <w:t>א-</w:t>
      </w:r>
      <w:r>
        <w:rPr>
          <w:rStyle w:val="default"/>
          <w:rFonts w:cs="FrankRuehl"/>
          <w:rtl/>
        </w:rPr>
        <w:t xml:space="preserve">1951, </w:t>
      </w:r>
      <w:r>
        <w:rPr>
          <w:rStyle w:val="default"/>
          <w:rFonts w:cs="FrankRuehl" w:hint="cs"/>
          <w:rtl/>
        </w:rPr>
        <w:t xml:space="preserve">לא 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ול על עסקי עזבונות בחיים של החברה הקיימת והחברה החדשה, אף אם יש בהם משום עסקי ביטוח.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7"/>
      <w:bookmarkEnd w:id="7"/>
      <w:r>
        <w:rPr>
          <w:lang w:val="he-IL"/>
        </w:rPr>
        <w:pict>
          <v:rect id="_x0000_s1033" style="position:absolute;left:0;text-align:left;margin-left:464.5pt;margin-top:8.05pt;width:75.05pt;height:31.35pt;z-index:251660288" o:allowincell="f" filled="f" stroked="f" strokecolor="lime" strokeweight=".25pt">
            <v:textbox inset="0,0,0,0">
              <w:txbxContent>
                <w:p w:rsidR="009B3E7B" w:rsidRDefault="009B3E7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רכוש החברה הקיימת על פי סידור העברת העסקים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בא</w:t>
      </w:r>
      <w:r>
        <w:rPr>
          <w:rStyle w:val="default"/>
          <w:rFonts w:cs="FrankRuehl" w:hint="cs"/>
          <w:rtl/>
        </w:rPr>
        <w:t>ה החברה הקיימת לידי הסכם עם החברה החדשה בדבר מסירת כל עסקיה, רכושה והתחייבויותיה של החברה הקיימת, או של סוג מסויים שבהם, לחברה החדשה, יחולו על אותו הסכם הוראות סעי</w:t>
      </w:r>
      <w:r>
        <w:rPr>
          <w:rStyle w:val="default"/>
          <w:rFonts w:cs="FrankRuehl"/>
          <w:rtl/>
        </w:rPr>
        <w:t>ף 119</w:t>
      </w:r>
      <w:r>
        <w:rPr>
          <w:rStyle w:val="default"/>
          <w:rFonts w:cs="FrankRuehl" w:hint="cs"/>
          <w:rtl/>
        </w:rPr>
        <w:t>א לפקודת החברות, בשינויים אלה:</w:t>
      </w:r>
    </w:p>
    <w:p w:rsidR="009B3E7B" w:rsidRDefault="009B3E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סקה (א) ו-(ב) לסעיף קטן (5) וסעיף קטן (8) לא יחו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ו לגבי סידור זה;</w:t>
      </w:r>
    </w:p>
    <w:p w:rsidR="009B3E7B" w:rsidRDefault="009B3E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יה הסידור לגבי סוג מסויים של עסקים, של רכוש או של התחייבויות, לא יחולו הוראות סעיף קטן (7) על צו בית המשפט המאשר את הסידור, אלא לגבי אותו סוג של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סקים, של רכוש או של התחייבויות.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9"/>
      <w:bookmarkEnd w:id="8"/>
      <w:r>
        <w:rPr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470.25pt;margin-top:7.1pt;width:70.2pt;height:22.4pt;z-index:251662336" o:allowincell="f" filled="f" stroked="f">
            <v:textbox inset="1mm,0,1mm,0">
              <w:txbxContent>
                <w:p w:rsidR="009B3E7B" w:rsidRDefault="009B3E7B">
                  <w:pPr>
                    <w:pStyle w:val="page"/>
                    <w:widowControl/>
                    <w:rPr>
                      <w:rFonts w:cs="Miriam"/>
                      <w:position w:val="0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position w:val="0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position w:val="0"/>
                      <w:sz w:val="18"/>
                      <w:szCs w:val="18"/>
                      <w:rtl/>
                    </w:rPr>
                    <w:t>ברת רכוש בדרך אחרת</w:t>
                  </w:r>
                </w:p>
              </w:txbxContent>
            </v:textbox>
            <w10:wrap type="topAndBottom"/>
            <w10:anchorlock/>
          </v:shape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סכם על העברת רכו</w:t>
      </w:r>
      <w:r>
        <w:rPr>
          <w:rStyle w:val="default"/>
          <w:rFonts w:cs="FrankRuehl"/>
          <w:rtl/>
        </w:rPr>
        <w:t xml:space="preserve">ש </w:t>
      </w:r>
      <w:r>
        <w:rPr>
          <w:rStyle w:val="default"/>
          <w:rFonts w:cs="FrankRuehl" w:hint="cs"/>
          <w:rtl/>
        </w:rPr>
        <w:t xml:space="preserve">מסויים של החברה הקיימת לחברה החדשה, שלא על פי סעיף 8 </w:t>
      </w:r>
      <w:r w:rsidR="007E19F8">
        <w:rPr>
          <w:rStyle w:val="default"/>
          <w:rFonts w:cs="FrankRuehl"/>
          <w:rtl/>
        </w:rPr>
        <w:t>–</w:t>
      </w:r>
    </w:p>
    <w:p w:rsidR="009B3E7B" w:rsidRDefault="009B3E7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פרסם החברה החדשה הודעה על ההסכם ברשומות, בעתון יומי אחד בישראל ובעתון יומי אחד הנפוץ בארץ בה הואגדה החברה הקיימת;</w:t>
      </w:r>
    </w:p>
    <w:p w:rsidR="009B3E7B" w:rsidRDefault="009B3E7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 xml:space="preserve">יום העברת הרכוש, כאמור </w:t>
      </w:r>
      <w:r w:rsidR="007E19F8">
        <w:rPr>
          <w:rStyle w:val="default"/>
          <w:rFonts w:cs="FrankRuehl"/>
          <w:rtl/>
        </w:rPr>
        <w:t>–</w:t>
      </w:r>
    </w:p>
    <w:p w:rsidR="009B3E7B" w:rsidRDefault="009B3E7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 xml:space="preserve">היו החברה החדשה והחברה הקיימת אחראיות, שתיהן </w:t>
      </w:r>
      <w:r>
        <w:rPr>
          <w:rStyle w:val="default"/>
          <w:rFonts w:cs="FrankRuehl"/>
          <w:rtl/>
        </w:rPr>
        <w:t>יח</w:t>
      </w:r>
      <w:r>
        <w:rPr>
          <w:rStyle w:val="default"/>
          <w:rFonts w:cs="FrankRuehl" w:hint="cs"/>
          <w:rtl/>
        </w:rPr>
        <w:t>ד וכל אחת לחוד, לכל התחייבות שהיתה קיימת מצד החברה הקיימת ערב ה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עברה או שעילתה היתה קיימת אותה שעה, ושאינה התחייבות שהרכוש המועבר בלבד משועבד לה;</w:t>
      </w:r>
    </w:p>
    <w:p w:rsidR="009B3E7B" w:rsidRDefault="009B3E7B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 התחייבות שלפיה היה מוטל, ערב ההעברה, שעבוד רובץ על רכוש החברה הקיימת, דינה כדין התחייבות המטילה שעבוד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זה גם על רכושה של החברה החדשה.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lastRenderedPageBreak/>
        <w:pict>
          <v:rect id="_x0000_s1035" style="position:absolute;left:0;text-align:left;margin-left:464.5pt;margin-top:8.05pt;width:75.05pt;height:16pt;z-index:251661312" o:allowincell="f" filled="f" stroked="f" strokecolor="lime" strokeweight=".25pt">
            <v:textbox inset="0,0,0,0">
              <w:txbxContent>
                <w:p w:rsidR="009B3E7B" w:rsidRDefault="009B3E7B" w:rsidP="007E19F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</w:t>
                  </w:r>
                  <w:r w:rsidR="007E19F8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 xml:space="preserve"> העברת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כוש או התחייבות, כל תיקון של רישום וכל פעולה אחרת שתיעשה עקב העברה לפי סעיף 8 או לביצוע הסכם לפי סעיף 9, פטורים מכל מס, אגרה או תשלום אחר המשתלמים למדינה או לרשות מקומית.</w:t>
      </w:r>
    </w:p>
    <w:p w:rsidR="009B3E7B" w:rsidRDefault="009B3E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E19F8" w:rsidRDefault="007E19F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B3E7B" w:rsidRDefault="009B3E7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2835"/>
          <w:tab w:val="center" w:pos="482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וד בן-גוריון</w:t>
      </w:r>
      <w:r>
        <w:rPr>
          <w:rStyle w:val="default"/>
          <w:rFonts w:cs="FrankRuehl"/>
          <w:rtl/>
        </w:rPr>
        <w:tab/>
        <w:t>פ</w:t>
      </w:r>
      <w:r>
        <w:rPr>
          <w:rStyle w:val="default"/>
          <w:rFonts w:cs="FrankRuehl" w:hint="cs"/>
          <w:rtl/>
        </w:rPr>
        <w:t>נחס רוזן</w:t>
      </w:r>
    </w:p>
    <w:p w:rsidR="009B3E7B" w:rsidRDefault="009B3E7B">
      <w:pPr>
        <w:pStyle w:val="sig-1"/>
        <w:widowControl/>
        <w:tabs>
          <w:tab w:val="right" w:leader="dot" w:pos="779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</w:t>
      </w:r>
      <w:r>
        <w:rPr>
          <w:rFonts w:cs="FrankRuehl"/>
          <w:sz w:val="22"/>
          <w:rtl/>
        </w:rPr>
        <w:t>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9B3E7B" w:rsidRPr="007E19F8" w:rsidRDefault="009B3E7B" w:rsidP="007E19F8">
      <w:pPr>
        <w:pStyle w:val="sig-1"/>
        <w:widowControl/>
        <w:tabs>
          <w:tab w:val="right" w:leader="dot" w:pos="779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7E19F8">
        <w:rPr>
          <w:rFonts w:cs="FrankRuehl"/>
          <w:sz w:val="26"/>
          <w:szCs w:val="26"/>
          <w:rtl/>
        </w:rPr>
        <w:tab/>
        <w:t>י</w:t>
      </w:r>
      <w:r w:rsidRPr="007E19F8">
        <w:rPr>
          <w:rFonts w:cs="FrankRuehl" w:hint="cs"/>
          <w:sz w:val="26"/>
          <w:szCs w:val="26"/>
          <w:rtl/>
        </w:rPr>
        <w:t>צחק בן-צבי</w:t>
      </w:r>
    </w:p>
    <w:p w:rsidR="009B3E7B" w:rsidRDefault="009B3E7B">
      <w:pPr>
        <w:pStyle w:val="sig-1"/>
        <w:widowControl/>
        <w:tabs>
          <w:tab w:val="right" w:leader="dot" w:pos="779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9B3E7B" w:rsidRPr="007E19F8" w:rsidRDefault="009B3E7B" w:rsidP="007E19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3E7B" w:rsidRPr="007E19F8" w:rsidRDefault="009B3E7B" w:rsidP="007E19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9B3E7B" w:rsidRPr="007E19F8" w:rsidRDefault="009B3E7B" w:rsidP="007E19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B3E7B" w:rsidRPr="007E19F8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159F3" w:rsidRDefault="00B159F3">
      <w:r>
        <w:separator/>
      </w:r>
    </w:p>
  </w:endnote>
  <w:endnote w:type="continuationSeparator" w:id="0">
    <w:p w:rsidR="00B159F3" w:rsidRDefault="00B1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E7B" w:rsidRDefault="009B3E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B3E7B" w:rsidRDefault="009B3E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B3E7B" w:rsidRDefault="009B3E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19F8">
      <w:rPr>
        <w:rFonts w:cs="TopType Jerushalmi"/>
        <w:noProof/>
        <w:color w:val="000000"/>
        <w:sz w:val="14"/>
        <w:szCs w:val="14"/>
      </w:rPr>
      <w:t>D:\Yael\hakika\Revadim</w:t>
    </w:r>
    <w:r w:rsidR="007E19F8">
      <w:rPr>
        <w:rFonts w:cs="TopType Jerushalmi"/>
        <w:noProof/>
        <w:color w:val="000000"/>
        <w:sz w:val="14"/>
        <w:szCs w:val="14"/>
        <w:rtl/>
      </w:rPr>
      <w:t>\קישורים\</w:t>
    </w:r>
    <w:r w:rsidR="007E19F8">
      <w:rPr>
        <w:rFonts w:cs="TopType Jerushalmi"/>
        <w:noProof/>
        <w:color w:val="000000"/>
        <w:sz w:val="14"/>
        <w:szCs w:val="14"/>
      </w:rPr>
      <w:t>p205_001.doc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E7B" w:rsidRDefault="009B3E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76B33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B3E7B" w:rsidRDefault="009B3E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B3E7B" w:rsidRDefault="009B3E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E19F8">
      <w:rPr>
        <w:rFonts w:cs="TopType Jerushalmi"/>
        <w:noProof/>
        <w:color w:val="000000"/>
        <w:sz w:val="14"/>
        <w:szCs w:val="14"/>
      </w:rPr>
      <w:t>D:\Yael\hakika\Revadim</w:t>
    </w:r>
    <w:r w:rsidR="007E19F8">
      <w:rPr>
        <w:rFonts w:cs="TopType Jerushalmi"/>
        <w:noProof/>
        <w:color w:val="000000"/>
        <w:sz w:val="14"/>
        <w:szCs w:val="14"/>
        <w:rtl/>
      </w:rPr>
      <w:t>\קישורים\</w:t>
    </w:r>
    <w:r w:rsidR="007E19F8">
      <w:rPr>
        <w:rFonts w:cs="TopType Jerushalmi"/>
        <w:noProof/>
        <w:color w:val="000000"/>
        <w:sz w:val="14"/>
        <w:szCs w:val="14"/>
      </w:rPr>
      <w:t>p205_001.doc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159F3" w:rsidRDefault="00B159F3" w:rsidP="007E19F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159F3" w:rsidRDefault="00B159F3">
      <w:r>
        <w:continuationSeparator/>
      </w:r>
    </w:p>
  </w:footnote>
  <w:footnote w:id="1">
    <w:p w:rsidR="007E19F8" w:rsidRPr="007E19F8" w:rsidRDefault="007E19F8" w:rsidP="007E19F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7E19F8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587BF6">
          <w:rPr>
            <w:rStyle w:val="Hyperlink"/>
            <w:rFonts w:cs="FrankRuehl" w:hint="cs"/>
            <w:rtl/>
          </w:rPr>
          <w:t>ס"ח תשי"ד מס' 138</w:t>
        </w:r>
      </w:hyperlink>
      <w:r>
        <w:rPr>
          <w:rFonts w:cs="FrankRuehl" w:hint="cs"/>
          <w:rtl/>
        </w:rPr>
        <w:t xml:space="preserve"> מיום </w:t>
      </w:r>
      <w:r>
        <w:rPr>
          <w:rFonts w:cs="FrankRuehl"/>
          <w:rtl/>
        </w:rPr>
        <w:t xml:space="preserve">3.12.1953 </w:t>
      </w:r>
      <w:r>
        <w:rPr>
          <w:rFonts w:cs="FrankRuehl" w:hint="cs"/>
          <w:rtl/>
        </w:rPr>
        <w:t>עמ' 34 (</w:t>
      </w:r>
      <w:hyperlink r:id="rId2" w:history="1">
        <w:r w:rsidRPr="007E19F8">
          <w:rPr>
            <w:rStyle w:val="Hyperlink"/>
            <w:rFonts w:cs="FrankRuehl" w:hint="cs"/>
            <w:rtl/>
          </w:rPr>
          <w:t>ה"ח תשי"ג מס' 168</w:t>
        </w:r>
      </w:hyperlink>
      <w:r>
        <w:rPr>
          <w:rFonts w:cs="FrankRuehl" w:hint="cs"/>
          <w:rtl/>
        </w:rPr>
        <w:t xml:space="preserve"> עמ' 222).</w:t>
      </w:r>
    </w:p>
  </w:footnote>
  <w:footnote w:id="2">
    <w:p w:rsidR="007E19F8" w:rsidRDefault="007E19F8" w:rsidP="007E19F8">
      <w:pPr>
        <w:pStyle w:val="a5"/>
        <w:spacing w:before="72" w:line="240" w:lineRule="auto"/>
        <w:ind w:right="1134"/>
        <w:rPr>
          <w:rFonts w:hint="cs"/>
        </w:rPr>
      </w:pPr>
      <w:r>
        <w:rPr>
          <w:rStyle w:val="a6"/>
        </w:rPr>
        <w:footnoteRef/>
      </w:r>
      <w:r w:rsidRPr="007E19F8">
        <w:rPr>
          <w:rFonts w:cs="FrankRuehl"/>
          <w:sz w:val="22"/>
          <w:szCs w:val="22"/>
          <w:rtl/>
        </w:rPr>
        <w:t xml:space="preserve"> הו</w:t>
      </w:r>
      <w:r w:rsidRPr="007E19F8">
        <w:rPr>
          <w:rFonts w:cs="FrankRuehl" w:hint="cs"/>
          <w:sz w:val="22"/>
          <w:szCs w:val="22"/>
          <w:rtl/>
        </w:rPr>
        <w:t xml:space="preserve">דעה על אישור התזכיר והתקנות פורסמה </w:t>
      </w:r>
      <w:hyperlink r:id="rId3" w:history="1">
        <w:r w:rsidRPr="007E19F8">
          <w:rPr>
            <w:rStyle w:val="Hyperlink"/>
            <w:rFonts w:cs="FrankRuehl" w:hint="cs"/>
            <w:sz w:val="22"/>
            <w:szCs w:val="22"/>
            <w:rtl/>
          </w:rPr>
          <w:t>י"פ תשי"ד מס' 359</w:t>
        </w:r>
      </w:hyperlink>
      <w:r w:rsidRPr="007E19F8">
        <w:rPr>
          <w:rFonts w:cs="FrankRuehl" w:hint="cs"/>
          <w:sz w:val="22"/>
          <w:szCs w:val="22"/>
          <w:rtl/>
        </w:rPr>
        <w:t xml:space="preserve"> מיום 10.6.1954 עמ' 1196.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E7B" w:rsidRDefault="009B3E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קיימת לישראל, תשי"ד–1953</w:t>
    </w:r>
  </w:p>
  <w:p w:rsidR="009B3E7B" w:rsidRDefault="009B3E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B3E7B" w:rsidRDefault="009B3E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E7B" w:rsidRDefault="009B3E7B" w:rsidP="007E19F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קרן קיימת לישראל, תשי"ד</w:t>
    </w:r>
    <w:r w:rsidR="007E19F8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1953</w:t>
    </w:r>
  </w:p>
  <w:p w:rsidR="009B3E7B" w:rsidRDefault="009B3E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B3E7B" w:rsidRDefault="009B3E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7BF6"/>
    <w:rsid w:val="00076B33"/>
    <w:rsid w:val="001B7BFB"/>
    <w:rsid w:val="003E46DE"/>
    <w:rsid w:val="003E6BC8"/>
    <w:rsid w:val="00587BF6"/>
    <w:rsid w:val="007E19F8"/>
    <w:rsid w:val="008C08BF"/>
    <w:rsid w:val="009B3E7B"/>
    <w:rsid w:val="00B159F3"/>
    <w:rsid w:val="00D1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3AEBCB4-1D1F-427D-94CF-E5278B25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7E19F8"/>
    <w:rPr>
      <w:sz w:val="20"/>
      <w:szCs w:val="20"/>
    </w:rPr>
  </w:style>
  <w:style w:type="character" w:styleId="a6">
    <w:name w:val="footnote reference"/>
    <w:basedOn w:val="a0"/>
    <w:semiHidden/>
    <w:rsid w:val="007E19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10/YALKUT-0359.pdf" TargetMode="External"/><Relationship Id="rId2" Type="http://schemas.openxmlformats.org/officeDocument/2006/relationships/hyperlink" Target="http://www.nevo.co.il/Law_word/law17/PROP-0168.pdf" TargetMode="External"/><Relationship Id="rId1" Type="http://schemas.openxmlformats.org/officeDocument/2006/relationships/hyperlink" Target="http://www.nevo.co.il/Law_word/law14/LAW-013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205</vt:lpstr>
    </vt:vector>
  </TitlesOfParts>
  <Company/>
  <LinksUpToDate>false</LinksUpToDate>
  <CharactersWithSpaces>3654</CharactersWithSpaces>
  <SharedDoc>false</SharedDoc>
  <HLinks>
    <vt:vector size="78" baseType="variant"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http://www.nevo.co.il/Law_word/law10/YALKUT-0359.pdf</vt:lpwstr>
      </vt:variant>
      <vt:variant>
        <vt:lpwstr/>
      </vt:variant>
      <vt:variant>
        <vt:i4>123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http://www.nevo.co.il/Law_word/law17/PROP-0168.pdf</vt:lpwstr>
      </vt:variant>
      <vt:variant>
        <vt:lpwstr/>
      </vt:variant>
      <vt:variant>
        <vt:i4>8126464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http://www.nevo.co.il/Law_word/law14/LAW-0138.pdf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205</dc:title>
  <dc:subject/>
  <dc:creator>Shimon Doodkin</dc:creator>
  <cp:keywords/>
  <dc:description/>
  <cp:lastModifiedBy>Shimon Doodkin</cp:lastModifiedBy>
  <cp:revision>2</cp:revision>
  <dcterms:created xsi:type="dcterms:W3CDTF">2023-06-05T19:09:00Z</dcterms:created>
  <dcterms:modified xsi:type="dcterms:W3CDTF">2023-06-05T19:09:00Z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p205</vt:lpwstr>
  </property>
  <property fmtid="{D5CDD505-2E9C-101B-9397-08002B2CF9AE}" pid="3" name="CHNAME">
    <vt:lpwstr>קרן קיימת לישראל</vt:lpwstr>
  </property>
  <property fmtid="{D5CDD505-2E9C-101B-9397-08002B2CF9AE}" pid="4" name="LAWNAME">
    <vt:lpwstr>חוק קרן קיימת לישראל, תשי"ד-1953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משפט פרטי וכלכלה</vt:lpwstr>
  </property>
  <property fmtid="{D5CDD505-2E9C-101B-9397-08002B2CF9AE}" pid="8" name="NOSE21">
    <vt:lpwstr>קניין</vt:lpwstr>
  </property>
  <property fmtid="{D5CDD505-2E9C-101B-9397-08002B2CF9AE}" pid="9" name="NOSE31">
    <vt:lpwstr>מקרקעין</vt:lpwstr>
  </property>
  <property fmtid="{D5CDD505-2E9C-101B-9397-08002B2CF9AE}" pid="10" name="NOSE41">
    <vt:lpwstr>מקרקעי ישראל</vt:lpwstr>
  </property>
  <property fmtid="{D5CDD505-2E9C-101B-9397-08002B2CF9AE}" pid="11" name="NOSE12">
    <vt:lpwstr>רשויות ומשפט מנהלי</vt:lpwstr>
  </property>
  <property fmtid="{D5CDD505-2E9C-101B-9397-08002B2CF9AE}" pid="12" name="NOSE22">
    <vt:lpwstr>קרנות</vt:lpwstr>
  </property>
  <property fmtid="{D5CDD505-2E9C-101B-9397-08002B2CF9AE}" pid="13" name="NOSE32">
    <vt:lpwstr>קרן קיימת לישראל</vt:lpwstr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