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1F7" w:rsidRDefault="003E41F7" w:rsidP="002D64F0">
      <w:pPr>
        <w:pStyle w:val="big-header"/>
        <w:ind w:left="0" w:right="1134"/>
        <w:rPr>
          <w:rFonts w:cs="FrankRuehl"/>
          <w:sz w:val="32"/>
        </w:rPr>
      </w:pPr>
      <w:r>
        <w:rPr>
          <w:rFonts w:cs="FrankRuehl"/>
          <w:sz w:val="32"/>
          <w:rtl/>
        </w:rPr>
        <w:t>חוק רישוי בעלי מלאכה, תשל"ז</w:t>
      </w:r>
      <w:r w:rsidR="002D64F0">
        <w:rPr>
          <w:rFonts w:cs="FrankRuehl" w:hint="cs"/>
          <w:sz w:val="32"/>
          <w:rtl/>
        </w:rPr>
        <w:t>-</w:t>
      </w:r>
      <w:r>
        <w:rPr>
          <w:rFonts w:cs="FrankRuehl"/>
          <w:sz w:val="32"/>
          <w:rtl/>
        </w:rPr>
        <w:t>1977</w:t>
      </w:r>
    </w:p>
    <w:p w:rsidR="00F46909" w:rsidRDefault="00F46909" w:rsidP="00F46909">
      <w:pPr>
        <w:spacing w:line="320" w:lineRule="auto"/>
        <w:jc w:val="left"/>
        <w:rPr>
          <w:rtl/>
        </w:rPr>
      </w:pPr>
    </w:p>
    <w:p w:rsidR="00F46909" w:rsidRDefault="00F46909" w:rsidP="00F46909">
      <w:pPr>
        <w:spacing w:line="320" w:lineRule="auto"/>
        <w:jc w:val="left"/>
        <w:rPr>
          <w:rFonts w:cs="FrankRuehl"/>
          <w:szCs w:val="26"/>
          <w:rtl/>
        </w:rPr>
      </w:pPr>
      <w:r w:rsidRPr="00F46909">
        <w:rPr>
          <w:rFonts w:cs="Miriam"/>
          <w:szCs w:val="22"/>
          <w:rtl/>
        </w:rPr>
        <w:t>רשויות ומשפט מנהלי</w:t>
      </w:r>
      <w:r w:rsidRPr="00F46909">
        <w:rPr>
          <w:rFonts w:cs="FrankRuehl"/>
          <w:szCs w:val="26"/>
          <w:rtl/>
        </w:rPr>
        <w:t xml:space="preserve"> – רישוי – רישוי עסקים</w:t>
      </w:r>
    </w:p>
    <w:p w:rsidR="00F46909" w:rsidRPr="00F46909" w:rsidRDefault="00F46909" w:rsidP="00F46909">
      <w:pPr>
        <w:spacing w:line="320" w:lineRule="auto"/>
        <w:jc w:val="left"/>
        <w:rPr>
          <w:rFonts w:cs="Miriam"/>
          <w:szCs w:val="22"/>
          <w:rtl/>
        </w:rPr>
      </w:pPr>
      <w:r w:rsidRPr="00F46909">
        <w:rPr>
          <w:rFonts w:cs="Miriam"/>
          <w:szCs w:val="22"/>
          <w:rtl/>
        </w:rPr>
        <w:t>רשויות ומשפט מנהלי</w:t>
      </w:r>
      <w:r w:rsidRPr="00F46909">
        <w:rPr>
          <w:rFonts w:cs="FrankRuehl"/>
          <w:szCs w:val="26"/>
          <w:rtl/>
        </w:rPr>
        <w:t xml:space="preserve"> – רישוי – רישוי בעלי מקצוע</w:t>
      </w:r>
    </w:p>
    <w:p w:rsidR="003E41F7" w:rsidRDefault="003E41F7">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D64F0">
              <w:rPr>
                <w:noProof/>
                <w:sz w:val="24"/>
                <w:rtl/>
              </w:rPr>
              <w:t>2</w:t>
            </w:r>
            <w:r>
              <w:rPr>
                <w:sz w:val="24"/>
                <w:rtl/>
              </w:rPr>
              <w:fldChar w:fldCharType="end"/>
            </w:r>
          </w:p>
        </w:tc>
        <w:tc>
          <w:tcPr>
            <w:tcW w:w="567" w:type="dxa"/>
          </w:tcPr>
          <w:p w:rsidR="003E41F7" w:rsidRDefault="003E41F7">
            <w:pPr>
              <w:spacing w:line="240" w:lineRule="auto"/>
              <w:rPr>
                <w:sz w:val="24"/>
              </w:rPr>
            </w:pPr>
            <w:hyperlink w:anchor="Seif0" w:tooltip="מלאכות טעונות רישוי" w:history="1">
              <w:r>
                <w:rPr>
                  <w:rStyle w:val="Hyperlink"/>
                </w:rPr>
                <w:t>Go</w:t>
              </w:r>
            </w:hyperlink>
          </w:p>
        </w:tc>
        <w:tc>
          <w:tcPr>
            <w:tcW w:w="5669" w:type="dxa"/>
          </w:tcPr>
          <w:p w:rsidR="003E41F7" w:rsidRDefault="003E41F7">
            <w:pPr>
              <w:spacing w:line="240" w:lineRule="auto"/>
              <w:rPr>
                <w:sz w:val="24"/>
                <w:rtl/>
              </w:rPr>
            </w:pPr>
            <w:r>
              <w:rPr>
                <w:sz w:val="24"/>
                <w:rtl/>
              </w:rPr>
              <w:t>מלאכות טעונות רישוי</w:t>
            </w:r>
          </w:p>
        </w:tc>
        <w:tc>
          <w:tcPr>
            <w:tcW w:w="1247" w:type="dxa"/>
          </w:tcPr>
          <w:p w:rsidR="003E41F7" w:rsidRDefault="003E41F7">
            <w:pPr>
              <w:spacing w:line="240" w:lineRule="auto"/>
              <w:rPr>
                <w:sz w:val="24"/>
              </w:rPr>
            </w:pPr>
            <w:r>
              <w:rPr>
                <w:sz w:val="24"/>
                <w:rtl/>
              </w:rPr>
              <w:t xml:space="preserve">סעיף 1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D64F0">
              <w:rPr>
                <w:noProof/>
                <w:sz w:val="24"/>
                <w:rtl/>
              </w:rPr>
              <w:t>2</w:t>
            </w:r>
            <w:r>
              <w:rPr>
                <w:sz w:val="24"/>
                <w:rtl/>
              </w:rPr>
              <w:fldChar w:fldCharType="end"/>
            </w:r>
          </w:p>
        </w:tc>
        <w:tc>
          <w:tcPr>
            <w:tcW w:w="567" w:type="dxa"/>
          </w:tcPr>
          <w:p w:rsidR="003E41F7" w:rsidRDefault="003E41F7">
            <w:pPr>
              <w:spacing w:line="240" w:lineRule="auto"/>
              <w:rPr>
                <w:sz w:val="24"/>
              </w:rPr>
            </w:pPr>
            <w:hyperlink w:anchor="Seif1" w:tooltip="הגבלת העיסוק במלאכה טעונה רישוי" w:history="1">
              <w:r>
                <w:rPr>
                  <w:rStyle w:val="Hyperlink"/>
                </w:rPr>
                <w:t>Go</w:t>
              </w:r>
            </w:hyperlink>
          </w:p>
        </w:tc>
        <w:tc>
          <w:tcPr>
            <w:tcW w:w="5669" w:type="dxa"/>
          </w:tcPr>
          <w:p w:rsidR="003E41F7" w:rsidRDefault="003E41F7">
            <w:pPr>
              <w:spacing w:line="240" w:lineRule="auto"/>
              <w:rPr>
                <w:sz w:val="24"/>
                <w:rtl/>
              </w:rPr>
            </w:pPr>
            <w:r>
              <w:rPr>
                <w:sz w:val="24"/>
                <w:rtl/>
              </w:rPr>
              <w:t>הגבלת העיסוק במלאכה טעונה רישוי</w:t>
            </w:r>
          </w:p>
        </w:tc>
        <w:tc>
          <w:tcPr>
            <w:tcW w:w="1247" w:type="dxa"/>
          </w:tcPr>
          <w:p w:rsidR="003E41F7" w:rsidRDefault="003E41F7">
            <w:pPr>
              <w:spacing w:line="240" w:lineRule="auto"/>
              <w:rPr>
                <w:sz w:val="24"/>
              </w:rPr>
            </w:pPr>
            <w:r>
              <w:rPr>
                <w:sz w:val="24"/>
                <w:rtl/>
              </w:rPr>
              <w:t xml:space="preserve">סעיף 2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D64F0">
              <w:rPr>
                <w:noProof/>
                <w:sz w:val="24"/>
                <w:rtl/>
              </w:rPr>
              <w:t>2</w:t>
            </w:r>
            <w:r>
              <w:rPr>
                <w:sz w:val="24"/>
                <w:rtl/>
              </w:rPr>
              <w:fldChar w:fldCharType="end"/>
            </w:r>
          </w:p>
        </w:tc>
        <w:tc>
          <w:tcPr>
            <w:tcW w:w="567" w:type="dxa"/>
          </w:tcPr>
          <w:p w:rsidR="003E41F7" w:rsidRDefault="003E41F7">
            <w:pPr>
              <w:spacing w:line="240" w:lineRule="auto"/>
              <w:rPr>
                <w:sz w:val="24"/>
              </w:rPr>
            </w:pPr>
            <w:hyperlink w:anchor="Seif2" w:tooltip="תאגידים" w:history="1">
              <w:r>
                <w:rPr>
                  <w:rStyle w:val="Hyperlink"/>
                </w:rPr>
                <w:t>Go</w:t>
              </w:r>
            </w:hyperlink>
          </w:p>
        </w:tc>
        <w:tc>
          <w:tcPr>
            <w:tcW w:w="5669" w:type="dxa"/>
          </w:tcPr>
          <w:p w:rsidR="003E41F7" w:rsidRDefault="003E41F7">
            <w:pPr>
              <w:spacing w:line="240" w:lineRule="auto"/>
              <w:rPr>
                <w:sz w:val="24"/>
                <w:rtl/>
              </w:rPr>
            </w:pPr>
            <w:r>
              <w:rPr>
                <w:sz w:val="24"/>
                <w:rtl/>
              </w:rPr>
              <w:t>תאגידים</w:t>
            </w:r>
          </w:p>
        </w:tc>
        <w:tc>
          <w:tcPr>
            <w:tcW w:w="1247" w:type="dxa"/>
          </w:tcPr>
          <w:p w:rsidR="003E41F7" w:rsidRDefault="003E41F7">
            <w:pPr>
              <w:spacing w:line="240" w:lineRule="auto"/>
              <w:rPr>
                <w:sz w:val="24"/>
              </w:rPr>
            </w:pPr>
            <w:r>
              <w:rPr>
                <w:sz w:val="24"/>
                <w:rtl/>
              </w:rPr>
              <w:t xml:space="preserve">סעיף 3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D64F0">
              <w:rPr>
                <w:noProof/>
                <w:sz w:val="24"/>
                <w:rtl/>
              </w:rPr>
              <w:t>2</w:t>
            </w:r>
            <w:r>
              <w:rPr>
                <w:sz w:val="24"/>
                <w:rtl/>
              </w:rPr>
              <w:fldChar w:fldCharType="end"/>
            </w:r>
          </w:p>
        </w:tc>
        <w:tc>
          <w:tcPr>
            <w:tcW w:w="567" w:type="dxa"/>
          </w:tcPr>
          <w:p w:rsidR="003E41F7" w:rsidRDefault="003E41F7">
            <w:pPr>
              <w:spacing w:line="240" w:lineRule="auto"/>
              <w:rPr>
                <w:sz w:val="24"/>
              </w:rPr>
            </w:pPr>
            <w:hyperlink w:anchor="Seif3" w:tooltip="בן משפחה של בעל מלאכה" w:history="1">
              <w:r>
                <w:rPr>
                  <w:rStyle w:val="Hyperlink"/>
                </w:rPr>
                <w:t>Go</w:t>
              </w:r>
            </w:hyperlink>
          </w:p>
        </w:tc>
        <w:tc>
          <w:tcPr>
            <w:tcW w:w="5669" w:type="dxa"/>
          </w:tcPr>
          <w:p w:rsidR="003E41F7" w:rsidRDefault="003E41F7">
            <w:pPr>
              <w:spacing w:line="240" w:lineRule="auto"/>
              <w:rPr>
                <w:sz w:val="24"/>
                <w:rtl/>
              </w:rPr>
            </w:pPr>
            <w:r>
              <w:rPr>
                <w:sz w:val="24"/>
                <w:rtl/>
              </w:rPr>
              <w:t>בן משפחה של בעל מלאכה</w:t>
            </w:r>
          </w:p>
        </w:tc>
        <w:tc>
          <w:tcPr>
            <w:tcW w:w="1247" w:type="dxa"/>
          </w:tcPr>
          <w:p w:rsidR="003E41F7" w:rsidRDefault="003E41F7">
            <w:pPr>
              <w:spacing w:line="240" w:lineRule="auto"/>
              <w:rPr>
                <w:sz w:val="24"/>
              </w:rPr>
            </w:pPr>
            <w:r>
              <w:rPr>
                <w:sz w:val="24"/>
                <w:rtl/>
              </w:rPr>
              <w:t xml:space="preserve">סעיף 4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D64F0">
              <w:rPr>
                <w:noProof/>
                <w:sz w:val="24"/>
                <w:rtl/>
              </w:rPr>
              <w:t>2</w:t>
            </w:r>
            <w:r>
              <w:rPr>
                <w:sz w:val="24"/>
                <w:rtl/>
              </w:rPr>
              <w:fldChar w:fldCharType="end"/>
            </w:r>
          </w:p>
        </w:tc>
        <w:tc>
          <w:tcPr>
            <w:tcW w:w="567" w:type="dxa"/>
          </w:tcPr>
          <w:p w:rsidR="003E41F7" w:rsidRDefault="003E41F7">
            <w:pPr>
              <w:spacing w:line="240" w:lineRule="auto"/>
              <w:rPr>
                <w:sz w:val="24"/>
              </w:rPr>
            </w:pPr>
            <w:hyperlink w:anchor="Seif4" w:tooltip="זכאות לרשיון" w:history="1">
              <w:r>
                <w:rPr>
                  <w:rStyle w:val="Hyperlink"/>
                </w:rPr>
                <w:t>Go</w:t>
              </w:r>
            </w:hyperlink>
          </w:p>
        </w:tc>
        <w:tc>
          <w:tcPr>
            <w:tcW w:w="5669" w:type="dxa"/>
          </w:tcPr>
          <w:p w:rsidR="003E41F7" w:rsidRDefault="003E41F7">
            <w:pPr>
              <w:spacing w:line="240" w:lineRule="auto"/>
              <w:rPr>
                <w:sz w:val="24"/>
                <w:rtl/>
              </w:rPr>
            </w:pPr>
            <w:r>
              <w:rPr>
                <w:sz w:val="24"/>
                <w:rtl/>
              </w:rPr>
              <w:t>זכאות לרשיון</w:t>
            </w:r>
          </w:p>
        </w:tc>
        <w:tc>
          <w:tcPr>
            <w:tcW w:w="1247" w:type="dxa"/>
          </w:tcPr>
          <w:p w:rsidR="003E41F7" w:rsidRDefault="003E41F7">
            <w:pPr>
              <w:spacing w:line="240" w:lineRule="auto"/>
              <w:rPr>
                <w:sz w:val="24"/>
              </w:rPr>
            </w:pPr>
            <w:r>
              <w:rPr>
                <w:sz w:val="24"/>
                <w:rtl/>
              </w:rPr>
              <w:t xml:space="preserve">סעיף 5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D64F0">
              <w:rPr>
                <w:noProof/>
                <w:sz w:val="24"/>
                <w:rtl/>
              </w:rPr>
              <w:t>3</w:t>
            </w:r>
            <w:r>
              <w:rPr>
                <w:sz w:val="24"/>
                <w:rtl/>
              </w:rPr>
              <w:fldChar w:fldCharType="end"/>
            </w:r>
          </w:p>
        </w:tc>
        <w:tc>
          <w:tcPr>
            <w:tcW w:w="567" w:type="dxa"/>
          </w:tcPr>
          <w:p w:rsidR="003E41F7" w:rsidRDefault="003E41F7">
            <w:pPr>
              <w:spacing w:line="240" w:lineRule="auto"/>
              <w:rPr>
                <w:sz w:val="24"/>
              </w:rPr>
            </w:pPr>
            <w:hyperlink w:anchor="Seif5" w:tooltip="רשיון למי שעסק במלאכה" w:history="1">
              <w:r>
                <w:rPr>
                  <w:rStyle w:val="Hyperlink"/>
                </w:rPr>
                <w:t>Go</w:t>
              </w:r>
            </w:hyperlink>
          </w:p>
        </w:tc>
        <w:tc>
          <w:tcPr>
            <w:tcW w:w="5669" w:type="dxa"/>
          </w:tcPr>
          <w:p w:rsidR="003E41F7" w:rsidRDefault="003E41F7">
            <w:pPr>
              <w:spacing w:line="240" w:lineRule="auto"/>
              <w:rPr>
                <w:sz w:val="24"/>
                <w:rtl/>
              </w:rPr>
            </w:pPr>
            <w:r>
              <w:rPr>
                <w:sz w:val="24"/>
                <w:rtl/>
              </w:rPr>
              <w:t>רשיון למי שעסק במלאכה</w:t>
            </w:r>
          </w:p>
        </w:tc>
        <w:tc>
          <w:tcPr>
            <w:tcW w:w="1247" w:type="dxa"/>
          </w:tcPr>
          <w:p w:rsidR="003E41F7" w:rsidRDefault="003E41F7">
            <w:pPr>
              <w:spacing w:line="240" w:lineRule="auto"/>
              <w:rPr>
                <w:sz w:val="24"/>
              </w:rPr>
            </w:pPr>
            <w:r>
              <w:rPr>
                <w:sz w:val="24"/>
                <w:rtl/>
              </w:rPr>
              <w:t xml:space="preserve">סעיף 6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D64F0">
              <w:rPr>
                <w:noProof/>
                <w:sz w:val="24"/>
                <w:rtl/>
              </w:rPr>
              <w:t>3</w:t>
            </w:r>
            <w:r>
              <w:rPr>
                <w:sz w:val="24"/>
                <w:rtl/>
              </w:rPr>
              <w:fldChar w:fldCharType="end"/>
            </w:r>
          </w:p>
        </w:tc>
        <w:tc>
          <w:tcPr>
            <w:tcW w:w="567" w:type="dxa"/>
          </w:tcPr>
          <w:p w:rsidR="003E41F7" w:rsidRDefault="003E41F7">
            <w:pPr>
              <w:spacing w:line="240" w:lineRule="auto"/>
              <w:rPr>
                <w:sz w:val="24"/>
              </w:rPr>
            </w:pPr>
            <w:hyperlink w:anchor="Seif6" w:tooltip="אתיקה מקצועית" w:history="1">
              <w:r>
                <w:rPr>
                  <w:rStyle w:val="Hyperlink"/>
                </w:rPr>
                <w:t>Go</w:t>
              </w:r>
            </w:hyperlink>
          </w:p>
        </w:tc>
        <w:tc>
          <w:tcPr>
            <w:tcW w:w="5669" w:type="dxa"/>
          </w:tcPr>
          <w:p w:rsidR="003E41F7" w:rsidRDefault="003E41F7">
            <w:pPr>
              <w:spacing w:line="240" w:lineRule="auto"/>
              <w:rPr>
                <w:sz w:val="24"/>
                <w:rtl/>
              </w:rPr>
            </w:pPr>
            <w:r>
              <w:rPr>
                <w:sz w:val="24"/>
                <w:rtl/>
              </w:rPr>
              <w:t>אתיקה מקצועית</w:t>
            </w:r>
          </w:p>
        </w:tc>
        <w:tc>
          <w:tcPr>
            <w:tcW w:w="1247" w:type="dxa"/>
          </w:tcPr>
          <w:p w:rsidR="003E41F7" w:rsidRDefault="003E41F7">
            <w:pPr>
              <w:spacing w:line="240" w:lineRule="auto"/>
              <w:rPr>
                <w:sz w:val="24"/>
              </w:rPr>
            </w:pPr>
            <w:r>
              <w:rPr>
                <w:sz w:val="24"/>
                <w:rtl/>
              </w:rPr>
              <w:t xml:space="preserve">סעיף 7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2D64F0">
              <w:rPr>
                <w:noProof/>
                <w:sz w:val="24"/>
                <w:rtl/>
              </w:rPr>
              <w:t>3</w:t>
            </w:r>
            <w:r>
              <w:rPr>
                <w:sz w:val="24"/>
                <w:rtl/>
              </w:rPr>
              <w:fldChar w:fldCharType="end"/>
            </w:r>
          </w:p>
        </w:tc>
        <w:tc>
          <w:tcPr>
            <w:tcW w:w="567" w:type="dxa"/>
          </w:tcPr>
          <w:p w:rsidR="003E41F7" w:rsidRDefault="003E41F7">
            <w:pPr>
              <w:spacing w:line="240" w:lineRule="auto"/>
              <w:rPr>
                <w:sz w:val="24"/>
              </w:rPr>
            </w:pPr>
            <w:hyperlink w:anchor="Seif7" w:tooltip="מועצת מלאכה" w:history="1">
              <w:r>
                <w:rPr>
                  <w:rStyle w:val="Hyperlink"/>
                </w:rPr>
                <w:t>Go</w:t>
              </w:r>
            </w:hyperlink>
          </w:p>
        </w:tc>
        <w:tc>
          <w:tcPr>
            <w:tcW w:w="5669" w:type="dxa"/>
          </w:tcPr>
          <w:p w:rsidR="003E41F7" w:rsidRDefault="003E41F7">
            <w:pPr>
              <w:spacing w:line="240" w:lineRule="auto"/>
              <w:rPr>
                <w:sz w:val="24"/>
                <w:rtl/>
              </w:rPr>
            </w:pPr>
            <w:r>
              <w:rPr>
                <w:sz w:val="24"/>
                <w:rtl/>
              </w:rPr>
              <w:t>מועצת מלאכה</w:t>
            </w:r>
          </w:p>
        </w:tc>
        <w:tc>
          <w:tcPr>
            <w:tcW w:w="1247" w:type="dxa"/>
          </w:tcPr>
          <w:p w:rsidR="003E41F7" w:rsidRDefault="003E41F7">
            <w:pPr>
              <w:spacing w:line="240" w:lineRule="auto"/>
              <w:rPr>
                <w:sz w:val="24"/>
              </w:rPr>
            </w:pPr>
            <w:r>
              <w:rPr>
                <w:sz w:val="24"/>
                <w:rtl/>
              </w:rPr>
              <w:t xml:space="preserve">סעיף 8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2D64F0">
              <w:rPr>
                <w:noProof/>
                <w:sz w:val="24"/>
                <w:rtl/>
              </w:rPr>
              <w:t>3</w:t>
            </w:r>
            <w:r>
              <w:rPr>
                <w:sz w:val="24"/>
                <w:rtl/>
              </w:rPr>
              <w:fldChar w:fldCharType="end"/>
            </w:r>
          </w:p>
        </w:tc>
        <w:tc>
          <w:tcPr>
            <w:tcW w:w="567" w:type="dxa"/>
          </w:tcPr>
          <w:p w:rsidR="003E41F7" w:rsidRDefault="003E41F7">
            <w:pPr>
              <w:spacing w:line="240" w:lineRule="auto"/>
              <w:rPr>
                <w:sz w:val="24"/>
              </w:rPr>
            </w:pPr>
            <w:hyperlink w:anchor="Seif8" w:tooltip="תפקיד המועצה" w:history="1">
              <w:r>
                <w:rPr>
                  <w:rStyle w:val="Hyperlink"/>
                </w:rPr>
                <w:t>Go</w:t>
              </w:r>
            </w:hyperlink>
          </w:p>
        </w:tc>
        <w:tc>
          <w:tcPr>
            <w:tcW w:w="5669" w:type="dxa"/>
          </w:tcPr>
          <w:p w:rsidR="003E41F7" w:rsidRDefault="003E41F7">
            <w:pPr>
              <w:spacing w:line="240" w:lineRule="auto"/>
              <w:rPr>
                <w:sz w:val="24"/>
                <w:rtl/>
              </w:rPr>
            </w:pPr>
            <w:r>
              <w:rPr>
                <w:sz w:val="24"/>
                <w:rtl/>
              </w:rPr>
              <w:t>תפקיד המועצה</w:t>
            </w:r>
          </w:p>
        </w:tc>
        <w:tc>
          <w:tcPr>
            <w:tcW w:w="1247" w:type="dxa"/>
          </w:tcPr>
          <w:p w:rsidR="003E41F7" w:rsidRDefault="003E41F7">
            <w:pPr>
              <w:spacing w:line="240" w:lineRule="auto"/>
              <w:rPr>
                <w:sz w:val="24"/>
              </w:rPr>
            </w:pPr>
            <w:r>
              <w:rPr>
                <w:sz w:val="24"/>
                <w:rtl/>
              </w:rPr>
              <w:t xml:space="preserve">סעיף 9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2D64F0">
              <w:rPr>
                <w:noProof/>
                <w:sz w:val="24"/>
                <w:rtl/>
              </w:rPr>
              <w:t>3</w:t>
            </w:r>
            <w:r>
              <w:rPr>
                <w:sz w:val="24"/>
                <w:rtl/>
              </w:rPr>
              <w:fldChar w:fldCharType="end"/>
            </w:r>
          </w:p>
        </w:tc>
        <w:tc>
          <w:tcPr>
            <w:tcW w:w="567" w:type="dxa"/>
          </w:tcPr>
          <w:p w:rsidR="003E41F7" w:rsidRDefault="003E41F7">
            <w:pPr>
              <w:spacing w:line="240" w:lineRule="auto"/>
              <w:rPr>
                <w:sz w:val="24"/>
              </w:rPr>
            </w:pPr>
            <w:hyperlink w:anchor="Seif9" w:tooltip="אגרות" w:history="1">
              <w:r>
                <w:rPr>
                  <w:rStyle w:val="Hyperlink"/>
                </w:rPr>
                <w:t>Go</w:t>
              </w:r>
            </w:hyperlink>
          </w:p>
        </w:tc>
        <w:tc>
          <w:tcPr>
            <w:tcW w:w="5669" w:type="dxa"/>
          </w:tcPr>
          <w:p w:rsidR="003E41F7" w:rsidRDefault="003E41F7">
            <w:pPr>
              <w:spacing w:line="240" w:lineRule="auto"/>
              <w:rPr>
                <w:sz w:val="24"/>
                <w:rtl/>
              </w:rPr>
            </w:pPr>
            <w:r>
              <w:rPr>
                <w:sz w:val="24"/>
                <w:rtl/>
              </w:rPr>
              <w:t>אגרות</w:t>
            </w:r>
          </w:p>
        </w:tc>
        <w:tc>
          <w:tcPr>
            <w:tcW w:w="1247" w:type="dxa"/>
          </w:tcPr>
          <w:p w:rsidR="003E41F7" w:rsidRDefault="003E41F7">
            <w:pPr>
              <w:spacing w:line="240" w:lineRule="auto"/>
              <w:rPr>
                <w:sz w:val="24"/>
              </w:rPr>
            </w:pPr>
            <w:r>
              <w:rPr>
                <w:sz w:val="24"/>
                <w:rtl/>
              </w:rPr>
              <w:t xml:space="preserve">סעיף 10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2D64F0">
              <w:rPr>
                <w:noProof/>
                <w:sz w:val="24"/>
                <w:rtl/>
              </w:rPr>
              <w:t>3</w:t>
            </w:r>
            <w:r>
              <w:rPr>
                <w:sz w:val="24"/>
                <w:rtl/>
              </w:rPr>
              <w:fldChar w:fldCharType="end"/>
            </w:r>
          </w:p>
        </w:tc>
        <w:tc>
          <w:tcPr>
            <w:tcW w:w="567" w:type="dxa"/>
          </w:tcPr>
          <w:p w:rsidR="003E41F7" w:rsidRDefault="003E41F7">
            <w:pPr>
              <w:spacing w:line="240" w:lineRule="auto"/>
              <w:rPr>
                <w:sz w:val="24"/>
              </w:rPr>
            </w:pPr>
            <w:hyperlink w:anchor="Seif10" w:tooltip="עונשין" w:history="1">
              <w:r>
                <w:rPr>
                  <w:rStyle w:val="Hyperlink"/>
                </w:rPr>
                <w:t>Go</w:t>
              </w:r>
            </w:hyperlink>
          </w:p>
        </w:tc>
        <w:tc>
          <w:tcPr>
            <w:tcW w:w="5669" w:type="dxa"/>
          </w:tcPr>
          <w:p w:rsidR="003E41F7" w:rsidRDefault="003E41F7">
            <w:pPr>
              <w:spacing w:line="240" w:lineRule="auto"/>
              <w:rPr>
                <w:sz w:val="24"/>
                <w:rtl/>
              </w:rPr>
            </w:pPr>
            <w:r>
              <w:rPr>
                <w:sz w:val="24"/>
                <w:rtl/>
              </w:rPr>
              <w:t>עונשין</w:t>
            </w:r>
          </w:p>
        </w:tc>
        <w:tc>
          <w:tcPr>
            <w:tcW w:w="1247" w:type="dxa"/>
          </w:tcPr>
          <w:p w:rsidR="003E41F7" w:rsidRDefault="003E41F7">
            <w:pPr>
              <w:spacing w:line="240" w:lineRule="auto"/>
              <w:rPr>
                <w:sz w:val="24"/>
              </w:rPr>
            </w:pPr>
            <w:r>
              <w:rPr>
                <w:sz w:val="24"/>
                <w:rtl/>
              </w:rPr>
              <w:t xml:space="preserve">סעיף 11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2D64F0">
              <w:rPr>
                <w:noProof/>
                <w:sz w:val="24"/>
                <w:rtl/>
              </w:rPr>
              <w:t>3</w:t>
            </w:r>
            <w:r>
              <w:rPr>
                <w:sz w:val="24"/>
                <w:rtl/>
              </w:rPr>
              <w:fldChar w:fldCharType="end"/>
            </w:r>
          </w:p>
        </w:tc>
        <w:tc>
          <w:tcPr>
            <w:tcW w:w="567" w:type="dxa"/>
          </w:tcPr>
          <w:p w:rsidR="003E41F7" w:rsidRDefault="003E41F7">
            <w:pPr>
              <w:spacing w:line="240" w:lineRule="auto"/>
              <w:rPr>
                <w:sz w:val="24"/>
              </w:rPr>
            </w:pPr>
            <w:hyperlink w:anchor="Seif11" w:tooltip="מניעת רישוי כפול" w:history="1">
              <w:r>
                <w:rPr>
                  <w:rStyle w:val="Hyperlink"/>
                </w:rPr>
                <w:t>Go</w:t>
              </w:r>
            </w:hyperlink>
          </w:p>
        </w:tc>
        <w:tc>
          <w:tcPr>
            <w:tcW w:w="5669" w:type="dxa"/>
          </w:tcPr>
          <w:p w:rsidR="003E41F7" w:rsidRDefault="003E41F7">
            <w:pPr>
              <w:spacing w:line="240" w:lineRule="auto"/>
              <w:rPr>
                <w:sz w:val="24"/>
                <w:rtl/>
              </w:rPr>
            </w:pPr>
            <w:r>
              <w:rPr>
                <w:sz w:val="24"/>
                <w:rtl/>
              </w:rPr>
              <w:t>מניעת רישוי כפול</w:t>
            </w:r>
          </w:p>
        </w:tc>
        <w:tc>
          <w:tcPr>
            <w:tcW w:w="1247" w:type="dxa"/>
          </w:tcPr>
          <w:p w:rsidR="003E41F7" w:rsidRDefault="003E41F7">
            <w:pPr>
              <w:spacing w:line="240" w:lineRule="auto"/>
              <w:rPr>
                <w:sz w:val="24"/>
              </w:rPr>
            </w:pPr>
            <w:r>
              <w:rPr>
                <w:sz w:val="24"/>
                <w:rtl/>
              </w:rPr>
              <w:t xml:space="preserve">סעיף 12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2D64F0">
              <w:rPr>
                <w:noProof/>
                <w:sz w:val="24"/>
                <w:rtl/>
              </w:rPr>
              <w:t>3</w:t>
            </w:r>
            <w:r>
              <w:rPr>
                <w:sz w:val="24"/>
                <w:rtl/>
              </w:rPr>
              <w:fldChar w:fldCharType="end"/>
            </w:r>
          </w:p>
        </w:tc>
        <w:tc>
          <w:tcPr>
            <w:tcW w:w="567" w:type="dxa"/>
          </w:tcPr>
          <w:p w:rsidR="003E41F7" w:rsidRDefault="003E41F7">
            <w:pPr>
              <w:spacing w:line="240" w:lineRule="auto"/>
              <w:rPr>
                <w:sz w:val="24"/>
              </w:rPr>
            </w:pPr>
            <w:hyperlink w:anchor="Seif12" w:tooltip="תיקון חוק רישוי עסקים" w:history="1">
              <w:r>
                <w:rPr>
                  <w:rStyle w:val="Hyperlink"/>
                </w:rPr>
                <w:t>Go</w:t>
              </w:r>
            </w:hyperlink>
          </w:p>
        </w:tc>
        <w:tc>
          <w:tcPr>
            <w:tcW w:w="5669" w:type="dxa"/>
          </w:tcPr>
          <w:p w:rsidR="003E41F7" w:rsidRDefault="003E41F7">
            <w:pPr>
              <w:spacing w:line="240" w:lineRule="auto"/>
              <w:rPr>
                <w:sz w:val="24"/>
                <w:rtl/>
              </w:rPr>
            </w:pPr>
            <w:r>
              <w:rPr>
                <w:sz w:val="24"/>
                <w:rtl/>
              </w:rPr>
              <w:t>תיקון חוק רישוי עסקים</w:t>
            </w:r>
          </w:p>
        </w:tc>
        <w:tc>
          <w:tcPr>
            <w:tcW w:w="1247" w:type="dxa"/>
          </w:tcPr>
          <w:p w:rsidR="003E41F7" w:rsidRDefault="003E41F7">
            <w:pPr>
              <w:spacing w:line="240" w:lineRule="auto"/>
              <w:rPr>
                <w:sz w:val="24"/>
              </w:rPr>
            </w:pPr>
            <w:r>
              <w:rPr>
                <w:sz w:val="24"/>
                <w:rtl/>
              </w:rPr>
              <w:t xml:space="preserve">סעיף 13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2D64F0">
              <w:rPr>
                <w:noProof/>
                <w:sz w:val="24"/>
                <w:rtl/>
              </w:rPr>
              <w:t>3</w:t>
            </w:r>
            <w:r>
              <w:rPr>
                <w:sz w:val="24"/>
                <w:rtl/>
              </w:rPr>
              <w:fldChar w:fldCharType="end"/>
            </w:r>
          </w:p>
        </w:tc>
        <w:tc>
          <w:tcPr>
            <w:tcW w:w="567" w:type="dxa"/>
          </w:tcPr>
          <w:p w:rsidR="003E41F7" w:rsidRDefault="003E41F7">
            <w:pPr>
              <w:spacing w:line="240" w:lineRule="auto"/>
              <w:rPr>
                <w:sz w:val="24"/>
              </w:rPr>
            </w:pPr>
            <w:hyperlink w:anchor="Seif13" w:tooltip="עסק שעוסקים בו במלאכה טעונה רישוי" w:history="1">
              <w:r>
                <w:rPr>
                  <w:rStyle w:val="Hyperlink"/>
                </w:rPr>
                <w:t>Go</w:t>
              </w:r>
            </w:hyperlink>
          </w:p>
        </w:tc>
        <w:tc>
          <w:tcPr>
            <w:tcW w:w="5669" w:type="dxa"/>
          </w:tcPr>
          <w:p w:rsidR="003E41F7" w:rsidRDefault="003E41F7">
            <w:pPr>
              <w:spacing w:line="240" w:lineRule="auto"/>
              <w:rPr>
                <w:sz w:val="24"/>
                <w:rtl/>
              </w:rPr>
            </w:pPr>
            <w:r>
              <w:rPr>
                <w:sz w:val="24"/>
                <w:rtl/>
              </w:rPr>
              <w:t>עסק שעוסקים בו במלאכה טעונה רישוי</w:t>
            </w:r>
          </w:p>
        </w:tc>
        <w:tc>
          <w:tcPr>
            <w:tcW w:w="1247" w:type="dxa"/>
          </w:tcPr>
          <w:p w:rsidR="003E41F7" w:rsidRDefault="003E41F7">
            <w:pPr>
              <w:spacing w:line="240" w:lineRule="auto"/>
              <w:rPr>
                <w:sz w:val="24"/>
              </w:rPr>
            </w:pPr>
            <w:r>
              <w:rPr>
                <w:sz w:val="24"/>
                <w:rtl/>
              </w:rPr>
              <w:t xml:space="preserve">סעיף 8א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2D64F0">
              <w:rPr>
                <w:noProof/>
                <w:sz w:val="24"/>
                <w:rtl/>
              </w:rPr>
              <w:t>4</w:t>
            </w:r>
            <w:r>
              <w:rPr>
                <w:sz w:val="24"/>
                <w:rtl/>
              </w:rPr>
              <w:fldChar w:fldCharType="end"/>
            </w:r>
          </w:p>
        </w:tc>
        <w:tc>
          <w:tcPr>
            <w:tcW w:w="567" w:type="dxa"/>
          </w:tcPr>
          <w:p w:rsidR="003E41F7" w:rsidRDefault="003E41F7">
            <w:pPr>
              <w:spacing w:line="240" w:lineRule="auto"/>
              <w:rPr>
                <w:sz w:val="24"/>
              </w:rPr>
            </w:pPr>
            <w:hyperlink w:anchor="Seif14" w:tooltip="ביצוע ותקנות" w:history="1">
              <w:r>
                <w:rPr>
                  <w:rStyle w:val="Hyperlink"/>
                </w:rPr>
                <w:t>Go</w:t>
              </w:r>
            </w:hyperlink>
          </w:p>
        </w:tc>
        <w:tc>
          <w:tcPr>
            <w:tcW w:w="5669" w:type="dxa"/>
          </w:tcPr>
          <w:p w:rsidR="003E41F7" w:rsidRDefault="003E41F7">
            <w:pPr>
              <w:spacing w:line="240" w:lineRule="auto"/>
              <w:rPr>
                <w:sz w:val="24"/>
                <w:rtl/>
              </w:rPr>
            </w:pPr>
            <w:r>
              <w:rPr>
                <w:sz w:val="24"/>
                <w:rtl/>
              </w:rPr>
              <w:t>ביצוע ותקנות</w:t>
            </w:r>
          </w:p>
        </w:tc>
        <w:tc>
          <w:tcPr>
            <w:tcW w:w="1247" w:type="dxa"/>
          </w:tcPr>
          <w:p w:rsidR="003E41F7" w:rsidRDefault="003E41F7">
            <w:pPr>
              <w:spacing w:line="240" w:lineRule="auto"/>
              <w:rPr>
                <w:sz w:val="24"/>
              </w:rPr>
            </w:pPr>
            <w:r>
              <w:rPr>
                <w:sz w:val="24"/>
                <w:rtl/>
              </w:rPr>
              <w:t xml:space="preserve">סעיף 14 </w:t>
            </w:r>
          </w:p>
        </w:tc>
      </w:tr>
      <w:tr w:rsidR="003E41F7">
        <w:tblPrEx>
          <w:tblCellMar>
            <w:top w:w="0" w:type="dxa"/>
            <w:bottom w:w="0" w:type="dxa"/>
          </w:tblCellMar>
        </w:tblPrEx>
        <w:tc>
          <w:tcPr>
            <w:tcW w:w="850" w:type="dxa"/>
          </w:tcPr>
          <w:p w:rsidR="003E41F7" w:rsidRDefault="003E41F7">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2D64F0">
              <w:rPr>
                <w:noProof/>
                <w:sz w:val="24"/>
                <w:rtl/>
              </w:rPr>
              <w:t>4</w:t>
            </w:r>
            <w:r>
              <w:rPr>
                <w:sz w:val="24"/>
                <w:rtl/>
              </w:rPr>
              <w:fldChar w:fldCharType="end"/>
            </w:r>
          </w:p>
        </w:tc>
        <w:tc>
          <w:tcPr>
            <w:tcW w:w="567" w:type="dxa"/>
          </w:tcPr>
          <w:p w:rsidR="003E41F7" w:rsidRDefault="003E41F7">
            <w:pPr>
              <w:spacing w:line="240" w:lineRule="auto"/>
              <w:rPr>
                <w:sz w:val="24"/>
              </w:rPr>
            </w:pPr>
            <w:hyperlink w:anchor="Seif15" w:tooltip="תחילה" w:history="1">
              <w:r>
                <w:rPr>
                  <w:rStyle w:val="Hyperlink"/>
                </w:rPr>
                <w:t>Go</w:t>
              </w:r>
            </w:hyperlink>
          </w:p>
        </w:tc>
        <w:tc>
          <w:tcPr>
            <w:tcW w:w="5669" w:type="dxa"/>
          </w:tcPr>
          <w:p w:rsidR="003E41F7" w:rsidRDefault="003E41F7">
            <w:pPr>
              <w:spacing w:line="240" w:lineRule="auto"/>
              <w:rPr>
                <w:sz w:val="24"/>
                <w:rtl/>
              </w:rPr>
            </w:pPr>
            <w:r>
              <w:rPr>
                <w:sz w:val="24"/>
                <w:rtl/>
              </w:rPr>
              <w:t>תחילה</w:t>
            </w:r>
          </w:p>
        </w:tc>
        <w:tc>
          <w:tcPr>
            <w:tcW w:w="1247" w:type="dxa"/>
          </w:tcPr>
          <w:p w:rsidR="003E41F7" w:rsidRDefault="003E41F7">
            <w:pPr>
              <w:spacing w:line="240" w:lineRule="auto"/>
              <w:rPr>
                <w:sz w:val="24"/>
              </w:rPr>
            </w:pPr>
            <w:r>
              <w:rPr>
                <w:sz w:val="24"/>
                <w:rtl/>
              </w:rPr>
              <w:t xml:space="preserve">סעיף 15 </w:t>
            </w:r>
          </w:p>
        </w:tc>
      </w:tr>
    </w:tbl>
    <w:p w:rsidR="003E41F7" w:rsidRDefault="003E41F7">
      <w:pPr>
        <w:pStyle w:val="big-header"/>
        <w:ind w:left="0" w:right="1134"/>
        <w:rPr>
          <w:rFonts w:cs="FrankRuehl"/>
          <w:sz w:val="32"/>
          <w:rtl/>
        </w:rPr>
      </w:pPr>
    </w:p>
    <w:p w:rsidR="003E41F7" w:rsidRDefault="003E41F7" w:rsidP="00F46909">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רישוי בעלי מלאכה, תשל"ז</w:t>
      </w:r>
      <w:r w:rsidR="002D64F0">
        <w:rPr>
          <w:rFonts w:cs="FrankRuehl" w:hint="cs"/>
          <w:sz w:val="32"/>
          <w:rtl/>
        </w:rPr>
        <w:t>-</w:t>
      </w:r>
      <w:r>
        <w:rPr>
          <w:rFonts w:cs="FrankRuehl"/>
          <w:sz w:val="32"/>
          <w:rtl/>
        </w:rPr>
        <w:t>1977</w:t>
      </w:r>
      <w:r w:rsidR="002D64F0">
        <w:rPr>
          <w:rStyle w:val="a6"/>
          <w:rFonts w:cs="FrankRuehl"/>
          <w:sz w:val="32"/>
          <w:rtl/>
        </w:rPr>
        <w:footnoteReference w:customMarkFollows="1" w:id="1"/>
        <w:t>*</w:t>
      </w:r>
    </w:p>
    <w:p w:rsidR="003E41F7" w:rsidRDefault="003E41F7" w:rsidP="002D64F0">
      <w:pPr>
        <w:pStyle w:val="P00"/>
        <w:spacing w:before="72"/>
        <w:ind w:left="0" w:right="1134"/>
        <w:rPr>
          <w:rStyle w:val="default"/>
          <w:rFonts w:cs="FrankRuehl"/>
          <w:rtl/>
        </w:rPr>
      </w:pPr>
      <w:bookmarkStart w:id="0" w:name="Seif0"/>
      <w:bookmarkEnd w:id="0"/>
      <w:r>
        <w:rPr>
          <w:lang w:val="he-IL"/>
        </w:rPr>
        <w:pict>
          <v:rect id="_x0000_s2050" style="position:absolute;left:0;text-align:left;margin-left:464.5pt;margin-top:8.05pt;width:75.05pt;height:24pt;z-index:251650048" o:allowincell="f" filled="f" stroked="f" strokecolor="lime" strokeweight=".25pt">
            <v:textbox inset="0,0,0,0">
              <w:txbxContent>
                <w:p w:rsidR="003E41F7" w:rsidRDefault="003E41F7" w:rsidP="002D64F0">
                  <w:pPr>
                    <w:spacing w:line="160" w:lineRule="exact"/>
                    <w:jc w:val="left"/>
                    <w:rPr>
                      <w:rFonts w:cs="Miriam"/>
                      <w:noProof/>
                      <w:sz w:val="18"/>
                      <w:szCs w:val="18"/>
                      <w:rtl/>
                    </w:rPr>
                  </w:pPr>
                  <w:r>
                    <w:rPr>
                      <w:rFonts w:cs="Miriam"/>
                      <w:sz w:val="18"/>
                      <w:szCs w:val="18"/>
                      <w:rtl/>
                    </w:rPr>
                    <w:t>מל</w:t>
                  </w:r>
                  <w:r>
                    <w:rPr>
                      <w:rFonts w:cs="Miriam" w:hint="cs"/>
                      <w:sz w:val="18"/>
                      <w:szCs w:val="18"/>
                      <w:rtl/>
                    </w:rPr>
                    <w:t>אכות טעונות</w:t>
                  </w:r>
                  <w:r w:rsidR="002D64F0">
                    <w:rPr>
                      <w:rFonts w:cs="Miriam" w:hint="cs"/>
                      <w:sz w:val="18"/>
                      <w:szCs w:val="18"/>
                      <w:rtl/>
                    </w:rPr>
                    <w:t xml:space="preserve"> </w:t>
                  </w:r>
                  <w:r>
                    <w:rPr>
                      <w:rFonts w:cs="Miriam"/>
                      <w:sz w:val="18"/>
                      <w:szCs w:val="18"/>
                      <w:rtl/>
                    </w:rPr>
                    <w:t>רי</w:t>
                  </w:r>
                  <w:r>
                    <w:rPr>
                      <w:rFonts w:cs="Miriam" w:hint="cs"/>
                      <w:sz w:val="18"/>
                      <w:szCs w:val="18"/>
                      <w:rtl/>
                    </w:rPr>
                    <w:t>שוי</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המסחר והתעשיה</w:t>
      </w:r>
      <w:r w:rsidR="006566B0">
        <w:rPr>
          <w:rStyle w:val="a6"/>
          <w:rFonts w:cs="FrankRuehl"/>
          <w:sz w:val="26"/>
          <w:rtl/>
        </w:rPr>
        <w:footnoteReference w:id="2"/>
      </w:r>
      <w:r>
        <w:rPr>
          <w:rStyle w:val="default"/>
          <w:rFonts w:cs="FrankRuehl" w:hint="cs"/>
          <w:rtl/>
        </w:rPr>
        <w:t xml:space="preserve"> (להלן </w:t>
      </w:r>
      <w:r w:rsidR="002D64F0">
        <w:rPr>
          <w:rStyle w:val="default"/>
          <w:rFonts w:cs="FrankRuehl" w:hint="cs"/>
          <w:rtl/>
        </w:rPr>
        <w:t>-</w:t>
      </w:r>
      <w:r>
        <w:rPr>
          <w:rStyle w:val="default"/>
          <w:rFonts w:cs="FrankRuehl"/>
          <w:rtl/>
        </w:rPr>
        <w:t xml:space="preserve"> </w:t>
      </w:r>
      <w:r>
        <w:rPr>
          <w:rStyle w:val="default"/>
          <w:rFonts w:cs="FrankRuehl" w:hint="cs"/>
          <w:rtl/>
        </w:rPr>
        <w:t>השר), באישור ועדת העבודה של הכנסת, רשאי לקבוע בצווים מלאכות טעונות רישוי, כל אימת שלדעתו דרוש הדבר מטעמים של בריאות הציבור או בטיחות הציבור או הגנה על הצרכן.</w:t>
      </w:r>
    </w:p>
    <w:p w:rsidR="003E41F7" w:rsidRDefault="003E41F7" w:rsidP="002D64F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צו לפי סעיף קטן (א) (להלן </w:t>
      </w:r>
      <w:r w:rsidR="002D64F0">
        <w:rPr>
          <w:rStyle w:val="default"/>
          <w:rFonts w:cs="FrankRuehl" w:hint="cs"/>
          <w:rtl/>
        </w:rPr>
        <w:t>-</w:t>
      </w:r>
      <w:r>
        <w:rPr>
          <w:rStyle w:val="default"/>
          <w:rFonts w:cs="FrankRuehl"/>
          <w:rtl/>
        </w:rPr>
        <w:t xml:space="preserve"> </w:t>
      </w:r>
      <w:r>
        <w:rPr>
          <w:rStyle w:val="default"/>
          <w:rFonts w:cs="FrankRuehl" w:hint="cs"/>
          <w:rtl/>
        </w:rPr>
        <w:t xml:space="preserve">צו הרישוי) </w:t>
      </w:r>
      <w:r w:rsidR="002D64F0">
        <w:rPr>
          <w:rStyle w:val="default"/>
          <w:rFonts w:cs="FrankRuehl"/>
          <w:rtl/>
        </w:rPr>
        <w:t>–</w:t>
      </w:r>
    </w:p>
    <w:p w:rsidR="003E41F7" w:rsidRDefault="003E41F7">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גדיר השר את מהותה והיקפה של המלאכה טעונת הרישוי;</w:t>
      </w:r>
    </w:p>
    <w:p w:rsidR="003E41F7" w:rsidRDefault="003E41F7">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קבע השר את תקופת תקפו של רשיון לעסוק במלאכה טעונת ה</w:t>
      </w:r>
      <w:r>
        <w:rPr>
          <w:rStyle w:val="default"/>
          <w:rFonts w:cs="FrankRuehl"/>
          <w:rtl/>
        </w:rPr>
        <w:t>ר</w:t>
      </w:r>
      <w:r>
        <w:rPr>
          <w:rStyle w:val="default"/>
          <w:rFonts w:cs="FrankRuehl" w:hint="cs"/>
          <w:rtl/>
        </w:rPr>
        <w:t>ישוי;</w:t>
      </w:r>
    </w:p>
    <w:p w:rsidR="003E41F7" w:rsidRDefault="003E41F7">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שאי השר לקבוע תנאים שניתן להתנותם ברשיון לעיסוק במלאכה טעונת הרישוי וכן תנאים לחידוש הר</w:t>
      </w:r>
      <w:r>
        <w:rPr>
          <w:rStyle w:val="default"/>
          <w:rFonts w:cs="FrankRuehl"/>
          <w:rtl/>
        </w:rPr>
        <w:t>שי</w:t>
      </w:r>
      <w:r>
        <w:rPr>
          <w:rStyle w:val="default"/>
          <w:rFonts w:cs="FrankRuehl" w:hint="cs"/>
          <w:rtl/>
        </w:rPr>
        <w:t>ון.</w:t>
      </w:r>
    </w:p>
    <w:p w:rsidR="003E41F7" w:rsidRDefault="003E41F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לא יתן צו רישוי לגבי מלאכה שהיא טעונה רישוי לפי חיקוק אחר, אלא אם הרישוי לפי אותו חיקוק לא בא לשם הטעם שלדעת השר מחייב רישוי לפי חוק זה.</w:t>
      </w:r>
    </w:p>
    <w:p w:rsidR="003E41F7" w:rsidRDefault="003E41F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תן צו רישוי טעון התייעצות עם אלה:</w:t>
      </w:r>
    </w:p>
    <w:p w:rsidR="003E41F7" w:rsidRDefault="003E41F7" w:rsidP="002D64F0">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ר העבודה</w:t>
      </w:r>
      <w:r w:rsidR="00942C99">
        <w:rPr>
          <w:rStyle w:val="a6"/>
          <w:rFonts w:cs="FrankRuehl"/>
          <w:sz w:val="26"/>
          <w:rtl/>
        </w:rPr>
        <w:footnoteReference w:id="3"/>
      </w:r>
      <w:r>
        <w:rPr>
          <w:rStyle w:val="default"/>
          <w:rFonts w:cs="FrankRuehl" w:hint="cs"/>
          <w:rtl/>
        </w:rPr>
        <w:t xml:space="preserve">, ואם נעשה הרישוי מטעמים של בריאות הציבור </w:t>
      </w:r>
      <w:r w:rsidR="002D64F0">
        <w:rPr>
          <w:rStyle w:val="default"/>
          <w:rFonts w:cs="FrankRuehl" w:hint="cs"/>
          <w:rtl/>
        </w:rPr>
        <w:t>-</w:t>
      </w:r>
      <w:r>
        <w:rPr>
          <w:rStyle w:val="default"/>
          <w:rFonts w:cs="FrankRuehl"/>
          <w:rtl/>
        </w:rPr>
        <w:t xml:space="preserve"> </w:t>
      </w:r>
      <w:r>
        <w:rPr>
          <w:rStyle w:val="default"/>
          <w:rFonts w:cs="FrankRuehl" w:hint="cs"/>
          <w:rtl/>
        </w:rPr>
        <w:t>גם עם ש</w:t>
      </w:r>
      <w:r>
        <w:rPr>
          <w:rStyle w:val="default"/>
          <w:rFonts w:cs="FrankRuehl"/>
          <w:rtl/>
        </w:rPr>
        <w:t xml:space="preserve">ר </w:t>
      </w:r>
      <w:r>
        <w:rPr>
          <w:rStyle w:val="default"/>
          <w:rFonts w:cs="FrankRuehl" w:hint="cs"/>
          <w:rtl/>
        </w:rPr>
        <w:t>הבריאות;</w:t>
      </w:r>
    </w:p>
    <w:p w:rsidR="003E41F7" w:rsidRDefault="003E41F7" w:rsidP="002D64F0">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ארגון הארצי של בעלי מלאכה שהוא לדעת השר הארגון היציג של רוב ארגוני בעלי המלאכה (להלן </w:t>
      </w:r>
      <w:r w:rsidR="002D64F0">
        <w:rPr>
          <w:rStyle w:val="default"/>
          <w:rFonts w:cs="FrankRuehl" w:hint="cs"/>
          <w:rtl/>
        </w:rPr>
        <w:t>-</w:t>
      </w:r>
      <w:r>
        <w:rPr>
          <w:rStyle w:val="default"/>
          <w:rFonts w:cs="FrankRuehl"/>
          <w:rtl/>
        </w:rPr>
        <w:t xml:space="preserve"> </w:t>
      </w:r>
      <w:r>
        <w:rPr>
          <w:rStyle w:val="default"/>
          <w:rFonts w:cs="FrankRuehl" w:hint="cs"/>
          <w:rtl/>
        </w:rPr>
        <w:t>הארגון היציג).</w:t>
      </w:r>
    </w:p>
    <w:p w:rsidR="003E41F7" w:rsidRDefault="003E41F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תן צו רישוי לגבי מקצוע פארא-רפואי</w:t>
      </w:r>
      <w:r>
        <w:rPr>
          <w:rStyle w:val="default"/>
          <w:rFonts w:cs="FrankRuehl"/>
          <w:rtl/>
        </w:rPr>
        <w:t xml:space="preserve"> </w:t>
      </w:r>
      <w:r>
        <w:rPr>
          <w:rStyle w:val="default"/>
          <w:rFonts w:cs="FrankRuehl" w:hint="cs"/>
          <w:rtl/>
        </w:rPr>
        <w:t>ומקצועי עזר לרפואה ולסיעוד, טעון גם הסכמת שר הבריאות.</w:t>
      </w:r>
    </w:p>
    <w:p w:rsidR="003E41F7" w:rsidRDefault="003E41F7">
      <w:pPr>
        <w:pStyle w:val="P00"/>
        <w:spacing w:before="72"/>
        <w:ind w:left="0" w:right="1134"/>
        <w:rPr>
          <w:rStyle w:val="default"/>
          <w:rFonts w:cs="FrankRuehl"/>
          <w:rtl/>
        </w:rPr>
      </w:pPr>
      <w:bookmarkStart w:id="1" w:name="Seif1"/>
      <w:bookmarkEnd w:id="1"/>
      <w:r>
        <w:rPr>
          <w:lang w:val="he-IL"/>
        </w:rPr>
        <w:pict>
          <v:rect id="_x0000_s2051" style="position:absolute;left:0;text-align:left;margin-left:464.5pt;margin-top:8.05pt;width:75.05pt;height:24pt;z-index:251651072" o:allowincell="f" filled="f" stroked="f" strokecolor="lime" strokeweight=".25pt">
            <v:textbox inset="0,0,0,0">
              <w:txbxContent>
                <w:p w:rsidR="003E41F7" w:rsidRDefault="003E41F7" w:rsidP="002D64F0">
                  <w:pPr>
                    <w:spacing w:line="160" w:lineRule="exact"/>
                    <w:jc w:val="left"/>
                    <w:rPr>
                      <w:rFonts w:cs="Miriam"/>
                      <w:noProof/>
                      <w:sz w:val="18"/>
                      <w:szCs w:val="18"/>
                      <w:rtl/>
                    </w:rPr>
                  </w:pPr>
                  <w:r>
                    <w:rPr>
                      <w:rFonts w:cs="Miriam"/>
                      <w:sz w:val="18"/>
                      <w:szCs w:val="18"/>
                      <w:rtl/>
                    </w:rPr>
                    <w:t>הג</w:t>
                  </w:r>
                  <w:r>
                    <w:rPr>
                      <w:rFonts w:cs="Miriam" w:hint="cs"/>
                      <w:sz w:val="18"/>
                      <w:szCs w:val="18"/>
                      <w:rtl/>
                    </w:rPr>
                    <w:t>בלת העיסוק</w:t>
                  </w:r>
                  <w:r w:rsidR="002D64F0">
                    <w:rPr>
                      <w:rFonts w:cs="Miriam" w:hint="cs"/>
                      <w:sz w:val="18"/>
                      <w:szCs w:val="18"/>
                      <w:rtl/>
                    </w:rPr>
                    <w:t xml:space="preserve"> </w:t>
                  </w:r>
                  <w:r>
                    <w:rPr>
                      <w:rFonts w:cs="Miriam"/>
                      <w:sz w:val="18"/>
                      <w:szCs w:val="18"/>
                      <w:rtl/>
                    </w:rPr>
                    <w:t>במ</w:t>
                  </w:r>
                  <w:r>
                    <w:rPr>
                      <w:rFonts w:cs="Miriam" w:hint="cs"/>
                      <w:sz w:val="18"/>
                      <w:szCs w:val="18"/>
                      <w:rtl/>
                    </w:rPr>
                    <w:t>לאכה טעונה</w:t>
                  </w:r>
                  <w:r w:rsidR="002D64F0">
                    <w:rPr>
                      <w:rFonts w:cs="Miriam" w:hint="cs"/>
                      <w:sz w:val="18"/>
                      <w:szCs w:val="18"/>
                      <w:rtl/>
                    </w:rPr>
                    <w:t xml:space="preserve"> </w:t>
                  </w:r>
                  <w:r>
                    <w:rPr>
                      <w:rFonts w:cs="Miriam"/>
                      <w:sz w:val="18"/>
                      <w:szCs w:val="18"/>
                      <w:rtl/>
                    </w:rPr>
                    <w:t>רי</w:t>
                  </w:r>
                  <w:r>
                    <w:rPr>
                      <w:rFonts w:cs="Miriam" w:hint="cs"/>
                      <w:sz w:val="18"/>
                      <w:szCs w:val="18"/>
                      <w:rtl/>
                    </w:rPr>
                    <w:t>שוי</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יעסוק אדם במלאכה טעונה רישוי כבעל מלא</w:t>
      </w:r>
      <w:r>
        <w:rPr>
          <w:rStyle w:val="default"/>
          <w:rFonts w:cs="FrankRuehl"/>
          <w:rtl/>
        </w:rPr>
        <w:t>כה</w:t>
      </w:r>
      <w:r>
        <w:rPr>
          <w:rStyle w:val="default"/>
          <w:rFonts w:cs="FrankRuehl" w:hint="cs"/>
          <w:rtl/>
        </w:rPr>
        <w:t xml:space="preserve"> עצמאי, אלא אם יש בידו רשיון בר-תוקף שניתן לו לפי חוק זה מאת השר או מאת מי שהוא הסמיך לכך, ובהתאם לתנאי הרשיון.</w:t>
      </w:r>
    </w:p>
    <w:p w:rsidR="003E41F7" w:rsidRDefault="003E41F7">
      <w:pPr>
        <w:pStyle w:val="P00"/>
        <w:spacing w:before="72"/>
        <w:ind w:left="0" w:right="1134"/>
        <w:rPr>
          <w:rStyle w:val="default"/>
          <w:rFonts w:cs="FrankRuehl"/>
          <w:rtl/>
        </w:rPr>
      </w:pPr>
      <w:bookmarkStart w:id="2" w:name="Seif2"/>
      <w:bookmarkEnd w:id="2"/>
      <w:r>
        <w:rPr>
          <w:lang w:val="he-IL"/>
        </w:rPr>
        <w:pict>
          <v:rect id="_x0000_s2052" style="position:absolute;left:0;text-align:left;margin-left:464.5pt;margin-top:8.05pt;width:75.05pt;height:10.55pt;z-index:251652096" o:allowincell="f" filled="f" stroked="f" strokecolor="lime" strokeweight=".25pt">
            <v:textbox inset="0,0,0,0">
              <w:txbxContent>
                <w:p w:rsidR="003E41F7" w:rsidRDefault="003E41F7">
                  <w:pPr>
                    <w:spacing w:line="160" w:lineRule="exact"/>
                    <w:jc w:val="left"/>
                    <w:rPr>
                      <w:rFonts w:cs="Miriam"/>
                      <w:noProof/>
                      <w:sz w:val="18"/>
                      <w:szCs w:val="18"/>
                      <w:rtl/>
                    </w:rPr>
                  </w:pPr>
                  <w:r>
                    <w:rPr>
                      <w:rFonts w:cs="Miriam"/>
                      <w:sz w:val="18"/>
                      <w:szCs w:val="18"/>
                      <w:rtl/>
                    </w:rPr>
                    <w:t>תא</w:t>
                  </w:r>
                  <w:r>
                    <w:rPr>
                      <w:rFonts w:cs="Miriam" w:hint="cs"/>
                      <w:sz w:val="18"/>
                      <w:szCs w:val="18"/>
                      <w:rtl/>
                    </w:rPr>
                    <w:t>גידים</w:t>
                  </w:r>
                </w:p>
              </w:txbxContent>
            </v:textbox>
            <w10:anchorlock/>
          </v:rect>
        </w:pict>
      </w:r>
      <w:r>
        <w:rPr>
          <w:rStyle w:val="big-number"/>
          <w:rFonts w:cs="Miriam"/>
          <w:rtl/>
        </w:rPr>
        <w:t>3.</w:t>
      </w:r>
      <w:r>
        <w:rPr>
          <w:rStyle w:val="big-number"/>
          <w:rFonts w:cs="Miriam"/>
          <w:rtl/>
        </w:rPr>
        <w:tab/>
      </w:r>
      <w:r>
        <w:rPr>
          <w:rStyle w:val="default"/>
          <w:rFonts w:cs="FrankRuehl"/>
          <w:rtl/>
        </w:rPr>
        <w:t>תא</w:t>
      </w:r>
      <w:r>
        <w:rPr>
          <w:rStyle w:val="default"/>
          <w:rFonts w:cs="FrankRuehl" w:hint="cs"/>
          <w:rtl/>
        </w:rPr>
        <w:t>גיד יהא רשאי לעסוק במלאכה טעונה רישוי אם לפחות לאחד המנהלים הפעילים או השותפים הפעילים או לעובד אחראי אחר יש רשיון בר-תוקף לפי חוק זה.</w:t>
      </w:r>
    </w:p>
    <w:p w:rsidR="003E41F7" w:rsidRDefault="003E41F7">
      <w:pPr>
        <w:pStyle w:val="P00"/>
        <w:spacing w:before="72"/>
        <w:ind w:left="0" w:right="1134"/>
        <w:rPr>
          <w:rStyle w:val="default"/>
          <w:rFonts w:cs="FrankRuehl"/>
          <w:rtl/>
        </w:rPr>
      </w:pPr>
      <w:bookmarkStart w:id="3" w:name="Seif3"/>
      <w:bookmarkEnd w:id="3"/>
      <w:r>
        <w:rPr>
          <w:lang w:val="he-IL"/>
        </w:rPr>
        <w:pict>
          <v:rect id="_x0000_s2053" style="position:absolute;left:0;text-align:left;margin-left:464.5pt;margin-top:8.05pt;width:75.05pt;height:22.45pt;z-index:251653120" o:allowincell="f" filled="f" stroked="f" strokecolor="lime" strokeweight=".25pt">
            <v:textbox inset="0,0,0,0">
              <w:txbxContent>
                <w:p w:rsidR="003E41F7" w:rsidRDefault="003E41F7" w:rsidP="002D64F0">
                  <w:pPr>
                    <w:spacing w:line="160" w:lineRule="exact"/>
                    <w:jc w:val="left"/>
                    <w:rPr>
                      <w:rFonts w:cs="Miriam"/>
                      <w:noProof/>
                      <w:sz w:val="18"/>
                      <w:szCs w:val="18"/>
                      <w:rtl/>
                    </w:rPr>
                  </w:pPr>
                  <w:r>
                    <w:rPr>
                      <w:rFonts w:cs="Miriam"/>
                      <w:sz w:val="18"/>
                      <w:szCs w:val="18"/>
                      <w:rtl/>
                    </w:rPr>
                    <w:t>בן</w:t>
                  </w:r>
                  <w:r>
                    <w:rPr>
                      <w:rFonts w:cs="Miriam" w:hint="cs"/>
                      <w:sz w:val="18"/>
                      <w:szCs w:val="18"/>
                      <w:rtl/>
                    </w:rPr>
                    <w:t xml:space="preserve"> משפחה של</w:t>
                  </w:r>
                  <w:r w:rsidR="002D64F0">
                    <w:rPr>
                      <w:rFonts w:cs="Miriam" w:hint="cs"/>
                      <w:sz w:val="18"/>
                      <w:szCs w:val="18"/>
                      <w:rtl/>
                    </w:rPr>
                    <w:t xml:space="preserve"> </w:t>
                  </w:r>
                  <w:r>
                    <w:rPr>
                      <w:rFonts w:cs="Miriam"/>
                      <w:sz w:val="18"/>
                      <w:szCs w:val="18"/>
                      <w:rtl/>
                    </w:rPr>
                    <w:t>בע</w:t>
                  </w:r>
                  <w:r>
                    <w:rPr>
                      <w:rFonts w:cs="Miriam" w:hint="cs"/>
                      <w:sz w:val="18"/>
                      <w:szCs w:val="18"/>
                      <w:rtl/>
                    </w:rPr>
                    <w:t>ל מלאכה</w:t>
                  </w:r>
                </w:p>
              </w:txbxContent>
            </v:textbox>
            <w10:anchorlock/>
          </v:rect>
        </w:pict>
      </w:r>
      <w:r>
        <w:rPr>
          <w:rStyle w:val="big-number"/>
          <w:rFonts w:cs="Miriam"/>
          <w:rtl/>
        </w:rPr>
        <w:t>4.</w:t>
      </w:r>
      <w:r>
        <w:rPr>
          <w:rStyle w:val="big-number"/>
          <w:rFonts w:cs="Miriam"/>
          <w:rtl/>
        </w:rPr>
        <w:tab/>
      </w:r>
      <w:r>
        <w:rPr>
          <w:rStyle w:val="default"/>
          <w:rFonts w:cs="FrankRuehl"/>
          <w:rtl/>
        </w:rPr>
        <w:t>בן</w:t>
      </w:r>
      <w:r>
        <w:rPr>
          <w:rStyle w:val="default"/>
          <w:rFonts w:cs="FrankRuehl" w:hint="cs"/>
          <w:rtl/>
        </w:rPr>
        <w:t xml:space="preserve"> זוגו או בנו של בעל מלאכה שהיה מורשה לעסוק במלאכה טעונה רישוי ונפטר, רשאי לעסוק באותה מלאכה אם לפחות לאחד העובדים האחראים שהוא מעסיק יש רשיון בר-תוקף לפי חוק זה.</w:t>
      </w:r>
    </w:p>
    <w:p w:rsidR="003E41F7" w:rsidRDefault="003E41F7">
      <w:pPr>
        <w:pStyle w:val="P00"/>
        <w:spacing w:before="72"/>
        <w:ind w:left="0" w:right="1134"/>
        <w:rPr>
          <w:rStyle w:val="default"/>
          <w:rFonts w:cs="FrankRuehl"/>
          <w:rtl/>
        </w:rPr>
      </w:pPr>
      <w:bookmarkStart w:id="4" w:name="Seif4"/>
      <w:bookmarkEnd w:id="4"/>
      <w:r>
        <w:rPr>
          <w:lang w:val="he-IL"/>
        </w:rPr>
        <w:pict>
          <v:rect id="_x0000_s2054" style="position:absolute;left:0;text-align:left;margin-left:464.5pt;margin-top:8.05pt;width:75.05pt;height:15.7pt;z-index:251654144" o:allowincell="f" filled="f" stroked="f" strokecolor="lime" strokeweight=".25pt">
            <v:textbox inset="0,0,0,0">
              <w:txbxContent>
                <w:p w:rsidR="003E41F7" w:rsidRDefault="003E41F7">
                  <w:pPr>
                    <w:spacing w:line="160" w:lineRule="exact"/>
                    <w:jc w:val="left"/>
                    <w:rPr>
                      <w:rFonts w:cs="Miriam"/>
                      <w:noProof/>
                      <w:sz w:val="18"/>
                      <w:szCs w:val="18"/>
                      <w:rtl/>
                    </w:rPr>
                  </w:pPr>
                  <w:r>
                    <w:rPr>
                      <w:rFonts w:cs="Miriam"/>
                      <w:sz w:val="18"/>
                      <w:szCs w:val="18"/>
                      <w:rtl/>
                    </w:rPr>
                    <w:t>זכ</w:t>
                  </w:r>
                  <w:r>
                    <w:rPr>
                      <w:rFonts w:cs="Miriam" w:hint="cs"/>
                      <w:sz w:val="18"/>
                      <w:szCs w:val="18"/>
                      <w:rtl/>
                    </w:rPr>
                    <w:t>אות לרשיון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שנתקיים בו אחד מאלה זכאי, על פי בקשתו, לקבל רשיון לעסוק במלאכה טעונה רישוי:</w:t>
      </w:r>
    </w:p>
    <w:p w:rsidR="003E41F7" w:rsidRPr="002D64F0" w:rsidRDefault="003E41F7" w:rsidP="002D64F0">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בעל תעודת מקצוע במלאכה שלגביה מבוקש הרשיון, לפי הפרק השלישי לחוק שיר</w:t>
      </w:r>
      <w:r>
        <w:rPr>
          <w:rStyle w:val="default"/>
          <w:rFonts w:cs="FrankRuehl"/>
          <w:rtl/>
        </w:rPr>
        <w:t>ו</w:t>
      </w:r>
      <w:r>
        <w:rPr>
          <w:rStyle w:val="default"/>
          <w:rFonts w:cs="FrankRuehl" w:hint="cs"/>
          <w:rtl/>
        </w:rPr>
        <w:t>ת התעסוקה, תשי"ט</w:t>
      </w:r>
      <w:r w:rsidR="002D64F0">
        <w:rPr>
          <w:rStyle w:val="default"/>
          <w:rFonts w:cs="FrankRuehl" w:hint="cs"/>
          <w:rtl/>
        </w:rPr>
        <w:t>-</w:t>
      </w:r>
      <w:r>
        <w:rPr>
          <w:rStyle w:val="default"/>
          <w:rFonts w:cs="FrankRuehl"/>
          <w:rtl/>
        </w:rPr>
        <w:t xml:space="preserve">1959, </w:t>
      </w:r>
      <w:r>
        <w:rPr>
          <w:rStyle w:val="default"/>
          <w:rFonts w:cs="FrankRuehl" w:hint="cs"/>
          <w:rtl/>
        </w:rPr>
        <w:t>ברמה מקצועית שקבע שר העבודה</w:t>
      </w:r>
      <w:r w:rsidR="00942C99" w:rsidRPr="00942C99">
        <w:rPr>
          <w:rStyle w:val="default"/>
          <w:rFonts w:cs="FrankRuehl" w:hint="cs"/>
          <w:vertAlign w:val="superscript"/>
          <w:rtl/>
        </w:rPr>
        <w:t>1</w:t>
      </w:r>
      <w:r>
        <w:rPr>
          <w:rStyle w:val="default"/>
          <w:rFonts w:cs="FrankRuehl" w:hint="cs"/>
          <w:rtl/>
        </w:rPr>
        <w:t xml:space="preserve"> בתקנות, או שהוא בעל</w:t>
      </w:r>
      <w:r w:rsidR="002D64F0">
        <w:rPr>
          <w:rStyle w:val="default"/>
          <w:rFonts w:cs="FrankRuehl" w:hint="cs"/>
          <w:rtl/>
        </w:rPr>
        <w:t xml:space="preserve"> </w:t>
      </w:r>
      <w:r w:rsidRPr="002D64F0">
        <w:rPr>
          <w:rStyle w:val="default"/>
          <w:rFonts w:cs="FrankRuehl"/>
          <w:rtl/>
        </w:rPr>
        <w:t>ת</w:t>
      </w:r>
      <w:r w:rsidRPr="002D64F0">
        <w:rPr>
          <w:rStyle w:val="default"/>
          <w:rFonts w:cs="FrankRuehl" w:hint="cs"/>
          <w:rtl/>
        </w:rPr>
        <w:t>עודה אחרת מטעם שר העבודה שניתנה לענין זה, המעידה על כשירותו המקצועית במלאכה כאמור;</w:t>
      </w:r>
    </w:p>
    <w:p w:rsidR="003E41F7" w:rsidRDefault="003E41F7">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וא בעל תעודת הסמכה כטכנאי או כהנדסאי מטעם רשות ההסמכה לטכנאים ולהנדסאים המשותפת למשרד העבודה ולמשרד החינוך והתרבות ותחום הכשרתו קשור למלאכה שלגביה מבוקש הרישוי;</w:t>
      </w:r>
    </w:p>
    <w:p w:rsidR="003E41F7" w:rsidRDefault="003E41F7" w:rsidP="002D64F0">
      <w:pPr>
        <w:pStyle w:val="P22"/>
        <w:spacing w:before="72"/>
        <w:ind w:left="1021" w:right="1134"/>
        <w:rPr>
          <w:rStyle w:val="default"/>
          <w:rFonts w:cs="FrankRuehl"/>
          <w:rtl/>
        </w:rPr>
      </w:pPr>
      <w:r>
        <w:rPr>
          <w:rStyle w:val="default"/>
          <w:rFonts w:cs="FrankRuehl" w:hint="cs"/>
          <w:rtl/>
        </w:rPr>
        <w:t>(3)</w:t>
      </w:r>
      <w:r>
        <w:rPr>
          <w:rStyle w:val="default"/>
          <w:rFonts w:cs="FrankRuehl"/>
          <w:rtl/>
        </w:rPr>
        <w:tab/>
        <w:t>הוא</w:t>
      </w:r>
      <w:r>
        <w:rPr>
          <w:rStyle w:val="default"/>
          <w:rFonts w:cs="FrankRuehl" w:hint="cs"/>
          <w:rtl/>
        </w:rPr>
        <w:t xml:space="preserve"> מהנדס הרשום בפנקס המהנדסים והאדריכלים כמשמעותו בחוק המהנדסים והאדריכלים</w:t>
      </w:r>
      <w:r>
        <w:rPr>
          <w:rStyle w:val="default"/>
          <w:rFonts w:cs="FrankRuehl"/>
          <w:rtl/>
        </w:rPr>
        <w:t xml:space="preserve">, </w:t>
      </w:r>
      <w:r>
        <w:rPr>
          <w:rStyle w:val="default"/>
          <w:rFonts w:cs="FrankRuehl" w:hint="cs"/>
          <w:rtl/>
        </w:rPr>
        <w:t>תשי"ח</w:t>
      </w:r>
      <w:r w:rsidR="002D64F0">
        <w:rPr>
          <w:rStyle w:val="default"/>
          <w:rFonts w:cs="FrankRuehl" w:hint="cs"/>
          <w:rtl/>
        </w:rPr>
        <w:t>-</w:t>
      </w:r>
      <w:r>
        <w:rPr>
          <w:rStyle w:val="default"/>
          <w:rFonts w:cs="FrankRuehl"/>
          <w:rtl/>
        </w:rPr>
        <w:t xml:space="preserve">1958, </w:t>
      </w:r>
      <w:r>
        <w:rPr>
          <w:rStyle w:val="default"/>
          <w:rFonts w:cs="FrankRuehl" w:hint="cs"/>
          <w:rtl/>
        </w:rPr>
        <w:t>או מודד בעל רשיון כמשמעותו בפקודת המדידות, הכל אם תחום הכשרתו קשור למלאכה שלגביה מבוקש הרישוי.</w:t>
      </w:r>
    </w:p>
    <w:p w:rsidR="003E41F7" w:rsidRDefault="003E41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וטלו או הותלו תעודה או רישום מן המפורטים בסעיף קטן (א), בטל או מותל</w:t>
      </w:r>
      <w:r>
        <w:rPr>
          <w:rStyle w:val="default"/>
          <w:rFonts w:cs="FrankRuehl"/>
          <w:rtl/>
        </w:rPr>
        <w:t xml:space="preserve">ה, </w:t>
      </w:r>
      <w:r>
        <w:rPr>
          <w:rStyle w:val="default"/>
          <w:rFonts w:cs="FrankRuehl" w:hint="cs"/>
          <w:rtl/>
        </w:rPr>
        <w:t>לפי הענין, אף רשיון שניתן על פי חוק זה.</w:t>
      </w:r>
    </w:p>
    <w:p w:rsidR="003E41F7" w:rsidRDefault="003E41F7">
      <w:pPr>
        <w:pStyle w:val="P00"/>
        <w:spacing w:before="72"/>
        <w:ind w:left="0" w:right="1134"/>
        <w:rPr>
          <w:rStyle w:val="default"/>
          <w:rFonts w:cs="FrankRuehl" w:hint="cs"/>
          <w:rtl/>
        </w:rPr>
      </w:pPr>
      <w:bookmarkStart w:id="5" w:name="Seif5"/>
      <w:bookmarkEnd w:id="5"/>
      <w:r>
        <w:rPr>
          <w:lang w:val="he-IL"/>
        </w:rPr>
        <w:lastRenderedPageBreak/>
        <w:pict>
          <v:rect id="_x0000_s2055" style="position:absolute;left:0;text-align:left;margin-left:464.5pt;margin-top:8.05pt;width:75.05pt;height:18.6pt;z-index:251655168" o:allowincell="f" filled="f" stroked="f" strokecolor="lime" strokeweight=".25pt">
            <v:textbox inset="0,0,0,0">
              <w:txbxContent>
                <w:p w:rsidR="003E41F7" w:rsidRDefault="003E41F7" w:rsidP="002D64F0">
                  <w:pPr>
                    <w:spacing w:line="160" w:lineRule="exact"/>
                    <w:jc w:val="left"/>
                    <w:rPr>
                      <w:rFonts w:cs="Miriam"/>
                      <w:noProof/>
                      <w:sz w:val="18"/>
                      <w:szCs w:val="18"/>
                      <w:rtl/>
                    </w:rPr>
                  </w:pPr>
                  <w:r>
                    <w:rPr>
                      <w:rFonts w:cs="Miriam"/>
                      <w:sz w:val="18"/>
                      <w:szCs w:val="18"/>
                      <w:rtl/>
                    </w:rPr>
                    <w:t>רש</w:t>
                  </w:r>
                  <w:r>
                    <w:rPr>
                      <w:rFonts w:cs="Miriam" w:hint="cs"/>
                      <w:sz w:val="18"/>
                      <w:szCs w:val="18"/>
                      <w:rtl/>
                    </w:rPr>
                    <w:t>יון למי שעסק</w:t>
                  </w:r>
                  <w:r w:rsidR="002D64F0">
                    <w:rPr>
                      <w:rFonts w:cs="Miriam" w:hint="cs"/>
                      <w:sz w:val="18"/>
                      <w:szCs w:val="18"/>
                      <w:rtl/>
                    </w:rPr>
                    <w:t xml:space="preserve"> </w:t>
                  </w:r>
                  <w:r>
                    <w:rPr>
                      <w:rFonts w:cs="Miriam"/>
                      <w:sz w:val="18"/>
                      <w:szCs w:val="18"/>
                      <w:rtl/>
                    </w:rPr>
                    <w:t>במ</w:t>
                  </w:r>
                  <w:r>
                    <w:rPr>
                      <w:rFonts w:cs="Miriam" w:hint="cs"/>
                      <w:sz w:val="18"/>
                      <w:szCs w:val="18"/>
                      <w:rtl/>
                    </w:rPr>
                    <w:t>לאכה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אף האמור בסעיף 5, זכאי לקבל רשיון, על פי בקשתו, גם </w:t>
      </w:r>
      <w:r w:rsidR="002D64F0">
        <w:rPr>
          <w:rStyle w:val="default"/>
          <w:rFonts w:cs="FrankRuehl"/>
          <w:rtl/>
        </w:rPr>
        <w:t>–</w:t>
      </w:r>
    </w:p>
    <w:p w:rsidR="003E41F7" w:rsidRDefault="003E41F7" w:rsidP="002D64F0">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י שהציג אישור מטעם התאחדות בעלי מלאכה ותעשיה זעירה בישראל </w:t>
      </w:r>
      <w:r w:rsidR="002D64F0">
        <w:rPr>
          <w:rStyle w:val="default"/>
          <w:rFonts w:cs="FrankRuehl" w:hint="cs"/>
          <w:rtl/>
        </w:rPr>
        <w:t>-</w:t>
      </w:r>
      <w:r>
        <w:rPr>
          <w:rStyle w:val="default"/>
          <w:rFonts w:cs="FrankRuehl"/>
          <w:rtl/>
        </w:rPr>
        <w:t xml:space="preserve"> </w:t>
      </w:r>
      <w:r>
        <w:rPr>
          <w:rStyle w:val="default"/>
          <w:rFonts w:cs="FrankRuehl" w:hint="cs"/>
          <w:rtl/>
        </w:rPr>
        <w:t>המרכז הארצי, המעיד על היותו חבר באחד מסניפי ההתאחדות ועל התעסקותו כבעל מלאכה עצמאי ב</w:t>
      </w:r>
      <w:r>
        <w:rPr>
          <w:rStyle w:val="default"/>
          <w:rFonts w:cs="FrankRuehl"/>
          <w:rtl/>
        </w:rPr>
        <w:t>מל</w:t>
      </w:r>
      <w:r>
        <w:rPr>
          <w:rStyle w:val="default"/>
          <w:rFonts w:cs="FrankRuehl" w:hint="cs"/>
          <w:rtl/>
        </w:rPr>
        <w:t xml:space="preserve">אכה שניתן לגביה צו רישוי, לפחות שנתיים מתוך חמש </w:t>
      </w:r>
      <w:r>
        <w:rPr>
          <w:rStyle w:val="default"/>
          <w:rFonts w:cs="FrankRuehl"/>
          <w:rtl/>
        </w:rPr>
        <w:t>ה</w:t>
      </w:r>
      <w:r>
        <w:rPr>
          <w:rStyle w:val="default"/>
          <w:rFonts w:cs="FrankRuehl" w:hint="cs"/>
          <w:rtl/>
        </w:rPr>
        <w:t>שנים שקדמו לתחילתו של צו הרישוי;</w:t>
      </w:r>
    </w:p>
    <w:p w:rsidR="003E41F7" w:rsidRDefault="003E41F7">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י שהוכיח להנחת דעתה של ועדה כאמור בסעיף קטן(ב) כי עסק כבעל מלאכה עצמאי במלאכה שניתן לגביה צו רישוי, בארץ או בחוץ לארץ, לפחות שנתיים מתוך חמש השנים שקדמו לתחילתו של צו </w:t>
      </w:r>
      <w:r>
        <w:rPr>
          <w:rStyle w:val="default"/>
          <w:rFonts w:cs="FrankRuehl"/>
          <w:rtl/>
        </w:rPr>
        <w:t>הר</w:t>
      </w:r>
      <w:r>
        <w:rPr>
          <w:rStyle w:val="default"/>
          <w:rFonts w:cs="FrankRuehl" w:hint="cs"/>
          <w:rtl/>
        </w:rPr>
        <w:t>ישוי.</w:t>
      </w:r>
    </w:p>
    <w:p w:rsidR="003E41F7" w:rsidRDefault="003E41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עדה לענין סעיף קטן (א)(2) תהא של שלו</w:t>
      </w:r>
      <w:r>
        <w:rPr>
          <w:rStyle w:val="default"/>
          <w:rFonts w:cs="FrankRuehl"/>
          <w:rtl/>
        </w:rPr>
        <w:t>ש</w:t>
      </w:r>
      <w:r>
        <w:rPr>
          <w:rStyle w:val="default"/>
          <w:rFonts w:cs="FrankRuehl" w:hint="cs"/>
          <w:rtl/>
        </w:rPr>
        <w:t>ה; חבר אחד שימנה השר, והוא יהיה יושב ראש הועדה, חבר אחד שימנה שר העבודה</w:t>
      </w:r>
      <w:r w:rsidR="00942C99" w:rsidRPr="00942C99">
        <w:rPr>
          <w:rStyle w:val="default"/>
          <w:rFonts w:cs="FrankRuehl" w:hint="cs"/>
          <w:vertAlign w:val="superscript"/>
          <w:rtl/>
        </w:rPr>
        <w:t>1</w:t>
      </w:r>
      <w:r>
        <w:rPr>
          <w:rStyle w:val="default"/>
          <w:rFonts w:cs="FrankRuehl" w:hint="cs"/>
          <w:rtl/>
        </w:rPr>
        <w:t>, וחבר אחד שימנו השר ושר העבודה כאחד מתוך רשימת מועמדים בעלי רשיון לעיסוק במלאכה שניתן לגביה צו רישוי שהגיש להם הארגון היציג; לא הוגשה</w:t>
      </w:r>
      <w:r>
        <w:rPr>
          <w:rStyle w:val="default"/>
          <w:rFonts w:cs="FrankRuehl"/>
          <w:rtl/>
        </w:rPr>
        <w:t xml:space="preserve"> ה</w:t>
      </w:r>
      <w:r>
        <w:rPr>
          <w:rStyle w:val="default"/>
          <w:rFonts w:cs="FrankRuehl" w:hint="cs"/>
          <w:rtl/>
        </w:rPr>
        <w:t>רשימה תוך זמן סביר אחרי קבלת דרישה להגישה, רשאים</w:t>
      </w:r>
      <w:r>
        <w:rPr>
          <w:rStyle w:val="default"/>
          <w:rFonts w:cs="FrankRuehl"/>
          <w:rtl/>
        </w:rPr>
        <w:t xml:space="preserve"> </w:t>
      </w:r>
      <w:r>
        <w:rPr>
          <w:rStyle w:val="default"/>
          <w:rFonts w:cs="FrankRuehl" w:hint="cs"/>
          <w:rtl/>
        </w:rPr>
        <w:t>השרים למנות את החבר לפי ראות עיניהם.</w:t>
      </w:r>
    </w:p>
    <w:p w:rsidR="003E41F7" w:rsidRDefault="003E41F7" w:rsidP="002D64F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גבי הזכאי לפי סעיף זה תהא תחילתו של צו רישוי כעבור שנתיים מיום פרסומו, ובלבד שהגיש בקשה לרשיון תוך ששה חדשים מיום פרסום הצו; בקשות לרשיון לגבי מי שסעיף קטן (א)(1)</w:t>
      </w:r>
      <w:r>
        <w:rPr>
          <w:rStyle w:val="default"/>
          <w:rFonts w:cs="FrankRuehl"/>
          <w:rtl/>
        </w:rPr>
        <w:t xml:space="preserve"> ח</w:t>
      </w:r>
      <w:r>
        <w:rPr>
          <w:rStyle w:val="default"/>
          <w:rFonts w:cs="FrankRuehl" w:hint="cs"/>
          <w:rtl/>
        </w:rPr>
        <w:t xml:space="preserve">ל עליו, רשאית התאחדות בעלי מלאכה ותעשיה זעירה בישראל </w:t>
      </w:r>
      <w:r w:rsidR="002D64F0">
        <w:rPr>
          <w:rStyle w:val="default"/>
          <w:rFonts w:cs="FrankRuehl" w:hint="cs"/>
          <w:rtl/>
        </w:rPr>
        <w:t>-</w:t>
      </w:r>
      <w:r>
        <w:rPr>
          <w:rStyle w:val="default"/>
          <w:rFonts w:cs="FrankRuehl"/>
          <w:rtl/>
        </w:rPr>
        <w:t xml:space="preserve"> </w:t>
      </w:r>
      <w:r>
        <w:rPr>
          <w:rStyle w:val="default"/>
          <w:rFonts w:cs="FrankRuehl" w:hint="cs"/>
          <w:rtl/>
        </w:rPr>
        <w:t>המרכז הארצי, להגישן במרוכז לגבי חבריה.</w:t>
      </w:r>
    </w:p>
    <w:p w:rsidR="003E41F7" w:rsidRDefault="003E41F7" w:rsidP="002D64F0">
      <w:pPr>
        <w:pStyle w:val="P00"/>
        <w:spacing w:before="72"/>
        <w:ind w:left="0" w:right="1134"/>
        <w:rPr>
          <w:rStyle w:val="default"/>
          <w:rFonts w:cs="FrankRuehl"/>
          <w:rtl/>
        </w:rPr>
      </w:pPr>
      <w:bookmarkStart w:id="6" w:name="Seif6"/>
      <w:bookmarkEnd w:id="6"/>
      <w:r>
        <w:rPr>
          <w:lang w:val="he-IL"/>
        </w:rPr>
        <w:pict>
          <v:rect id="_x0000_s2056" style="position:absolute;left:0;text-align:left;margin-left:464.5pt;margin-top:8.05pt;width:75.05pt;height:13.2pt;z-index:251656192" o:allowincell="f" filled="f" stroked="f" strokecolor="lime" strokeweight=".25pt">
            <v:textbox inset="0,0,0,0">
              <w:txbxContent>
                <w:p w:rsidR="003E41F7" w:rsidRDefault="003E41F7">
                  <w:pPr>
                    <w:spacing w:line="160" w:lineRule="exact"/>
                    <w:jc w:val="left"/>
                    <w:rPr>
                      <w:rFonts w:cs="Miriam"/>
                      <w:noProof/>
                      <w:sz w:val="18"/>
                      <w:szCs w:val="18"/>
                      <w:rtl/>
                    </w:rPr>
                  </w:pPr>
                  <w:r>
                    <w:rPr>
                      <w:rFonts w:cs="Miriam"/>
                      <w:sz w:val="18"/>
                      <w:szCs w:val="18"/>
                      <w:rtl/>
                    </w:rPr>
                    <w:t>את</w:t>
                  </w:r>
                  <w:r>
                    <w:rPr>
                      <w:rFonts w:cs="Miriam" w:hint="cs"/>
                      <w:sz w:val="18"/>
                      <w:szCs w:val="18"/>
                      <w:rtl/>
                    </w:rPr>
                    <w:t>יקה מקצועית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לאחר התייעצות עם המועצה כאמור בסעיף 8, לקבוע כללים בדבר אתיקה מקצועית של בעלי מלאכה טעונה רישוי, דרך</w:t>
      </w:r>
      <w:r w:rsidR="002D64F0">
        <w:rPr>
          <w:rStyle w:val="default"/>
          <w:rFonts w:cs="FrankRuehl" w:hint="cs"/>
          <w:rtl/>
        </w:rPr>
        <w:t>-</w:t>
      </w:r>
      <w:r>
        <w:rPr>
          <w:rStyle w:val="default"/>
          <w:rFonts w:cs="FrankRuehl" w:hint="cs"/>
          <w:rtl/>
        </w:rPr>
        <w:t>כלל או למלאכה פלונית, ובכלל זה הוראות בד</w:t>
      </w:r>
      <w:r>
        <w:rPr>
          <w:rStyle w:val="default"/>
          <w:rFonts w:cs="FrankRuehl"/>
          <w:rtl/>
        </w:rPr>
        <w:t>בר</w:t>
      </w:r>
      <w:r>
        <w:rPr>
          <w:rStyle w:val="default"/>
          <w:rFonts w:cs="FrankRuehl" w:hint="cs"/>
          <w:rtl/>
        </w:rPr>
        <w:t xml:space="preserve"> הקמת ועדות משמעת, הרכבן, וסדרי </w:t>
      </w:r>
      <w:r>
        <w:rPr>
          <w:rStyle w:val="default"/>
          <w:rFonts w:cs="FrankRuehl"/>
          <w:rtl/>
        </w:rPr>
        <w:t>ע</w:t>
      </w:r>
      <w:r>
        <w:rPr>
          <w:rStyle w:val="default"/>
          <w:rFonts w:cs="FrankRuehl" w:hint="cs"/>
          <w:rtl/>
        </w:rPr>
        <w:t xml:space="preserve">בודתן </w:t>
      </w:r>
      <w:r w:rsidR="002D64F0">
        <w:rPr>
          <w:rStyle w:val="default"/>
          <w:rFonts w:cs="FrankRuehl" w:hint="cs"/>
          <w:rtl/>
        </w:rPr>
        <w:t>-</w:t>
      </w:r>
      <w:r>
        <w:rPr>
          <w:rStyle w:val="default"/>
          <w:rFonts w:cs="FrankRuehl"/>
          <w:rtl/>
        </w:rPr>
        <w:t xml:space="preserve"> </w:t>
      </w:r>
      <w:r>
        <w:rPr>
          <w:rStyle w:val="default"/>
          <w:rFonts w:cs="FrankRuehl" w:hint="cs"/>
          <w:rtl/>
        </w:rPr>
        <w:t xml:space="preserve">דרך קבע או למקרה מסויים </w:t>
      </w:r>
      <w:r w:rsidR="002D64F0">
        <w:rPr>
          <w:rStyle w:val="default"/>
          <w:rFonts w:cs="FrankRuehl" w:hint="cs"/>
          <w:rtl/>
        </w:rPr>
        <w:t>-</w:t>
      </w:r>
      <w:r>
        <w:rPr>
          <w:rStyle w:val="default"/>
          <w:rFonts w:cs="FrankRuehl"/>
          <w:rtl/>
        </w:rPr>
        <w:t xml:space="preserve"> </w:t>
      </w:r>
      <w:r>
        <w:rPr>
          <w:rStyle w:val="default"/>
          <w:rFonts w:cs="FrankRuehl" w:hint="cs"/>
          <w:rtl/>
        </w:rPr>
        <w:t>שיחקרו בהתנהגות שאינה מתיישבת עם כללי האתיקה ויוכלו להמליץ בפני השר על אמצעי המשמעת הבאים: התראה, נזיפה, התליית רשיון או ביטולו.</w:t>
      </w:r>
    </w:p>
    <w:p w:rsidR="003E41F7" w:rsidRDefault="003E41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החלטת השר להתלות רשיון </w:t>
      </w:r>
      <w:r>
        <w:rPr>
          <w:rStyle w:val="default"/>
          <w:rFonts w:cs="FrankRuehl"/>
          <w:rtl/>
        </w:rPr>
        <w:t>או</w:t>
      </w:r>
      <w:r>
        <w:rPr>
          <w:rStyle w:val="default"/>
          <w:rFonts w:cs="FrankRuehl" w:hint="cs"/>
          <w:rtl/>
        </w:rPr>
        <w:t xml:space="preserve"> לבטלו ניתן לערער לפני בית המשפט</w:t>
      </w:r>
      <w:r>
        <w:rPr>
          <w:rStyle w:val="default"/>
          <w:rFonts w:cs="FrankRuehl"/>
          <w:rtl/>
        </w:rPr>
        <w:t xml:space="preserve"> </w:t>
      </w:r>
      <w:r>
        <w:rPr>
          <w:rStyle w:val="default"/>
          <w:rFonts w:cs="FrankRuehl" w:hint="cs"/>
          <w:rtl/>
        </w:rPr>
        <w:t>המחוזי הדן בשופט אחד, והחלטת בית המשפט תהא סופית.</w:t>
      </w:r>
    </w:p>
    <w:p w:rsidR="003E41F7" w:rsidRDefault="003E41F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סעיף קטן (א), אי מילוי תנאי ברשיון הקשור בהשתלמות או בהכשרה מקצועית ייראה כהפרת האתיקה המקצועית.</w:t>
      </w:r>
    </w:p>
    <w:p w:rsidR="003E41F7" w:rsidRDefault="003E41F7" w:rsidP="002D64F0">
      <w:pPr>
        <w:pStyle w:val="P00"/>
        <w:spacing w:before="72"/>
        <w:ind w:left="0" w:right="1134"/>
        <w:rPr>
          <w:rStyle w:val="default"/>
          <w:rFonts w:cs="FrankRuehl"/>
          <w:rtl/>
        </w:rPr>
      </w:pPr>
      <w:bookmarkStart w:id="7" w:name="Seif7"/>
      <w:bookmarkEnd w:id="7"/>
      <w:r>
        <w:rPr>
          <w:lang w:val="he-IL"/>
        </w:rPr>
        <w:pict>
          <v:rect id="_x0000_s2057" style="position:absolute;left:0;text-align:left;margin-left:464.5pt;margin-top:8.05pt;width:75.05pt;height:14.55pt;z-index:251657216" o:allowincell="f" filled="f" stroked="f" strokecolor="lime" strokeweight=".25pt">
            <v:textbox inset="0,0,0,0">
              <w:txbxContent>
                <w:p w:rsidR="003E41F7" w:rsidRDefault="003E41F7">
                  <w:pPr>
                    <w:spacing w:line="160" w:lineRule="exact"/>
                    <w:jc w:val="left"/>
                    <w:rPr>
                      <w:rFonts w:cs="Miriam"/>
                      <w:noProof/>
                      <w:sz w:val="18"/>
                      <w:szCs w:val="18"/>
                      <w:rtl/>
                    </w:rPr>
                  </w:pPr>
                  <w:r>
                    <w:rPr>
                      <w:rFonts w:cs="Miriam"/>
                      <w:sz w:val="18"/>
                      <w:szCs w:val="18"/>
                      <w:rtl/>
                    </w:rPr>
                    <w:t>מו</w:t>
                  </w:r>
                  <w:r>
                    <w:rPr>
                      <w:rFonts w:cs="Miriam" w:hint="cs"/>
                      <w:sz w:val="18"/>
                      <w:szCs w:val="18"/>
                      <w:rtl/>
                    </w:rPr>
                    <w:t>עצת מלאכה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ממשלה תמנה מועצת מלאכה ובה עשרים ואחד חברים (להלן </w:t>
      </w:r>
      <w:r w:rsidR="002D64F0">
        <w:rPr>
          <w:rStyle w:val="default"/>
          <w:rFonts w:cs="FrankRuehl" w:hint="cs"/>
          <w:rtl/>
        </w:rPr>
        <w:t>-</w:t>
      </w:r>
      <w:r>
        <w:rPr>
          <w:rStyle w:val="default"/>
          <w:rFonts w:cs="FrankRuehl"/>
          <w:rtl/>
        </w:rPr>
        <w:t xml:space="preserve"> </w:t>
      </w:r>
      <w:r>
        <w:rPr>
          <w:rStyle w:val="default"/>
          <w:rFonts w:cs="FrankRuehl" w:hint="cs"/>
          <w:rtl/>
        </w:rPr>
        <w:t>המ</w:t>
      </w:r>
      <w:r>
        <w:rPr>
          <w:rStyle w:val="default"/>
          <w:rFonts w:cs="FrankRuehl"/>
          <w:rtl/>
        </w:rPr>
        <w:t>וע</w:t>
      </w:r>
      <w:r>
        <w:rPr>
          <w:rStyle w:val="default"/>
          <w:rFonts w:cs="FrankRuehl" w:hint="cs"/>
          <w:rtl/>
        </w:rPr>
        <w:t>צה).</w:t>
      </w:r>
    </w:p>
    <w:p w:rsidR="003E41F7" w:rsidRDefault="003E41F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זה הרכב המועצה:</w:t>
      </w:r>
    </w:p>
    <w:p w:rsidR="003E41F7" w:rsidRDefault="003E41F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שר או עובד המדינה שימנה לכך, והוא יהיה יושב ראש המועצה;</w:t>
      </w:r>
    </w:p>
    <w:p w:rsidR="003E41F7" w:rsidRDefault="003E41F7">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שה עובדי המדינה;</w:t>
      </w:r>
    </w:p>
    <w:p w:rsidR="003E41F7" w:rsidRDefault="003E41F7">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בעה אנשי ציבור שהשר המליץ עליהם לאחר התייעצות בארגונים ציבוריים שהם לדעתו נוגעים בדבר;</w:t>
      </w:r>
    </w:p>
    <w:p w:rsidR="003E41F7" w:rsidRDefault="003E41F7">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בעה מבין רשימת מועמדים שהגיש הארגון היציג, ובלב</w:t>
      </w:r>
      <w:r>
        <w:rPr>
          <w:rStyle w:val="default"/>
          <w:rFonts w:cs="FrankRuehl"/>
          <w:rtl/>
        </w:rPr>
        <w:t xml:space="preserve">ד </w:t>
      </w:r>
      <w:r>
        <w:rPr>
          <w:rStyle w:val="default"/>
          <w:rFonts w:cs="FrankRuehl" w:hint="cs"/>
          <w:rtl/>
        </w:rPr>
        <w:t xml:space="preserve">שהוגשה הרשימה תוך </w:t>
      </w:r>
      <w:r>
        <w:rPr>
          <w:rStyle w:val="default"/>
          <w:rFonts w:cs="FrankRuehl"/>
          <w:rtl/>
        </w:rPr>
        <w:t>ז</w:t>
      </w:r>
      <w:r>
        <w:rPr>
          <w:rStyle w:val="default"/>
          <w:rFonts w:cs="FrankRuehl" w:hint="cs"/>
          <w:rtl/>
        </w:rPr>
        <w:t>מן סביר לאחר קבלת דרישה להגישה.</w:t>
      </w:r>
    </w:p>
    <w:p w:rsidR="003E41F7" w:rsidRDefault="003E41F7">
      <w:pPr>
        <w:pStyle w:val="P00"/>
        <w:spacing w:before="72"/>
        <w:ind w:left="0" w:right="1134"/>
        <w:rPr>
          <w:rStyle w:val="default"/>
          <w:rFonts w:cs="FrankRuehl"/>
          <w:rtl/>
        </w:rPr>
      </w:pPr>
      <w:bookmarkStart w:id="8" w:name="Seif8"/>
      <w:bookmarkEnd w:id="8"/>
      <w:r>
        <w:rPr>
          <w:lang w:val="he-IL"/>
        </w:rPr>
        <w:pict>
          <v:rect id="_x0000_s2058" style="position:absolute;left:0;text-align:left;margin-left:464.5pt;margin-top:8.05pt;width:75.05pt;height:8.85pt;z-index:251658240" o:allowincell="f" filled="f" stroked="f" strokecolor="lime" strokeweight=".25pt">
            <v:textbox inset="0,0,0,0">
              <w:txbxContent>
                <w:p w:rsidR="003E41F7" w:rsidRDefault="003E41F7">
                  <w:pPr>
                    <w:spacing w:line="160" w:lineRule="exact"/>
                    <w:jc w:val="left"/>
                    <w:rPr>
                      <w:rFonts w:cs="Miriam"/>
                      <w:noProof/>
                      <w:sz w:val="18"/>
                      <w:szCs w:val="18"/>
                      <w:rtl/>
                    </w:rPr>
                  </w:pPr>
                  <w:r>
                    <w:rPr>
                      <w:rFonts w:cs="Miriam"/>
                      <w:sz w:val="18"/>
                      <w:szCs w:val="18"/>
                      <w:rtl/>
                    </w:rPr>
                    <w:t>תפ</w:t>
                  </w:r>
                  <w:r>
                    <w:rPr>
                      <w:rFonts w:cs="Miriam" w:hint="cs"/>
                      <w:sz w:val="18"/>
                      <w:szCs w:val="18"/>
                      <w:rtl/>
                    </w:rPr>
                    <w:t>קיד המועצה</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ועצה תייעץ לשר בכל הנוגע לביצוע חוק זה.</w:t>
      </w:r>
    </w:p>
    <w:p w:rsidR="003E41F7" w:rsidRDefault="003E41F7">
      <w:pPr>
        <w:pStyle w:val="P00"/>
        <w:spacing w:before="72"/>
        <w:ind w:left="0" w:right="1134"/>
        <w:rPr>
          <w:rStyle w:val="default"/>
          <w:rFonts w:cs="FrankRuehl"/>
          <w:rtl/>
        </w:rPr>
      </w:pPr>
      <w:bookmarkStart w:id="9" w:name="Seif9"/>
      <w:bookmarkEnd w:id="9"/>
      <w:r>
        <w:rPr>
          <w:lang w:val="he-IL"/>
        </w:rPr>
        <w:pict>
          <v:rect id="_x0000_s2059" style="position:absolute;left:0;text-align:left;margin-left:464.5pt;margin-top:8.05pt;width:75.05pt;height:11.3pt;z-index:251659264" o:allowincell="f" filled="f" stroked="f" strokecolor="lime" strokeweight=".25pt">
            <v:textbox inset="0,0,0,0">
              <w:txbxContent>
                <w:p w:rsidR="003E41F7" w:rsidRDefault="003E41F7">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txbxContent>
            </v:textbox>
            <w10:anchorlock/>
          </v:rect>
        </w:pict>
      </w:r>
      <w:r>
        <w:rPr>
          <w:rStyle w:val="big-number"/>
          <w:rFonts w:cs="Miriam"/>
          <w:rtl/>
        </w:rPr>
        <w:t>10.</w:t>
      </w:r>
      <w:r>
        <w:rPr>
          <w:rStyle w:val="big-number"/>
          <w:rFonts w:cs="Miriam"/>
          <w:rtl/>
        </w:rPr>
        <w:tab/>
      </w:r>
      <w:r>
        <w:rPr>
          <w:rStyle w:val="default"/>
          <w:rFonts w:cs="FrankRuehl"/>
          <w:rtl/>
        </w:rPr>
        <w:t>הש</w:t>
      </w:r>
      <w:r>
        <w:rPr>
          <w:rStyle w:val="default"/>
          <w:rFonts w:cs="FrankRuehl" w:hint="cs"/>
          <w:rtl/>
        </w:rPr>
        <w:t>ר רשאי, בצו, לקבוע אגרה בעד מתן רשיון או חידושו.</w:t>
      </w:r>
    </w:p>
    <w:p w:rsidR="003E41F7" w:rsidRDefault="003E41F7" w:rsidP="002D64F0">
      <w:pPr>
        <w:pStyle w:val="P00"/>
        <w:spacing w:before="72"/>
        <w:ind w:left="0" w:right="1134"/>
        <w:rPr>
          <w:rStyle w:val="default"/>
          <w:rFonts w:cs="FrankRuehl"/>
          <w:rtl/>
        </w:rPr>
      </w:pPr>
      <w:bookmarkStart w:id="10" w:name="Seif10"/>
      <w:bookmarkEnd w:id="10"/>
      <w:r>
        <w:rPr>
          <w:lang w:val="he-IL"/>
        </w:rPr>
        <w:pict>
          <v:rect id="_x0000_s2060" style="position:absolute;left:0;text-align:left;margin-left:464.5pt;margin-top:8.05pt;width:75.05pt;height:13.8pt;z-index:251660288" o:allowincell="f" filled="f" stroked="f" strokecolor="lime" strokeweight=".25pt">
            <v:textbox inset="0,0,0,0">
              <w:txbxContent>
                <w:p w:rsidR="003E41F7" w:rsidRDefault="003E41F7">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11.</w:t>
      </w:r>
      <w:r>
        <w:rPr>
          <w:rStyle w:val="big-number"/>
          <w:rFonts w:cs="Miriam"/>
          <w:rtl/>
        </w:rPr>
        <w:tab/>
      </w:r>
      <w:r>
        <w:rPr>
          <w:rStyle w:val="default"/>
          <w:rFonts w:cs="FrankRuehl"/>
          <w:rtl/>
        </w:rPr>
        <w:t>המ</w:t>
      </w:r>
      <w:r>
        <w:rPr>
          <w:rStyle w:val="default"/>
          <w:rFonts w:cs="FrankRuehl" w:hint="cs"/>
          <w:rtl/>
        </w:rPr>
        <w:t xml:space="preserve">פר הוראות סעיף 2, דינו </w:t>
      </w:r>
      <w:r w:rsidR="002D64F0">
        <w:rPr>
          <w:rStyle w:val="default"/>
          <w:rFonts w:cs="FrankRuehl" w:hint="cs"/>
          <w:rtl/>
        </w:rPr>
        <w:t>-</w:t>
      </w:r>
      <w:r>
        <w:rPr>
          <w:rStyle w:val="default"/>
          <w:rFonts w:cs="FrankRuehl"/>
          <w:rtl/>
        </w:rPr>
        <w:t xml:space="preserve"> </w:t>
      </w:r>
      <w:r>
        <w:rPr>
          <w:rStyle w:val="default"/>
          <w:rFonts w:cs="FrankRuehl" w:hint="cs"/>
          <w:rtl/>
        </w:rPr>
        <w:t>מאסר שנה או קנס 50,000 לירות.</w:t>
      </w:r>
    </w:p>
    <w:p w:rsidR="003E41F7" w:rsidRDefault="003E41F7">
      <w:pPr>
        <w:pStyle w:val="P00"/>
        <w:spacing w:before="72"/>
        <w:ind w:left="0" w:right="1134"/>
        <w:rPr>
          <w:rStyle w:val="default"/>
          <w:rFonts w:cs="FrankRuehl"/>
          <w:rtl/>
        </w:rPr>
      </w:pPr>
      <w:bookmarkStart w:id="11" w:name="Seif11"/>
      <w:bookmarkEnd w:id="11"/>
      <w:r>
        <w:rPr>
          <w:lang w:val="he-IL"/>
        </w:rPr>
        <w:pict>
          <v:rect id="_x0000_s2061" style="position:absolute;left:0;text-align:left;margin-left:464.5pt;margin-top:8.05pt;width:75.05pt;height:10.65pt;z-index:251661312" o:allowincell="f" filled="f" stroked="f" strokecolor="lime" strokeweight=".25pt">
            <v:textbox inset="0,0,0,0">
              <w:txbxContent>
                <w:p w:rsidR="003E41F7" w:rsidRDefault="003E41F7">
                  <w:pPr>
                    <w:spacing w:line="160" w:lineRule="exact"/>
                    <w:jc w:val="left"/>
                    <w:rPr>
                      <w:rFonts w:cs="Miriam"/>
                      <w:noProof/>
                      <w:sz w:val="18"/>
                      <w:szCs w:val="18"/>
                      <w:rtl/>
                    </w:rPr>
                  </w:pPr>
                  <w:r>
                    <w:rPr>
                      <w:rFonts w:cs="Miriam"/>
                      <w:sz w:val="18"/>
                      <w:szCs w:val="18"/>
                      <w:rtl/>
                    </w:rPr>
                    <w:t>מנ</w:t>
                  </w:r>
                  <w:r>
                    <w:rPr>
                      <w:rFonts w:cs="Miriam" w:hint="cs"/>
                      <w:sz w:val="18"/>
                      <w:szCs w:val="18"/>
                      <w:rtl/>
                    </w:rPr>
                    <w:t>יעת רישוי כפול</w:t>
                  </w:r>
                </w:p>
              </w:txbxContent>
            </v:textbox>
            <w10:anchorlock/>
          </v:rect>
        </w:pict>
      </w:r>
      <w:r>
        <w:rPr>
          <w:rStyle w:val="big-number"/>
          <w:rFonts w:cs="Miriam"/>
          <w:rtl/>
        </w:rPr>
        <w:t>12.</w:t>
      </w:r>
      <w:r>
        <w:rPr>
          <w:rStyle w:val="big-number"/>
          <w:rFonts w:cs="Miriam"/>
          <w:rtl/>
        </w:rPr>
        <w:tab/>
      </w:r>
      <w:r>
        <w:rPr>
          <w:rStyle w:val="default"/>
          <w:rFonts w:cs="FrankRuehl"/>
          <w:rtl/>
        </w:rPr>
        <w:t>מל</w:t>
      </w:r>
      <w:r>
        <w:rPr>
          <w:rStyle w:val="default"/>
          <w:rFonts w:cs="FrankRuehl" w:hint="cs"/>
          <w:rtl/>
        </w:rPr>
        <w:t>אכה שניתן לגביה צו רישוי, לא ייד</w:t>
      </w:r>
      <w:r>
        <w:rPr>
          <w:rStyle w:val="default"/>
          <w:rFonts w:cs="FrankRuehl"/>
          <w:rtl/>
        </w:rPr>
        <w:t>רש</w:t>
      </w:r>
      <w:r>
        <w:rPr>
          <w:rStyle w:val="default"/>
          <w:rFonts w:cs="FrankRuehl" w:hint="cs"/>
          <w:rtl/>
        </w:rPr>
        <w:t xml:space="preserve"> רישוי לעיסוק בה על פי חוק אחר שהיה קיים ביום שניתן הצו או על פי תקנות או צו שעל פיו, לשם טעמים הזהים לטעמים שלשמם ניתן צו הרישוי.</w:t>
      </w:r>
    </w:p>
    <w:p w:rsidR="003E41F7" w:rsidRDefault="003E41F7" w:rsidP="002D64F0">
      <w:pPr>
        <w:pStyle w:val="P00"/>
        <w:spacing w:before="72"/>
        <w:ind w:left="0" w:right="1134"/>
        <w:rPr>
          <w:rStyle w:val="default"/>
          <w:rFonts w:cs="FrankRuehl"/>
          <w:rtl/>
        </w:rPr>
      </w:pPr>
      <w:bookmarkStart w:id="12" w:name="Seif12"/>
      <w:bookmarkEnd w:id="12"/>
      <w:r>
        <w:rPr>
          <w:lang w:val="he-IL"/>
        </w:rPr>
        <w:pict>
          <v:rect id="_x0000_s2062" style="position:absolute;left:0;text-align:left;margin-left:464.5pt;margin-top:8.05pt;width:75.05pt;height:20.75pt;z-index:251662336" o:allowincell="f" filled="f" stroked="f" strokecolor="lime" strokeweight=".25pt">
            <v:textbox inset="0,0,0,0">
              <w:txbxContent>
                <w:p w:rsidR="003E41F7" w:rsidRDefault="003E41F7">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רישוי עסקים</w:t>
                  </w:r>
                </w:p>
              </w:txbxContent>
            </v:textbox>
            <w10:anchorlock/>
          </v:rect>
        </w:pict>
      </w:r>
      <w:r>
        <w:rPr>
          <w:rStyle w:val="big-number"/>
          <w:rFonts w:cs="Miriam"/>
          <w:rtl/>
        </w:rPr>
        <w:t>13.</w:t>
      </w:r>
      <w:r>
        <w:rPr>
          <w:rStyle w:val="big-number"/>
          <w:rFonts w:cs="Miriam"/>
          <w:rtl/>
        </w:rPr>
        <w:tab/>
      </w:r>
      <w:r>
        <w:rPr>
          <w:rStyle w:val="default"/>
          <w:rFonts w:cs="FrankRuehl"/>
          <w:rtl/>
        </w:rPr>
        <w:t>בח</w:t>
      </w:r>
      <w:r>
        <w:rPr>
          <w:rStyle w:val="default"/>
          <w:rFonts w:cs="FrankRuehl" w:hint="cs"/>
          <w:rtl/>
        </w:rPr>
        <w:t>וק רישוי עסקים, תשכ"ח</w:t>
      </w:r>
      <w:r w:rsidR="002D64F0">
        <w:rPr>
          <w:rStyle w:val="default"/>
          <w:rFonts w:cs="FrankRuehl" w:hint="cs"/>
          <w:rtl/>
        </w:rPr>
        <w:t>-</w:t>
      </w:r>
      <w:r>
        <w:rPr>
          <w:rStyle w:val="default"/>
          <w:rFonts w:cs="FrankRuehl"/>
          <w:rtl/>
        </w:rPr>
        <w:t xml:space="preserve">1968, </w:t>
      </w:r>
      <w:r>
        <w:rPr>
          <w:rStyle w:val="default"/>
          <w:rFonts w:cs="FrankRuehl" w:hint="cs"/>
          <w:rtl/>
        </w:rPr>
        <w:t>אחרי סעיף 8 יבוא:</w:t>
      </w:r>
    </w:p>
    <w:p w:rsidR="003E41F7" w:rsidRDefault="003E41F7" w:rsidP="002D64F0">
      <w:pPr>
        <w:pStyle w:val="P22"/>
        <w:spacing w:before="72"/>
        <w:ind w:left="1021" w:right="1134"/>
        <w:rPr>
          <w:rStyle w:val="default"/>
          <w:rFonts w:cs="FrankRuehl"/>
          <w:rtl/>
        </w:rPr>
      </w:pPr>
      <w:bookmarkStart w:id="13" w:name="Seif13"/>
      <w:bookmarkEnd w:id="13"/>
      <w:r>
        <w:rPr>
          <w:lang w:val="he-IL"/>
        </w:rPr>
        <w:pict>
          <v:rect id="_x0000_s2063" style="position:absolute;left:0;text-align:left;margin-left:464.5pt;margin-top:8.05pt;width:75.05pt;height:23.25pt;z-index:251663360" o:allowincell="f" filled="f" stroked="f" strokecolor="lime" strokeweight=".25pt">
            <v:textbox inset="0,0,0,0">
              <w:txbxContent>
                <w:p w:rsidR="003E41F7" w:rsidRDefault="003E41F7">
                  <w:pPr>
                    <w:spacing w:line="160" w:lineRule="exact"/>
                    <w:jc w:val="left"/>
                    <w:rPr>
                      <w:rFonts w:cs="Miriam"/>
                      <w:noProof/>
                      <w:sz w:val="18"/>
                      <w:szCs w:val="18"/>
                      <w:rtl/>
                    </w:rPr>
                  </w:pPr>
                  <w:r>
                    <w:rPr>
                      <w:rFonts w:cs="Miriam"/>
                      <w:sz w:val="18"/>
                      <w:szCs w:val="18"/>
                      <w:rtl/>
                    </w:rPr>
                    <w:t>עס</w:t>
                  </w:r>
                  <w:r>
                    <w:rPr>
                      <w:rFonts w:cs="Miriam" w:hint="cs"/>
                      <w:sz w:val="18"/>
                      <w:szCs w:val="18"/>
                      <w:rtl/>
                    </w:rPr>
                    <w:t xml:space="preserve">ק שעוסקים בו </w:t>
                  </w:r>
                  <w:r>
                    <w:rPr>
                      <w:rFonts w:cs="Miriam"/>
                      <w:sz w:val="18"/>
                      <w:szCs w:val="18"/>
                      <w:rtl/>
                    </w:rPr>
                    <w:t>ב</w:t>
                  </w:r>
                  <w:r>
                    <w:rPr>
                      <w:rFonts w:cs="Miriam" w:hint="cs"/>
                      <w:sz w:val="18"/>
                      <w:szCs w:val="18"/>
                      <w:rtl/>
                    </w:rPr>
                    <w:t>מלאכה טעונה רישוי</w:t>
                  </w:r>
                </w:p>
              </w:txbxContent>
            </v:textbox>
            <w10:anchorlock/>
          </v:rect>
        </w:pict>
      </w:r>
      <w:r>
        <w:rPr>
          <w:rStyle w:val="default"/>
          <w:rFonts w:cs="FrankRuehl"/>
          <w:rtl/>
        </w:rPr>
        <w:t>8א</w:t>
      </w:r>
      <w:r>
        <w:rPr>
          <w:rStyle w:val="default"/>
          <w:rFonts w:cs="FrankRuehl" w:hint="cs"/>
          <w:rtl/>
        </w:rPr>
        <w:t xml:space="preserve">. רשות הרישוי לא תתן רשיון לפי חוק זה לעסק שעוסקים בו במלאכה טעונה </w:t>
      </w:r>
      <w:r>
        <w:rPr>
          <w:rStyle w:val="default"/>
          <w:rFonts w:cs="FrankRuehl"/>
          <w:rtl/>
        </w:rPr>
        <w:t>רי</w:t>
      </w:r>
      <w:r>
        <w:rPr>
          <w:rStyle w:val="default"/>
          <w:rFonts w:cs="FrankRuehl" w:hint="cs"/>
          <w:rtl/>
        </w:rPr>
        <w:t>שוי לפי חוק רישוי בעלי מלאכה, תשל"ז</w:t>
      </w:r>
      <w:r w:rsidR="002D64F0">
        <w:rPr>
          <w:rStyle w:val="default"/>
          <w:rFonts w:cs="FrankRuehl" w:hint="cs"/>
          <w:rtl/>
        </w:rPr>
        <w:t>-</w:t>
      </w:r>
      <w:r>
        <w:rPr>
          <w:rStyle w:val="default"/>
          <w:rFonts w:cs="FrankRuehl"/>
          <w:rtl/>
        </w:rPr>
        <w:t xml:space="preserve">1977, </w:t>
      </w:r>
      <w:r>
        <w:rPr>
          <w:rStyle w:val="default"/>
          <w:rFonts w:cs="FrankRuehl" w:hint="cs"/>
          <w:rtl/>
        </w:rPr>
        <w:t>אלא אם נתמלאו בבעל העסק התנאים הקבועים בחוק האמור והתקנות על פיו.</w:t>
      </w:r>
    </w:p>
    <w:p w:rsidR="003E41F7" w:rsidRDefault="003E41F7">
      <w:pPr>
        <w:pStyle w:val="P00"/>
        <w:spacing w:before="72"/>
        <w:ind w:left="0" w:right="1134"/>
        <w:rPr>
          <w:rStyle w:val="default"/>
          <w:rFonts w:cs="FrankRuehl"/>
          <w:rtl/>
        </w:rPr>
      </w:pPr>
      <w:bookmarkStart w:id="14" w:name="Seif14"/>
      <w:bookmarkEnd w:id="14"/>
      <w:r>
        <w:rPr>
          <w:lang w:val="he-IL"/>
        </w:rPr>
        <w:pict>
          <v:rect id="_x0000_s2064" style="position:absolute;left:0;text-align:left;margin-left:464.5pt;margin-top:8.05pt;width:75.05pt;height:12pt;z-index:251664384" o:allowincell="f" filled="f" stroked="f" strokecolor="lime" strokeweight=".25pt">
            <v:textbox inset="0,0,0,0">
              <w:txbxContent>
                <w:p w:rsidR="003E41F7" w:rsidRDefault="003E41F7">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14.</w:t>
      </w:r>
      <w:r>
        <w:rPr>
          <w:rStyle w:val="big-number"/>
          <w:rFonts w:cs="Miriam"/>
          <w:rtl/>
        </w:rPr>
        <w:tab/>
      </w:r>
      <w:r>
        <w:rPr>
          <w:rStyle w:val="default"/>
          <w:rFonts w:cs="FrankRuehl"/>
          <w:rtl/>
        </w:rPr>
        <w:t>הש</w:t>
      </w:r>
      <w:r>
        <w:rPr>
          <w:rStyle w:val="default"/>
          <w:rFonts w:cs="FrankRuehl" w:hint="cs"/>
          <w:rtl/>
        </w:rPr>
        <w:t>ר ממונה על ביצוע חוק זה והוא רשאי, בהסכמת שר העבודה</w:t>
      </w:r>
      <w:r w:rsidR="006566B0">
        <w:rPr>
          <w:rStyle w:val="default"/>
          <w:rFonts w:cs="FrankRuehl" w:hint="cs"/>
          <w:vertAlign w:val="superscript"/>
          <w:rtl/>
        </w:rPr>
        <w:t>2</w:t>
      </w:r>
      <w:r>
        <w:rPr>
          <w:rStyle w:val="default"/>
          <w:rFonts w:cs="FrankRuehl" w:hint="cs"/>
          <w:rtl/>
        </w:rPr>
        <w:t xml:space="preserve"> ובאישור ועדת העבודה של הכנסת, להתקין תקנות בכל הנוגע לביצועו.</w:t>
      </w:r>
    </w:p>
    <w:p w:rsidR="003E41F7" w:rsidRDefault="003E41F7">
      <w:pPr>
        <w:pStyle w:val="P00"/>
        <w:spacing w:before="72"/>
        <w:ind w:left="0" w:right="1134"/>
        <w:rPr>
          <w:rStyle w:val="default"/>
          <w:rFonts w:cs="FrankRuehl"/>
          <w:rtl/>
        </w:rPr>
      </w:pPr>
      <w:bookmarkStart w:id="15" w:name="Seif15"/>
      <w:bookmarkEnd w:id="15"/>
      <w:r>
        <w:rPr>
          <w:lang w:val="he-IL"/>
        </w:rPr>
        <w:pict>
          <v:rect id="_x0000_s2065" style="position:absolute;left:0;text-align:left;margin-left:464.5pt;margin-top:8.05pt;width:75.05pt;height:9.9pt;z-index:251665408" o:allowincell="f" filled="f" stroked="f" strokecolor="lime" strokeweight=".25pt">
            <v:textbox inset="0,0,0,0">
              <w:txbxContent>
                <w:p w:rsidR="003E41F7" w:rsidRDefault="003E41F7">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15.</w:t>
      </w:r>
      <w:r>
        <w:rPr>
          <w:rStyle w:val="big-number"/>
          <w:rFonts w:cs="Miriam"/>
          <w:rtl/>
        </w:rPr>
        <w:tab/>
      </w:r>
      <w:r>
        <w:rPr>
          <w:rStyle w:val="default"/>
          <w:rFonts w:cs="FrankRuehl"/>
          <w:rtl/>
        </w:rPr>
        <w:t>תח</w:t>
      </w:r>
      <w:r>
        <w:rPr>
          <w:rStyle w:val="default"/>
          <w:rFonts w:cs="FrankRuehl" w:hint="cs"/>
          <w:rtl/>
        </w:rPr>
        <w:t>ילתו של חוק זה היא</w:t>
      </w:r>
      <w:r>
        <w:rPr>
          <w:rStyle w:val="default"/>
          <w:rFonts w:cs="FrankRuehl"/>
          <w:rtl/>
        </w:rPr>
        <w:t xml:space="preserve"> כ</w:t>
      </w:r>
      <w:r>
        <w:rPr>
          <w:rStyle w:val="default"/>
          <w:rFonts w:cs="FrankRuehl" w:hint="cs"/>
          <w:rtl/>
        </w:rPr>
        <w:t>תום שנה מיום פרסומו ברשומות.</w:t>
      </w:r>
    </w:p>
    <w:p w:rsidR="003E41F7" w:rsidRDefault="003E41F7">
      <w:pPr>
        <w:pStyle w:val="P00"/>
        <w:spacing w:before="72"/>
        <w:ind w:left="0" w:right="1134"/>
        <w:rPr>
          <w:rStyle w:val="default"/>
          <w:rFonts w:cs="FrankRuehl" w:hint="cs"/>
          <w:rtl/>
        </w:rPr>
      </w:pPr>
    </w:p>
    <w:p w:rsidR="002D64F0" w:rsidRDefault="002D64F0">
      <w:pPr>
        <w:pStyle w:val="P00"/>
        <w:spacing w:before="72"/>
        <w:ind w:left="0" w:right="1134"/>
        <w:rPr>
          <w:rStyle w:val="default"/>
          <w:rFonts w:cs="FrankRuehl" w:hint="cs"/>
          <w:rtl/>
        </w:rPr>
      </w:pPr>
    </w:p>
    <w:p w:rsidR="003E41F7" w:rsidRPr="002D64F0" w:rsidRDefault="003E41F7" w:rsidP="002D64F0">
      <w:pPr>
        <w:pStyle w:val="sig-1"/>
        <w:widowControl/>
        <w:spacing w:before="72"/>
        <w:ind w:left="0" w:right="1134"/>
        <w:rPr>
          <w:rFonts w:cs="FrankRuehl"/>
          <w:sz w:val="26"/>
          <w:szCs w:val="26"/>
          <w:rtl/>
        </w:rPr>
      </w:pPr>
      <w:r w:rsidRPr="002D64F0">
        <w:rPr>
          <w:rFonts w:cs="FrankRuehl"/>
          <w:sz w:val="26"/>
          <w:szCs w:val="26"/>
          <w:rtl/>
        </w:rPr>
        <w:tab/>
      </w:r>
      <w:r w:rsidRPr="002D64F0">
        <w:rPr>
          <w:rFonts w:cs="FrankRuehl"/>
          <w:sz w:val="26"/>
          <w:szCs w:val="26"/>
          <w:rtl/>
        </w:rPr>
        <w:tab/>
        <w:t>י</w:t>
      </w:r>
      <w:r w:rsidRPr="002D64F0">
        <w:rPr>
          <w:rFonts w:cs="FrankRuehl" w:hint="cs"/>
          <w:sz w:val="26"/>
          <w:szCs w:val="26"/>
          <w:rtl/>
        </w:rPr>
        <w:t>צחק רבין</w:t>
      </w:r>
      <w:r w:rsidR="002D64F0" w:rsidRPr="002D64F0">
        <w:rPr>
          <w:rFonts w:cs="FrankRuehl"/>
          <w:sz w:val="26"/>
          <w:szCs w:val="26"/>
          <w:rtl/>
        </w:rPr>
        <w:tab/>
        <w:t>ח</w:t>
      </w:r>
      <w:r w:rsidR="002D64F0" w:rsidRPr="002D64F0">
        <w:rPr>
          <w:rFonts w:cs="FrankRuehl" w:hint="cs"/>
          <w:sz w:val="26"/>
          <w:szCs w:val="26"/>
          <w:rtl/>
        </w:rPr>
        <w:t>יים בר-לב</w:t>
      </w:r>
    </w:p>
    <w:p w:rsidR="003E41F7" w:rsidRDefault="003E41F7">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sidR="002D64F0">
        <w:rPr>
          <w:rFonts w:cs="FrankRuehl"/>
          <w:sz w:val="22"/>
          <w:rtl/>
        </w:rPr>
        <w:tab/>
        <w:t>ש</w:t>
      </w:r>
      <w:r w:rsidR="002D64F0">
        <w:rPr>
          <w:rFonts w:cs="FrankRuehl" w:hint="cs"/>
          <w:sz w:val="22"/>
          <w:rtl/>
        </w:rPr>
        <w:t>ר המסחר והתעשיה</w:t>
      </w:r>
    </w:p>
    <w:p w:rsidR="003E41F7" w:rsidRPr="002D64F0" w:rsidRDefault="003E41F7" w:rsidP="002D64F0">
      <w:pPr>
        <w:pStyle w:val="sig-1"/>
        <w:widowControl/>
        <w:spacing w:before="72"/>
        <w:ind w:left="0" w:right="1134"/>
        <w:rPr>
          <w:rFonts w:cs="FrankRuehl" w:hint="cs"/>
          <w:sz w:val="26"/>
          <w:szCs w:val="26"/>
          <w:rtl/>
        </w:rPr>
      </w:pPr>
      <w:r w:rsidRPr="002D64F0">
        <w:rPr>
          <w:rFonts w:cs="FrankRuehl"/>
          <w:sz w:val="26"/>
          <w:szCs w:val="26"/>
          <w:rtl/>
        </w:rPr>
        <w:tab/>
        <w:t>א</w:t>
      </w:r>
      <w:r w:rsidRPr="002D64F0">
        <w:rPr>
          <w:rFonts w:cs="FrankRuehl" w:hint="cs"/>
          <w:sz w:val="26"/>
          <w:szCs w:val="26"/>
          <w:rtl/>
        </w:rPr>
        <w:t>פרים קציר</w:t>
      </w:r>
    </w:p>
    <w:p w:rsidR="003E41F7" w:rsidRDefault="003E41F7" w:rsidP="002D64F0">
      <w:pPr>
        <w:pStyle w:val="sig-1"/>
        <w:widowControl/>
        <w:ind w:left="0" w:right="1134"/>
        <w:rPr>
          <w:rFonts w:cs="FrankRuehl" w:hint="cs"/>
          <w:sz w:val="22"/>
          <w:rtl/>
        </w:rPr>
      </w:pPr>
      <w:r>
        <w:rPr>
          <w:rFonts w:cs="FrankRuehl"/>
          <w:sz w:val="22"/>
          <w:rtl/>
        </w:rPr>
        <w:tab/>
        <w:t>נ</w:t>
      </w:r>
      <w:r>
        <w:rPr>
          <w:rFonts w:cs="FrankRuehl" w:hint="cs"/>
          <w:sz w:val="22"/>
          <w:rtl/>
        </w:rPr>
        <w:t>שיא המדינה</w:t>
      </w:r>
    </w:p>
    <w:p w:rsidR="003E41F7" w:rsidRPr="002D64F0" w:rsidRDefault="003E41F7" w:rsidP="002D64F0">
      <w:pPr>
        <w:pStyle w:val="P00"/>
        <w:spacing w:before="72"/>
        <w:ind w:left="0" w:right="1134"/>
        <w:rPr>
          <w:rStyle w:val="default"/>
          <w:rFonts w:cs="FrankRuehl" w:hint="cs"/>
          <w:rtl/>
        </w:rPr>
      </w:pPr>
    </w:p>
    <w:p w:rsidR="002D64F0" w:rsidRPr="002D64F0" w:rsidRDefault="002D64F0" w:rsidP="002D64F0">
      <w:pPr>
        <w:pStyle w:val="P00"/>
        <w:spacing w:before="72"/>
        <w:ind w:left="0" w:right="1134"/>
        <w:rPr>
          <w:rStyle w:val="default"/>
          <w:rFonts w:cs="FrankRuehl" w:hint="cs"/>
          <w:rtl/>
        </w:rPr>
      </w:pPr>
    </w:p>
    <w:p w:rsidR="002D64F0" w:rsidRPr="002D64F0" w:rsidRDefault="002D64F0" w:rsidP="002D64F0">
      <w:pPr>
        <w:pStyle w:val="P00"/>
        <w:spacing w:before="72"/>
        <w:ind w:left="0" w:right="1134"/>
        <w:rPr>
          <w:rStyle w:val="default"/>
          <w:rFonts w:cs="FrankRuehl"/>
          <w:rtl/>
        </w:rPr>
      </w:pPr>
    </w:p>
    <w:sectPr w:rsidR="002D64F0" w:rsidRPr="002D64F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65B9" w:rsidRDefault="001665B9">
      <w:r>
        <w:separator/>
      </w:r>
    </w:p>
  </w:endnote>
  <w:endnote w:type="continuationSeparator" w:id="0">
    <w:p w:rsidR="001665B9" w:rsidRDefault="00166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1F7" w:rsidRDefault="003E41F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E41F7" w:rsidRDefault="003E41F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E41F7" w:rsidRDefault="003E41F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64F0">
      <w:rPr>
        <w:rFonts w:cs="TopType Jerushalmi"/>
        <w:noProof/>
        <w:color w:val="000000"/>
        <w:sz w:val="14"/>
        <w:szCs w:val="14"/>
      </w:rPr>
      <w:t>D:\Yael\hakika\Revadim</w:t>
    </w:r>
    <w:r w:rsidR="002D64F0">
      <w:rPr>
        <w:rFonts w:cs="TopType Jerushalmi"/>
        <w:noProof/>
        <w:color w:val="000000"/>
        <w:sz w:val="14"/>
        <w:szCs w:val="14"/>
        <w:rtl/>
      </w:rPr>
      <w:t>\קישורים\</w:t>
    </w:r>
    <w:r w:rsidR="002D64F0">
      <w:rPr>
        <w:rFonts w:cs="TopType Jerushalmi"/>
        <w:noProof/>
        <w:color w:val="000000"/>
        <w:sz w:val="14"/>
        <w:szCs w:val="14"/>
      </w:rPr>
      <w:t>p212mk11_001.doc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1F7" w:rsidRDefault="003E41F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42C99">
      <w:rPr>
        <w:rFonts w:hAnsi="FrankRuehl" w:cs="FrankRuehl"/>
        <w:noProof/>
        <w:sz w:val="24"/>
        <w:szCs w:val="24"/>
        <w:rtl/>
      </w:rPr>
      <w:t>2</w:t>
    </w:r>
    <w:r>
      <w:rPr>
        <w:rFonts w:hAnsi="FrankRuehl" w:cs="FrankRuehl"/>
        <w:sz w:val="24"/>
        <w:szCs w:val="24"/>
        <w:rtl/>
      </w:rPr>
      <w:fldChar w:fldCharType="end"/>
    </w:r>
  </w:p>
  <w:p w:rsidR="003E41F7" w:rsidRDefault="003E41F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E41F7" w:rsidRDefault="003E41F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64F0">
      <w:rPr>
        <w:rFonts w:cs="TopType Jerushalmi"/>
        <w:noProof/>
        <w:color w:val="000000"/>
        <w:sz w:val="14"/>
        <w:szCs w:val="14"/>
      </w:rPr>
      <w:t>D:\Yael\hakika\Revadim</w:t>
    </w:r>
    <w:r w:rsidR="002D64F0">
      <w:rPr>
        <w:rFonts w:cs="TopType Jerushalmi"/>
        <w:noProof/>
        <w:color w:val="000000"/>
        <w:sz w:val="14"/>
        <w:szCs w:val="14"/>
        <w:rtl/>
      </w:rPr>
      <w:t>\קישורים\</w:t>
    </w:r>
    <w:r w:rsidR="002D64F0">
      <w:rPr>
        <w:rFonts w:cs="TopType Jerushalmi"/>
        <w:noProof/>
        <w:color w:val="000000"/>
        <w:sz w:val="14"/>
        <w:szCs w:val="14"/>
      </w:rPr>
      <w:t>p212mk11_001.doc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65B9" w:rsidRDefault="001665B9" w:rsidP="002D64F0">
      <w:pPr>
        <w:spacing w:before="60" w:line="240" w:lineRule="auto"/>
        <w:ind w:right="1134"/>
      </w:pPr>
      <w:r>
        <w:separator/>
      </w:r>
    </w:p>
  </w:footnote>
  <w:footnote w:type="continuationSeparator" w:id="0">
    <w:p w:rsidR="001665B9" w:rsidRDefault="001665B9">
      <w:r>
        <w:continuationSeparator/>
      </w:r>
    </w:p>
  </w:footnote>
  <w:footnote w:id="1">
    <w:p w:rsidR="002D64F0" w:rsidRPr="002D64F0" w:rsidRDefault="002D64F0" w:rsidP="002D64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D64F0">
        <w:rPr>
          <w:rFonts w:cs="FrankRuehl"/>
          <w:rtl/>
        </w:rPr>
        <w:t xml:space="preserve">* </w:t>
      </w:r>
      <w:r>
        <w:rPr>
          <w:rFonts w:cs="FrankRuehl"/>
          <w:rtl/>
        </w:rPr>
        <w:t>פו</w:t>
      </w:r>
      <w:r>
        <w:rPr>
          <w:rFonts w:cs="FrankRuehl" w:hint="cs"/>
          <w:rtl/>
        </w:rPr>
        <w:t xml:space="preserve">רסם </w:t>
      </w:r>
      <w:hyperlink r:id="rId1" w:history="1">
        <w:r w:rsidRPr="00145024">
          <w:rPr>
            <w:rStyle w:val="Hyperlink"/>
            <w:rFonts w:cs="FrankRuehl" w:hint="cs"/>
            <w:rtl/>
          </w:rPr>
          <w:t>ס"ח תשל"ז מס' 852</w:t>
        </w:r>
      </w:hyperlink>
      <w:r>
        <w:rPr>
          <w:rFonts w:cs="FrankRuehl" w:hint="cs"/>
          <w:rtl/>
        </w:rPr>
        <w:t xml:space="preserve"> מיום 18.3.1977 עמ' 118 (</w:t>
      </w:r>
      <w:hyperlink r:id="rId2" w:history="1">
        <w:r w:rsidRPr="00D31450">
          <w:rPr>
            <w:rStyle w:val="Hyperlink"/>
            <w:rFonts w:cs="FrankRuehl" w:hint="cs"/>
            <w:rtl/>
          </w:rPr>
          <w:t>ה"ח תשל"ה מס' 1206</w:t>
        </w:r>
      </w:hyperlink>
      <w:r>
        <w:rPr>
          <w:rFonts w:cs="FrankRuehl" w:hint="cs"/>
          <w:rtl/>
        </w:rPr>
        <w:t xml:space="preserve"> עמ' 456).</w:t>
      </w:r>
    </w:p>
  </w:footnote>
  <w:footnote w:id="2">
    <w:p w:rsidR="006566B0" w:rsidRDefault="006566B0" w:rsidP="006566B0">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sidRPr="006566B0">
        <w:rPr>
          <w:rStyle w:val="a6"/>
          <w:rFonts w:ascii="FrankRuehl" w:hAnsi="FrankRuehl" w:cs="FrankRuehl"/>
        </w:rPr>
        <w:footnoteRef/>
      </w:r>
      <w:r w:rsidRPr="006566B0">
        <w:rPr>
          <w:rFonts w:ascii="FrankRuehl" w:hAnsi="FrankRuehl" w:cs="FrankRuehl"/>
          <w:rtl/>
        </w:rPr>
        <w:t xml:space="preserve"> </w:t>
      </w:r>
      <w:r>
        <w:rPr>
          <w:rFonts w:ascii="FrankRuehl" w:hAnsi="FrankRuehl" w:cs="FrankRuehl" w:hint="cs"/>
          <w:rtl/>
        </w:rPr>
        <w:t xml:space="preserve">ר' העברת סמכויות לשר </w:t>
      </w:r>
      <w:r w:rsidRPr="006566B0">
        <w:rPr>
          <w:rFonts w:cs="FrankRuehl" w:hint="cs"/>
          <w:rtl/>
        </w:rPr>
        <w:t>העבודה</w:t>
      </w:r>
      <w:r>
        <w:rPr>
          <w:rFonts w:ascii="FrankRuehl" w:hAnsi="FrankRuehl" w:cs="FrankRuehl" w:hint="cs"/>
          <w:rtl/>
        </w:rPr>
        <w:t xml:space="preserve">: </w:t>
      </w:r>
      <w:hyperlink r:id="rId3" w:history="1">
        <w:r>
          <w:rPr>
            <w:rStyle w:val="Hyperlink"/>
            <w:rFonts w:ascii="FrankRuehl" w:hAnsi="FrankRuehl" w:cs="FrankRuehl" w:hint="cs"/>
            <w:rtl/>
          </w:rPr>
          <w:t>י"פ תשפ"ג מס' 11103</w:t>
        </w:r>
      </w:hyperlink>
      <w:r>
        <w:rPr>
          <w:rFonts w:ascii="FrankRuehl" w:hAnsi="FrankRuehl" w:cs="FrankRuehl" w:hint="cs"/>
          <w:rtl/>
        </w:rPr>
        <w:t xml:space="preserve"> מיום 8.2.2023 עמ' 3643.</w:t>
      </w:r>
    </w:p>
  </w:footnote>
  <w:footnote w:id="3">
    <w:p w:rsidR="00942C99" w:rsidRDefault="00942C99" w:rsidP="00942C99">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sidRPr="006566B0">
        <w:rPr>
          <w:rStyle w:val="a6"/>
          <w:rFonts w:ascii="FrankRuehl" w:hAnsi="FrankRuehl" w:cs="FrankRuehl"/>
        </w:rPr>
        <w:footnoteRef/>
      </w:r>
      <w:r w:rsidRPr="006566B0">
        <w:rPr>
          <w:rFonts w:ascii="FrankRuehl" w:hAnsi="FrankRuehl" w:cs="FrankRuehl"/>
          <w:rtl/>
        </w:rPr>
        <w:t xml:space="preserve"> </w:t>
      </w:r>
      <w:r w:rsidRPr="00712B1D">
        <w:rPr>
          <w:rFonts w:cs="FrankRuehl" w:hint="cs"/>
          <w:rtl/>
        </w:rPr>
        <w:t xml:space="preserve">סמכויותיו הועברו לשר הרווחה והשירותים החברתיים: </w:t>
      </w:r>
      <w:hyperlink r:id="rId4" w:history="1">
        <w:r w:rsidRPr="00712B1D">
          <w:rPr>
            <w:rStyle w:val="Hyperlink"/>
            <w:rFonts w:cs="FrankRuehl" w:hint="cs"/>
            <w:rtl/>
          </w:rPr>
          <w:t>י"פ תשע"ז מס' 7394</w:t>
        </w:r>
      </w:hyperlink>
      <w:r w:rsidRPr="00712B1D">
        <w:rPr>
          <w:rFonts w:cs="FrankRuehl" w:hint="cs"/>
          <w:rtl/>
        </w:rPr>
        <w:t xml:space="preserve"> מיום 7.12.2016 עמ' </w:t>
      </w:r>
      <w:r>
        <w:rPr>
          <w:rFonts w:cs="FrankRuehl" w:hint="cs"/>
          <w:rtl/>
        </w:rPr>
        <w:t>1313</w:t>
      </w:r>
      <w:r w:rsidR="006566B0">
        <w:rPr>
          <w:rFonts w:ascii="FrankRuehl" w:hAnsi="FrankRuehl"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1F7" w:rsidRDefault="003E41F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רישוי בעלי מלאכה, תשל"ז–1977</w:t>
    </w:r>
  </w:p>
  <w:p w:rsidR="003E41F7" w:rsidRDefault="003E41F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E41F7" w:rsidRDefault="003E41F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1F7" w:rsidRDefault="003E41F7" w:rsidP="002D64F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רישוי בעלי מלאכה, תשל"ז</w:t>
    </w:r>
    <w:r w:rsidR="002D64F0">
      <w:rPr>
        <w:rFonts w:hAnsi="FrankRuehl" w:cs="FrankRuehl" w:hint="cs"/>
        <w:color w:val="000000"/>
        <w:sz w:val="28"/>
        <w:szCs w:val="28"/>
        <w:rtl/>
      </w:rPr>
      <w:t>-</w:t>
    </w:r>
    <w:r>
      <w:rPr>
        <w:rFonts w:hAnsi="FrankRuehl" w:cs="FrankRuehl"/>
        <w:color w:val="000000"/>
        <w:sz w:val="28"/>
        <w:szCs w:val="28"/>
        <w:rtl/>
      </w:rPr>
      <w:t>1977</w:t>
    </w:r>
  </w:p>
  <w:p w:rsidR="003E41F7" w:rsidRDefault="003E41F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E41F7" w:rsidRDefault="003E41F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6BE0"/>
    <w:rsid w:val="00145024"/>
    <w:rsid w:val="001665B9"/>
    <w:rsid w:val="001C50E8"/>
    <w:rsid w:val="002D64F0"/>
    <w:rsid w:val="003E41F7"/>
    <w:rsid w:val="005E5FE0"/>
    <w:rsid w:val="006566B0"/>
    <w:rsid w:val="00750E58"/>
    <w:rsid w:val="008D2DEF"/>
    <w:rsid w:val="00942C99"/>
    <w:rsid w:val="00B04EC8"/>
    <w:rsid w:val="00CE193D"/>
    <w:rsid w:val="00D31450"/>
    <w:rsid w:val="00D75800"/>
    <w:rsid w:val="00D8566C"/>
    <w:rsid w:val="00F46909"/>
    <w:rsid w:val="00FE2D45"/>
    <w:rsid w:val="00FE6BE0"/>
    <w:rsid w:val="00FF6E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20A1D6E0-5AAB-450F-826A-146E4359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uiPriority w:val="99"/>
    <w:rPr>
      <w:color w:val="0000FF"/>
      <w:u w:val="single"/>
    </w:rPr>
  </w:style>
  <w:style w:type="paragraph" w:styleId="a5">
    <w:name w:val="footnote text"/>
    <w:basedOn w:val="a"/>
    <w:semiHidden/>
    <w:rsid w:val="002D64F0"/>
    <w:rPr>
      <w:sz w:val="20"/>
      <w:szCs w:val="20"/>
    </w:rPr>
  </w:style>
  <w:style w:type="character" w:styleId="a6">
    <w:name w:val="footnote reference"/>
    <w:semiHidden/>
    <w:rsid w:val="002D64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html/law10/yalkut-11103.pdf" TargetMode="External"/><Relationship Id="rId2" Type="http://schemas.openxmlformats.org/officeDocument/2006/relationships/hyperlink" Target="http://www.nevo.co.il/Law_word/law17/PROP-1206.pdf" TargetMode="External"/><Relationship Id="rId1" Type="http://schemas.openxmlformats.org/officeDocument/2006/relationships/hyperlink" Target="http://www.nevo.co.il/Law_word/law14/LAW-0852.pdf" TargetMode="External"/><Relationship Id="rId4" Type="http://schemas.openxmlformats.org/officeDocument/2006/relationships/hyperlink" Target="http://www.nevo.co.il/Law_word/law10/yalkut-73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51D3C-8B47-4BD1-AFC3-989140ED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פרק /212א1</vt:lpstr>
    </vt:vector>
  </TitlesOfParts>
  <Company/>
  <LinksUpToDate>false</LinksUpToDate>
  <CharactersWithSpaces>6756</CharactersWithSpaces>
  <SharedDoc>false</SharedDoc>
  <HLinks>
    <vt:vector size="120" baseType="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7733263</vt:i4>
      </vt:variant>
      <vt:variant>
        <vt:i4>9</vt:i4>
      </vt:variant>
      <vt:variant>
        <vt:i4>0</vt:i4>
      </vt:variant>
      <vt:variant>
        <vt:i4>5</vt:i4>
      </vt:variant>
      <vt:variant>
        <vt:lpwstr>http://www.nevo.co.il/Law_word/law10/yalkut-7394.pdf</vt:lpwstr>
      </vt:variant>
      <vt:variant>
        <vt:lpwstr/>
      </vt:variant>
      <vt:variant>
        <vt:i4>7733332</vt:i4>
      </vt:variant>
      <vt:variant>
        <vt:i4>6</vt:i4>
      </vt:variant>
      <vt:variant>
        <vt:i4>0</vt:i4>
      </vt:variant>
      <vt:variant>
        <vt:i4>5</vt:i4>
      </vt:variant>
      <vt:variant>
        <vt:lpwstr>https://www.nevo.co.il/law_html/law10/yalkut-11103.pdf</vt:lpwstr>
      </vt:variant>
      <vt:variant>
        <vt:lpwstr/>
      </vt:variant>
      <vt:variant>
        <vt:i4>852092</vt:i4>
      </vt:variant>
      <vt:variant>
        <vt:i4>3</vt:i4>
      </vt:variant>
      <vt:variant>
        <vt:i4>0</vt:i4>
      </vt:variant>
      <vt:variant>
        <vt:i4>5</vt:i4>
      </vt:variant>
      <vt:variant>
        <vt:lpwstr>http://www.nevo.co.il/Law_word/law17/PROP-1206.pdf</vt:lpwstr>
      </vt:variant>
      <vt:variant>
        <vt:lpwstr/>
      </vt:variant>
      <vt:variant>
        <vt:i4>7995395</vt:i4>
      </vt:variant>
      <vt:variant>
        <vt:i4>0</vt:i4>
      </vt:variant>
      <vt:variant>
        <vt:i4>0</vt:i4>
      </vt:variant>
      <vt:variant>
        <vt:i4>5</vt:i4>
      </vt:variant>
      <vt:variant>
        <vt:lpwstr>http://www.nevo.co.il/Law_word/law14/LAW-0852.pdf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/212א1</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p212mk11</vt:lpwstr>
  </property>
  <property fmtid="{D5CDD505-2E9C-101B-9397-08002B2CF9AE}" pid="3" name="CHNAME">
    <vt:lpwstr>רישוי בעלי מלאכה</vt:lpwstr>
  </property>
  <property fmtid="{D5CDD505-2E9C-101B-9397-08002B2CF9AE}" pid="4" name="LAWNAME">
    <vt:lpwstr>חוק רישוי בעלי מלאכה, תשל"ז-1977</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רישוי</vt:lpwstr>
  </property>
  <property fmtid="{D5CDD505-2E9C-101B-9397-08002B2CF9AE}" pid="9" name="NOSE31">
    <vt:lpwstr>רישוי עסקים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רישוי</vt:lpwstr>
  </property>
  <property fmtid="{D5CDD505-2E9C-101B-9397-08002B2CF9AE}" pid="13" name="NOSE32">
    <vt:lpwstr>רישוי בעלי מקצוע</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