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08789" w14:textId="77777777" w:rsidR="00330EC7" w:rsidRDefault="00330EC7" w:rsidP="00330EC7">
      <w:pPr>
        <w:pStyle w:val="big-header"/>
        <w:ind w:left="0" w:right="1134"/>
        <w:rPr>
          <w:rStyle w:val="default"/>
          <w:rFonts w:cs="FrankRuehl" w:hint="cs"/>
          <w:rtl/>
        </w:rPr>
      </w:pPr>
      <w:r>
        <w:rPr>
          <w:rFonts w:cs="FrankRuehl"/>
          <w:sz w:val="32"/>
          <w:rtl/>
        </w:rPr>
        <w:t>חו</w:t>
      </w:r>
      <w:r>
        <w:rPr>
          <w:rFonts w:cs="FrankRuehl" w:hint="cs"/>
          <w:sz w:val="32"/>
          <w:rtl/>
        </w:rPr>
        <w:t>ק רכישת מקרקעים (אישור פעולות ופיצויים), תשי"ג-</w:t>
      </w:r>
      <w:r>
        <w:rPr>
          <w:rFonts w:cs="FrankRuehl"/>
          <w:sz w:val="32"/>
          <w:rtl/>
        </w:rPr>
        <w:t>1953</w:t>
      </w:r>
    </w:p>
    <w:p w14:paraId="3C2C8496" w14:textId="77777777" w:rsidR="00330EC7" w:rsidRDefault="00330EC7" w:rsidP="00330EC7">
      <w:pPr>
        <w:ind w:right="1134"/>
        <w:rPr>
          <w:rFonts w:cs="David"/>
          <w:sz w:val="24"/>
          <w:rtl/>
        </w:rPr>
      </w:pPr>
      <w:bookmarkStart w:id="0" w:name="LawPartStart"/>
    </w:p>
    <w:bookmarkEnd w:id="0"/>
    <w:p w14:paraId="12E744F6" w14:textId="77777777" w:rsidR="00330EC7" w:rsidRPr="00330EC7" w:rsidRDefault="00330EC7" w:rsidP="00330EC7">
      <w:pPr>
        <w:spacing w:line="320" w:lineRule="auto"/>
        <w:jc w:val="left"/>
        <w:rPr>
          <w:rStyle w:val="default"/>
          <w:rFonts w:cs="FrankRuehl"/>
          <w:rtl/>
        </w:rPr>
      </w:pPr>
    </w:p>
    <w:p w14:paraId="4D4D5C5F" w14:textId="77777777" w:rsidR="00330EC7" w:rsidRDefault="00330EC7" w:rsidP="00330EC7">
      <w:pPr>
        <w:spacing w:line="320" w:lineRule="auto"/>
        <w:jc w:val="left"/>
        <w:rPr>
          <w:rStyle w:val="default"/>
          <w:rFonts w:cs="FrankRuehl"/>
          <w:rtl/>
        </w:rPr>
      </w:pPr>
    </w:p>
    <w:p w14:paraId="2BDD7B89" w14:textId="77777777" w:rsidR="00330EC7" w:rsidRDefault="00330EC7" w:rsidP="00330EC7">
      <w:pPr>
        <w:spacing w:line="320" w:lineRule="auto"/>
        <w:jc w:val="left"/>
        <w:rPr>
          <w:rStyle w:val="default"/>
          <w:rFonts w:cs="Miriam" w:hint="cs"/>
          <w:szCs w:val="22"/>
          <w:rtl/>
        </w:rPr>
      </w:pPr>
      <w:r w:rsidRPr="00330EC7">
        <w:rPr>
          <w:rStyle w:val="default"/>
          <w:rFonts w:cs="Miriam"/>
          <w:szCs w:val="22"/>
          <w:rtl/>
        </w:rPr>
        <w:t>משפט פרטי וכלכלה</w:t>
      </w:r>
      <w:r w:rsidRPr="00330EC7">
        <w:rPr>
          <w:rStyle w:val="default"/>
          <w:rFonts w:cs="FrankRuehl"/>
          <w:rtl/>
        </w:rPr>
        <w:t xml:space="preserve"> – קניין – מקרקעין – פינוי והפקעה</w:t>
      </w:r>
    </w:p>
    <w:p w14:paraId="6AD8F422" w14:textId="77777777" w:rsidR="00330EC7" w:rsidRPr="00330EC7" w:rsidRDefault="00330EC7" w:rsidP="00330EC7">
      <w:pPr>
        <w:spacing w:line="320" w:lineRule="auto"/>
        <w:jc w:val="left"/>
        <w:rPr>
          <w:rStyle w:val="default"/>
          <w:rFonts w:cs="FrankRuehl" w:hint="cs"/>
          <w:rtl/>
        </w:rPr>
      </w:pPr>
    </w:p>
    <w:p w14:paraId="201AB37D" w14:textId="77777777" w:rsidR="00330EC7" w:rsidRDefault="00330EC7" w:rsidP="00330EC7">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622F2" w:rsidRPr="002622F2" w14:paraId="4404DB86" w14:textId="77777777">
        <w:tblPrEx>
          <w:tblCellMar>
            <w:top w:w="0" w:type="dxa"/>
            <w:bottom w:w="0" w:type="dxa"/>
          </w:tblCellMar>
        </w:tblPrEx>
        <w:tc>
          <w:tcPr>
            <w:tcW w:w="1247" w:type="dxa"/>
          </w:tcPr>
          <w:p w14:paraId="3B64950F" w14:textId="77777777" w:rsidR="002622F2" w:rsidRPr="002622F2" w:rsidRDefault="002622F2" w:rsidP="002622F2">
            <w:pPr>
              <w:spacing w:line="240" w:lineRule="auto"/>
              <w:jc w:val="left"/>
              <w:rPr>
                <w:rFonts w:cs="Frankruhel" w:hint="cs"/>
                <w:sz w:val="24"/>
                <w:rtl/>
              </w:rPr>
            </w:pPr>
            <w:r>
              <w:rPr>
                <w:sz w:val="24"/>
                <w:rtl/>
              </w:rPr>
              <w:t xml:space="preserve">סעיף 1 </w:t>
            </w:r>
          </w:p>
        </w:tc>
        <w:tc>
          <w:tcPr>
            <w:tcW w:w="5669" w:type="dxa"/>
          </w:tcPr>
          <w:p w14:paraId="1CB72157" w14:textId="77777777" w:rsidR="002622F2" w:rsidRPr="002622F2" w:rsidRDefault="002622F2" w:rsidP="002622F2">
            <w:pPr>
              <w:spacing w:line="240" w:lineRule="auto"/>
              <w:jc w:val="left"/>
              <w:rPr>
                <w:rFonts w:cs="Frankruhel" w:hint="cs"/>
                <w:sz w:val="24"/>
                <w:rtl/>
              </w:rPr>
            </w:pPr>
            <w:r>
              <w:rPr>
                <w:sz w:val="24"/>
                <w:rtl/>
              </w:rPr>
              <w:t>פירושים</w:t>
            </w:r>
          </w:p>
        </w:tc>
        <w:tc>
          <w:tcPr>
            <w:tcW w:w="567" w:type="dxa"/>
          </w:tcPr>
          <w:p w14:paraId="3886C59F" w14:textId="77777777" w:rsidR="002622F2" w:rsidRPr="002622F2" w:rsidRDefault="002622F2" w:rsidP="002622F2">
            <w:pPr>
              <w:spacing w:line="240" w:lineRule="auto"/>
              <w:jc w:val="left"/>
              <w:rPr>
                <w:rStyle w:val="Hyperlink"/>
                <w:rFonts w:hint="cs"/>
                <w:rtl/>
              </w:rPr>
            </w:pPr>
            <w:hyperlink w:anchor="Seif1" w:tooltip="פירושים" w:history="1">
              <w:r w:rsidRPr="002622F2">
                <w:rPr>
                  <w:rStyle w:val="Hyperlink"/>
                </w:rPr>
                <w:t>Go</w:t>
              </w:r>
            </w:hyperlink>
          </w:p>
        </w:tc>
        <w:tc>
          <w:tcPr>
            <w:tcW w:w="850" w:type="dxa"/>
          </w:tcPr>
          <w:p w14:paraId="25583563"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22F2" w:rsidRPr="002622F2" w14:paraId="1F57F25D" w14:textId="77777777">
        <w:tblPrEx>
          <w:tblCellMar>
            <w:top w:w="0" w:type="dxa"/>
            <w:bottom w:w="0" w:type="dxa"/>
          </w:tblCellMar>
        </w:tblPrEx>
        <w:tc>
          <w:tcPr>
            <w:tcW w:w="1247" w:type="dxa"/>
          </w:tcPr>
          <w:p w14:paraId="0966853D" w14:textId="77777777" w:rsidR="002622F2" w:rsidRPr="002622F2" w:rsidRDefault="002622F2" w:rsidP="002622F2">
            <w:pPr>
              <w:spacing w:line="240" w:lineRule="auto"/>
              <w:jc w:val="left"/>
              <w:rPr>
                <w:rFonts w:cs="Frankruhel" w:hint="cs"/>
                <w:sz w:val="24"/>
                <w:rtl/>
              </w:rPr>
            </w:pPr>
            <w:r>
              <w:rPr>
                <w:sz w:val="24"/>
                <w:rtl/>
              </w:rPr>
              <w:t xml:space="preserve">סעיף 2 </w:t>
            </w:r>
          </w:p>
        </w:tc>
        <w:tc>
          <w:tcPr>
            <w:tcW w:w="5669" w:type="dxa"/>
          </w:tcPr>
          <w:p w14:paraId="3D123BAB" w14:textId="77777777" w:rsidR="002622F2" w:rsidRPr="002622F2" w:rsidRDefault="002622F2" w:rsidP="002622F2">
            <w:pPr>
              <w:spacing w:line="240" w:lineRule="auto"/>
              <w:jc w:val="left"/>
              <w:rPr>
                <w:rFonts w:cs="Frankruhel" w:hint="cs"/>
                <w:sz w:val="24"/>
                <w:rtl/>
              </w:rPr>
            </w:pPr>
            <w:r>
              <w:rPr>
                <w:sz w:val="24"/>
                <w:rtl/>
              </w:rPr>
              <w:t>רכישת מקרקעים לצורכי פיתוח, התישבות או בטחון</w:t>
            </w:r>
          </w:p>
        </w:tc>
        <w:tc>
          <w:tcPr>
            <w:tcW w:w="567" w:type="dxa"/>
          </w:tcPr>
          <w:p w14:paraId="7F87E609" w14:textId="77777777" w:rsidR="002622F2" w:rsidRPr="002622F2" w:rsidRDefault="002622F2" w:rsidP="002622F2">
            <w:pPr>
              <w:spacing w:line="240" w:lineRule="auto"/>
              <w:jc w:val="left"/>
              <w:rPr>
                <w:rStyle w:val="Hyperlink"/>
                <w:rFonts w:hint="cs"/>
                <w:rtl/>
              </w:rPr>
            </w:pPr>
            <w:hyperlink w:anchor="Seif2" w:tooltip="רכישת מקרקעים לצורכי פיתוח, התישבות או בטחון" w:history="1">
              <w:r w:rsidRPr="002622F2">
                <w:rPr>
                  <w:rStyle w:val="Hyperlink"/>
                </w:rPr>
                <w:t>Go</w:t>
              </w:r>
            </w:hyperlink>
          </w:p>
        </w:tc>
        <w:tc>
          <w:tcPr>
            <w:tcW w:w="850" w:type="dxa"/>
          </w:tcPr>
          <w:p w14:paraId="1B90DC16"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22F2" w:rsidRPr="002622F2" w14:paraId="7AFD357B" w14:textId="77777777">
        <w:tblPrEx>
          <w:tblCellMar>
            <w:top w:w="0" w:type="dxa"/>
            <w:bottom w:w="0" w:type="dxa"/>
          </w:tblCellMar>
        </w:tblPrEx>
        <w:tc>
          <w:tcPr>
            <w:tcW w:w="1247" w:type="dxa"/>
          </w:tcPr>
          <w:p w14:paraId="0BF9A05F" w14:textId="77777777" w:rsidR="002622F2" w:rsidRPr="002622F2" w:rsidRDefault="002622F2" w:rsidP="002622F2">
            <w:pPr>
              <w:spacing w:line="240" w:lineRule="auto"/>
              <w:jc w:val="left"/>
              <w:rPr>
                <w:rFonts w:cs="Frankruhel" w:hint="cs"/>
                <w:sz w:val="24"/>
                <w:rtl/>
              </w:rPr>
            </w:pPr>
            <w:r>
              <w:rPr>
                <w:sz w:val="24"/>
                <w:rtl/>
              </w:rPr>
              <w:t xml:space="preserve">סעיף 3 </w:t>
            </w:r>
          </w:p>
        </w:tc>
        <w:tc>
          <w:tcPr>
            <w:tcW w:w="5669" w:type="dxa"/>
          </w:tcPr>
          <w:p w14:paraId="028A140A" w14:textId="77777777" w:rsidR="002622F2" w:rsidRPr="002622F2" w:rsidRDefault="002622F2" w:rsidP="002622F2">
            <w:pPr>
              <w:spacing w:line="240" w:lineRule="auto"/>
              <w:jc w:val="left"/>
              <w:rPr>
                <w:rFonts w:cs="Frankruhel" w:hint="cs"/>
                <w:sz w:val="24"/>
                <w:rtl/>
              </w:rPr>
            </w:pPr>
            <w:r>
              <w:rPr>
                <w:sz w:val="24"/>
                <w:rtl/>
              </w:rPr>
              <w:t>זכות לפיצויים</w:t>
            </w:r>
          </w:p>
        </w:tc>
        <w:tc>
          <w:tcPr>
            <w:tcW w:w="567" w:type="dxa"/>
          </w:tcPr>
          <w:p w14:paraId="062F679A" w14:textId="77777777" w:rsidR="002622F2" w:rsidRPr="002622F2" w:rsidRDefault="002622F2" w:rsidP="002622F2">
            <w:pPr>
              <w:spacing w:line="240" w:lineRule="auto"/>
              <w:jc w:val="left"/>
              <w:rPr>
                <w:rStyle w:val="Hyperlink"/>
                <w:rFonts w:hint="cs"/>
                <w:rtl/>
              </w:rPr>
            </w:pPr>
            <w:hyperlink w:anchor="Seif3" w:tooltip="זכות לפיצויים" w:history="1">
              <w:r w:rsidRPr="002622F2">
                <w:rPr>
                  <w:rStyle w:val="Hyperlink"/>
                </w:rPr>
                <w:t>Go</w:t>
              </w:r>
            </w:hyperlink>
          </w:p>
        </w:tc>
        <w:tc>
          <w:tcPr>
            <w:tcW w:w="850" w:type="dxa"/>
          </w:tcPr>
          <w:p w14:paraId="63A6399D"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22F2" w:rsidRPr="002622F2" w14:paraId="6102E6D8" w14:textId="77777777">
        <w:tblPrEx>
          <w:tblCellMar>
            <w:top w:w="0" w:type="dxa"/>
            <w:bottom w:w="0" w:type="dxa"/>
          </w:tblCellMar>
        </w:tblPrEx>
        <w:tc>
          <w:tcPr>
            <w:tcW w:w="1247" w:type="dxa"/>
          </w:tcPr>
          <w:p w14:paraId="5EF9B175" w14:textId="77777777" w:rsidR="002622F2" w:rsidRPr="002622F2" w:rsidRDefault="002622F2" w:rsidP="002622F2">
            <w:pPr>
              <w:spacing w:line="240" w:lineRule="auto"/>
              <w:jc w:val="left"/>
              <w:rPr>
                <w:rFonts w:cs="Frankruhel" w:hint="cs"/>
                <w:sz w:val="24"/>
                <w:rtl/>
              </w:rPr>
            </w:pPr>
            <w:r>
              <w:rPr>
                <w:sz w:val="24"/>
                <w:rtl/>
              </w:rPr>
              <w:t xml:space="preserve">סעיף 4 </w:t>
            </w:r>
          </w:p>
        </w:tc>
        <w:tc>
          <w:tcPr>
            <w:tcW w:w="5669" w:type="dxa"/>
          </w:tcPr>
          <w:p w14:paraId="2C19C66C" w14:textId="77777777" w:rsidR="002622F2" w:rsidRPr="002622F2" w:rsidRDefault="002622F2" w:rsidP="002622F2">
            <w:pPr>
              <w:spacing w:line="240" w:lineRule="auto"/>
              <w:jc w:val="left"/>
              <w:rPr>
                <w:rFonts w:cs="Frankruhel" w:hint="cs"/>
                <w:sz w:val="24"/>
                <w:rtl/>
              </w:rPr>
            </w:pPr>
            <w:r>
              <w:rPr>
                <w:sz w:val="24"/>
                <w:rtl/>
              </w:rPr>
              <w:t>קביעת הפיצויים על ידי בית המשפט</w:t>
            </w:r>
          </w:p>
        </w:tc>
        <w:tc>
          <w:tcPr>
            <w:tcW w:w="567" w:type="dxa"/>
          </w:tcPr>
          <w:p w14:paraId="73DDECCE" w14:textId="77777777" w:rsidR="002622F2" w:rsidRPr="002622F2" w:rsidRDefault="002622F2" w:rsidP="002622F2">
            <w:pPr>
              <w:spacing w:line="240" w:lineRule="auto"/>
              <w:jc w:val="left"/>
              <w:rPr>
                <w:rStyle w:val="Hyperlink"/>
                <w:rFonts w:hint="cs"/>
                <w:rtl/>
              </w:rPr>
            </w:pPr>
            <w:hyperlink w:anchor="Seif4" w:tooltip="קביעת הפיצויים על ידי בית המשפט" w:history="1">
              <w:r w:rsidRPr="002622F2">
                <w:rPr>
                  <w:rStyle w:val="Hyperlink"/>
                </w:rPr>
                <w:t>Go</w:t>
              </w:r>
            </w:hyperlink>
          </w:p>
        </w:tc>
        <w:tc>
          <w:tcPr>
            <w:tcW w:w="850" w:type="dxa"/>
          </w:tcPr>
          <w:p w14:paraId="23D2974B"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2622F2" w:rsidRPr="002622F2" w14:paraId="0BE70769" w14:textId="77777777">
        <w:tblPrEx>
          <w:tblCellMar>
            <w:top w:w="0" w:type="dxa"/>
            <w:bottom w:w="0" w:type="dxa"/>
          </w:tblCellMar>
        </w:tblPrEx>
        <w:tc>
          <w:tcPr>
            <w:tcW w:w="1247" w:type="dxa"/>
          </w:tcPr>
          <w:p w14:paraId="475EDB10" w14:textId="77777777" w:rsidR="002622F2" w:rsidRPr="002622F2" w:rsidRDefault="002622F2" w:rsidP="002622F2">
            <w:pPr>
              <w:spacing w:line="240" w:lineRule="auto"/>
              <w:jc w:val="left"/>
              <w:rPr>
                <w:rFonts w:cs="Frankruhel" w:hint="cs"/>
                <w:sz w:val="24"/>
                <w:rtl/>
              </w:rPr>
            </w:pPr>
            <w:r>
              <w:rPr>
                <w:sz w:val="24"/>
                <w:rtl/>
              </w:rPr>
              <w:t xml:space="preserve">סעיף 5 </w:t>
            </w:r>
          </w:p>
        </w:tc>
        <w:tc>
          <w:tcPr>
            <w:tcW w:w="5669" w:type="dxa"/>
          </w:tcPr>
          <w:p w14:paraId="1D06D28D" w14:textId="77777777" w:rsidR="002622F2" w:rsidRPr="002622F2" w:rsidRDefault="002622F2" w:rsidP="002622F2">
            <w:pPr>
              <w:spacing w:line="240" w:lineRule="auto"/>
              <w:jc w:val="left"/>
              <w:rPr>
                <w:rFonts w:cs="Frankruhel" w:hint="cs"/>
                <w:sz w:val="24"/>
                <w:rtl/>
              </w:rPr>
            </w:pPr>
            <w:r>
              <w:rPr>
                <w:sz w:val="24"/>
                <w:rtl/>
              </w:rPr>
              <w:t>כללים לקביעת הפיצויים</w:t>
            </w:r>
          </w:p>
        </w:tc>
        <w:tc>
          <w:tcPr>
            <w:tcW w:w="567" w:type="dxa"/>
          </w:tcPr>
          <w:p w14:paraId="29C8279E" w14:textId="77777777" w:rsidR="002622F2" w:rsidRPr="002622F2" w:rsidRDefault="002622F2" w:rsidP="002622F2">
            <w:pPr>
              <w:spacing w:line="240" w:lineRule="auto"/>
              <w:jc w:val="left"/>
              <w:rPr>
                <w:rStyle w:val="Hyperlink"/>
                <w:rFonts w:hint="cs"/>
                <w:rtl/>
              </w:rPr>
            </w:pPr>
            <w:hyperlink w:anchor="Seif5" w:tooltip="כללים לקביעת הפיצויים" w:history="1">
              <w:r w:rsidRPr="002622F2">
                <w:rPr>
                  <w:rStyle w:val="Hyperlink"/>
                </w:rPr>
                <w:t>Go</w:t>
              </w:r>
            </w:hyperlink>
          </w:p>
        </w:tc>
        <w:tc>
          <w:tcPr>
            <w:tcW w:w="850" w:type="dxa"/>
          </w:tcPr>
          <w:p w14:paraId="7EA49B4E"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2F2" w:rsidRPr="002622F2" w14:paraId="719D50F0" w14:textId="77777777">
        <w:tblPrEx>
          <w:tblCellMar>
            <w:top w:w="0" w:type="dxa"/>
            <w:bottom w:w="0" w:type="dxa"/>
          </w:tblCellMar>
        </w:tblPrEx>
        <w:tc>
          <w:tcPr>
            <w:tcW w:w="1247" w:type="dxa"/>
          </w:tcPr>
          <w:p w14:paraId="3913F53A" w14:textId="77777777" w:rsidR="002622F2" w:rsidRPr="002622F2" w:rsidRDefault="002622F2" w:rsidP="002622F2">
            <w:pPr>
              <w:spacing w:line="240" w:lineRule="auto"/>
              <w:jc w:val="left"/>
              <w:rPr>
                <w:rFonts w:cs="Frankruhel" w:hint="cs"/>
                <w:sz w:val="24"/>
                <w:rtl/>
              </w:rPr>
            </w:pPr>
            <w:r>
              <w:rPr>
                <w:sz w:val="24"/>
                <w:rtl/>
              </w:rPr>
              <w:t xml:space="preserve">סעיף 6 </w:t>
            </w:r>
          </w:p>
        </w:tc>
        <w:tc>
          <w:tcPr>
            <w:tcW w:w="5669" w:type="dxa"/>
          </w:tcPr>
          <w:p w14:paraId="4DB380BF" w14:textId="77777777" w:rsidR="002622F2" w:rsidRPr="002622F2" w:rsidRDefault="002622F2" w:rsidP="002622F2">
            <w:pPr>
              <w:spacing w:line="240" w:lineRule="auto"/>
              <w:jc w:val="left"/>
              <w:rPr>
                <w:rFonts w:cs="Frankruhel" w:hint="cs"/>
                <w:sz w:val="24"/>
                <w:rtl/>
              </w:rPr>
            </w:pPr>
            <w:r>
              <w:rPr>
                <w:sz w:val="24"/>
                <w:rtl/>
              </w:rPr>
              <w:t>החלטת בית המשפט בהשלשת הפיצויים</w:t>
            </w:r>
          </w:p>
        </w:tc>
        <w:tc>
          <w:tcPr>
            <w:tcW w:w="567" w:type="dxa"/>
          </w:tcPr>
          <w:p w14:paraId="7A5EEE95" w14:textId="77777777" w:rsidR="002622F2" w:rsidRPr="002622F2" w:rsidRDefault="002622F2" w:rsidP="002622F2">
            <w:pPr>
              <w:spacing w:line="240" w:lineRule="auto"/>
              <w:jc w:val="left"/>
              <w:rPr>
                <w:rStyle w:val="Hyperlink"/>
                <w:rFonts w:hint="cs"/>
                <w:rtl/>
              </w:rPr>
            </w:pPr>
            <w:hyperlink w:anchor="Seif6" w:tooltip="החלטת בית המשפט בהשלשת הפיצויים" w:history="1">
              <w:r w:rsidRPr="002622F2">
                <w:rPr>
                  <w:rStyle w:val="Hyperlink"/>
                </w:rPr>
                <w:t>Go</w:t>
              </w:r>
            </w:hyperlink>
          </w:p>
        </w:tc>
        <w:tc>
          <w:tcPr>
            <w:tcW w:w="850" w:type="dxa"/>
          </w:tcPr>
          <w:p w14:paraId="26F3CA1C"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2F2" w:rsidRPr="002622F2" w14:paraId="7D8A3A7C" w14:textId="77777777">
        <w:tblPrEx>
          <w:tblCellMar>
            <w:top w:w="0" w:type="dxa"/>
            <w:bottom w:w="0" w:type="dxa"/>
          </w:tblCellMar>
        </w:tblPrEx>
        <w:tc>
          <w:tcPr>
            <w:tcW w:w="1247" w:type="dxa"/>
          </w:tcPr>
          <w:p w14:paraId="3B36ECF1" w14:textId="77777777" w:rsidR="002622F2" w:rsidRPr="002622F2" w:rsidRDefault="002622F2" w:rsidP="002622F2">
            <w:pPr>
              <w:spacing w:line="240" w:lineRule="auto"/>
              <w:jc w:val="left"/>
              <w:rPr>
                <w:rFonts w:cs="Frankruhel" w:hint="cs"/>
                <w:sz w:val="24"/>
                <w:rtl/>
              </w:rPr>
            </w:pPr>
            <w:r>
              <w:rPr>
                <w:sz w:val="24"/>
                <w:rtl/>
              </w:rPr>
              <w:t xml:space="preserve">סעיף 7 </w:t>
            </w:r>
          </w:p>
        </w:tc>
        <w:tc>
          <w:tcPr>
            <w:tcW w:w="5669" w:type="dxa"/>
          </w:tcPr>
          <w:p w14:paraId="452CA6CD" w14:textId="77777777" w:rsidR="002622F2" w:rsidRPr="002622F2" w:rsidRDefault="002622F2" w:rsidP="002622F2">
            <w:pPr>
              <w:spacing w:line="240" w:lineRule="auto"/>
              <w:jc w:val="left"/>
              <w:rPr>
                <w:rFonts w:cs="Frankruhel" w:hint="cs"/>
                <w:sz w:val="24"/>
                <w:rtl/>
              </w:rPr>
            </w:pPr>
            <w:r>
              <w:rPr>
                <w:sz w:val="24"/>
                <w:rtl/>
              </w:rPr>
              <w:t>פטור מאחריות על שימוש בפיצויים</w:t>
            </w:r>
          </w:p>
        </w:tc>
        <w:tc>
          <w:tcPr>
            <w:tcW w:w="567" w:type="dxa"/>
          </w:tcPr>
          <w:p w14:paraId="5D07EABA" w14:textId="77777777" w:rsidR="002622F2" w:rsidRPr="002622F2" w:rsidRDefault="002622F2" w:rsidP="002622F2">
            <w:pPr>
              <w:spacing w:line="240" w:lineRule="auto"/>
              <w:jc w:val="left"/>
              <w:rPr>
                <w:rStyle w:val="Hyperlink"/>
                <w:rFonts w:hint="cs"/>
                <w:rtl/>
              </w:rPr>
            </w:pPr>
            <w:hyperlink w:anchor="Seif7" w:tooltip="פטור מאחריות על שימוש בפיצויים" w:history="1">
              <w:r w:rsidRPr="002622F2">
                <w:rPr>
                  <w:rStyle w:val="Hyperlink"/>
                </w:rPr>
                <w:t>Go</w:t>
              </w:r>
            </w:hyperlink>
          </w:p>
        </w:tc>
        <w:tc>
          <w:tcPr>
            <w:tcW w:w="850" w:type="dxa"/>
          </w:tcPr>
          <w:p w14:paraId="13C4BCC3"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2F2" w:rsidRPr="002622F2" w14:paraId="269D787C" w14:textId="77777777">
        <w:tblPrEx>
          <w:tblCellMar>
            <w:top w:w="0" w:type="dxa"/>
            <w:bottom w:w="0" w:type="dxa"/>
          </w:tblCellMar>
        </w:tblPrEx>
        <w:tc>
          <w:tcPr>
            <w:tcW w:w="1247" w:type="dxa"/>
          </w:tcPr>
          <w:p w14:paraId="3AF2A959" w14:textId="77777777" w:rsidR="002622F2" w:rsidRPr="002622F2" w:rsidRDefault="002622F2" w:rsidP="002622F2">
            <w:pPr>
              <w:spacing w:line="240" w:lineRule="auto"/>
              <w:jc w:val="left"/>
              <w:rPr>
                <w:rFonts w:cs="Frankruhel" w:hint="cs"/>
                <w:sz w:val="24"/>
                <w:rtl/>
              </w:rPr>
            </w:pPr>
            <w:r>
              <w:rPr>
                <w:sz w:val="24"/>
                <w:rtl/>
              </w:rPr>
              <w:t xml:space="preserve">סעיף 8 </w:t>
            </w:r>
          </w:p>
        </w:tc>
        <w:tc>
          <w:tcPr>
            <w:tcW w:w="5669" w:type="dxa"/>
          </w:tcPr>
          <w:p w14:paraId="0A579061" w14:textId="77777777" w:rsidR="002622F2" w:rsidRPr="002622F2" w:rsidRDefault="002622F2" w:rsidP="002622F2">
            <w:pPr>
              <w:spacing w:line="240" w:lineRule="auto"/>
              <w:jc w:val="left"/>
              <w:rPr>
                <w:rFonts w:cs="Frankruhel" w:hint="cs"/>
                <w:sz w:val="24"/>
                <w:rtl/>
              </w:rPr>
            </w:pPr>
            <w:r>
              <w:rPr>
                <w:sz w:val="24"/>
                <w:rtl/>
              </w:rPr>
              <w:t>אי תחולה</w:t>
            </w:r>
          </w:p>
        </w:tc>
        <w:tc>
          <w:tcPr>
            <w:tcW w:w="567" w:type="dxa"/>
          </w:tcPr>
          <w:p w14:paraId="5C4A92EF" w14:textId="77777777" w:rsidR="002622F2" w:rsidRPr="002622F2" w:rsidRDefault="002622F2" w:rsidP="002622F2">
            <w:pPr>
              <w:spacing w:line="240" w:lineRule="auto"/>
              <w:jc w:val="left"/>
              <w:rPr>
                <w:rStyle w:val="Hyperlink"/>
                <w:rFonts w:hint="cs"/>
                <w:rtl/>
              </w:rPr>
            </w:pPr>
            <w:hyperlink w:anchor="Seif8" w:tooltip="אי תחולה" w:history="1">
              <w:r w:rsidRPr="002622F2">
                <w:rPr>
                  <w:rStyle w:val="Hyperlink"/>
                </w:rPr>
                <w:t>Go</w:t>
              </w:r>
            </w:hyperlink>
          </w:p>
        </w:tc>
        <w:tc>
          <w:tcPr>
            <w:tcW w:w="850" w:type="dxa"/>
          </w:tcPr>
          <w:p w14:paraId="33F3AF6B"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2F2" w:rsidRPr="002622F2" w14:paraId="7181BA54" w14:textId="77777777">
        <w:tblPrEx>
          <w:tblCellMar>
            <w:top w:w="0" w:type="dxa"/>
            <w:bottom w:w="0" w:type="dxa"/>
          </w:tblCellMar>
        </w:tblPrEx>
        <w:tc>
          <w:tcPr>
            <w:tcW w:w="1247" w:type="dxa"/>
          </w:tcPr>
          <w:p w14:paraId="0223F402" w14:textId="77777777" w:rsidR="002622F2" w:rsidRPr="002622F2" w:rsidRDefault="002622F2" w:rsidP="002622F2">
            <w:pPr>
              <w:spacing w:line="240" w:lineRule="auto"/>
              <w:jc w:val="left"/>
              <w:rPr>
                <w:rFonts w:cs="Frankruhel" w:hint="cs"/>
                <w:sz w:val="24"/>
                <w:rtl/>
              </w:rPr>
            </w:pPr>
            <w:r>
              <w:rPr>
                <w:sz w:val="24"/>
                <w:rtl/>
              </w:rPr>
              <w:t xml:space="preserve">סעיף 9 </w:t>
            </w:r>
          </w:p>
        </w:tc>
        <w:tc>
          <w:tcPr>
            <w:tcW w:w="5669" w:type="dxa"/>
          </w:tcPr>
          <w:p w14:paraId="3854A4BA" w14:textId="77777777" w:rsidR="002622F2" w:rsidRPr="002622F2" w:rsidRDefault="002622F2" w:rsidP="002622F2">
            <w:pPr>
              <w:spacing w:line="240" w:lineRule="auto"/>
              <w:jc w:val="left"/>
              <w:rPr>
                <w:rFonts w:cs="Frankruhel" w:hint="cs"/>
                <w:sz w:val="24"/>
                <w:rtl/>
              </w:rPr>
            </w:pPr>
            <w:r>
              <w:rPr>
                <w:sz w:val="24"/>
                <w:rtl/>
              </w:rPr>
              <w:t>חסינות</w:t>
            </w:r>
          </w:p>
        </w:tc>
        <w:tc>
          <w:tcPr>
            <w:tcW w:w="567" w:type="dxa"/>
          </w:tcPr>
          <w:p w14:paraId="22404FA9" w14:textId="77777777" w:rsidR="002622F2" w:rsidRPr="002622F2" w:rsidRDefault="002622F2" w:rsidP="002622F2">
            <w:pPr>
              <w:spacing w:line="240" w:lineRule="auto"/>
              <w:jc w:val="left"/>
              <w:rPr>
                <w:rStyle w:val="Hyperlink"/>
                <w:rFonts w:hint="cs"/>
                <w:rtl/>
              </w:rPr>
            </w:pPr>
            <w:hyperlink w:anchor="Seif9" w:tooltip="חסינות" w:history="1">
              <w:r w:rsidRPr="002622F2">
                <w:rPr>
                  <w:rStyle w:val="Hyperlink"/>
                </w:rPr>
                <w:t>Go</w:t>
              </w:r>
            </w:hyperlink>
          </w:p>
        </w:tc>
        <w:tc>
          <w:tcPr>
            <w:tcW w:w="850" w:type="dxa"/>
          </w:tcPr>
          <w:p w14:paraId="183CD9F1"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2622F2" w:rsidRPr="002622F2" w14:paraId="6F9EF155" w14:textId="77777777">
        <w:tblPrEx>
          <w:tblCellMar>
            <w:top w:w="0" w:type="dxa"/>
            <w:bottom w:w="0" w:type="dxa"/>
          </w:tblCellMar>
        </w:tblPrEx>
        <w:tc>
          <w:tcPr>
            <w:tcW w:w="1247" w:type="dxa"/>
          </w:tcPr>
          <w:p w14:paraId="18D6292C" w14:textId="77777777" w:rsidR="002622F2" w:rsidRPr="002622F2" w:rsidRDefault="002622F2" w:rsidP="002622F2">
            <w:pPr>
              <w:spacing w:line="240" w:lineRule="auto"/>
              <w:jc w:val="left"/>
              <w:rPr>
                <w:rFonts w:cs="Frankruhel" w:hint="cs"/>
                <w:sz w:val="24"/>
                <w:rtl/>
              </w:rPr>
            </w:pPr>
            <w:r>
              <w:rPr>
                <w:sz w:val="24"/>
                <w:rtl/>
              </w:rPr>
              <w:t xml:space="preserve">סעיף 10 </w:t>
            </w:r>
          </w:p>
        </w:tc>
        <w:tc>
          <w:tcPr>
            <w:tcW w:w="5669" w:type="dxa"/>
          </w:tcPr>
          <w:p w14:paraId="6AF62BD0" w14:textId="77777777" w:rsidR="002622F2" w:rsidRPr="002622F2" w:rsidRDefault="002622F2" w:rsidP="002622F2">
            <w:pPr>
              <w:spacing w:line="240" w:lineRule="auto"/>
              <w:jc w:val="left"/>
              <w:rPr>
                <w:rFonts w:cs="Frankruhel" w:hint="cs"/>
                <w:sz w:val="24"/>
                <w:rtl/>
              </w:rPr>
            </w:pPr>
            <w:r>
              <w:rPr>
                <w:sz w:val="24"/>
                <w:rtl/>
              </w:rPr>
              <w:t>תקנות</w:t>
            </w:r>
          </w:p>
        </w:tc>
        <w:tc>
          <w:tcPr>
            <w:tcW w:w="567" w:type="dxa"/>
          </w:tcPr>
          <w:p w14:paraId="00FBB890" w14:textId="77777777" w:rsidR="002622F2" w:rsidRPr="002622F2" w:rsidRDefault="002622F2" w:rsidP="002622F2">
            <w:pPr>
              <w:spacing w:line="240" w:lineRule="auto"/>
              <w:jc w:val="left"/>
              <w:rPr>
                <w:rStyle w:val="Hyperlink"/>
                <w:rFonts w:hint="cs"/>
                <w:rtl/>
              </w:rPr>
            </w:pPr>
            <w:hyperlink w:anchor="Seif10" w:tooltip="תקנות" w:history="1">
              <w:r w:rsidRPr="002622F2">
                <w:rPr>
                  <w:rStyle w:val="Hyperlink"/>
                </w:rPr>
                <w:t>Go</w:t>
              </w:r>
            </w:hyperlink>
          </w:p>
        </w:tc>
        <w:tc>
          <w:tcPr>
            <w:tcW w:w="850" w:type="dxa"/>
          </w:tcPr>
          <w:p w14:paraId="53E4124D" w14:textId="77777777" w:rsidR="002622F2" w:rsidRPr="002622F2" w:rsidRDefault="002622F2" w:rsidP="002622F2">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14:paraId="3F9D3B9F" w14:textId="77777777" w:rsidR="00330EC7" w:rsidRPr="00330EC7" w:rsidRDefault="00330EC7" w:rsidP="00330EC7">
      <w:pPr>
        <w:pStyle w:val="big-header"/>
        <w:ind w:left="0" w:right="1134"/>
        <w:rPr>
          <w:rFonts w:cs="FrankRuehl" w:hint="cs"/>
          <w:sz w:val="32"/>
          <w:rtl/>
        </w:rPr>
      </w:pPr>
    </w:p>
    <w:p w14:paraId="0E05126A" w14:textId="77777777" w:rsidR="00697C8B" w:rsidRDefault="00330EC7" w:rsidP="00697C8B">
      <w:pPr>
        <w:pStyle w:val="big-header"/>
        <w:ind w:left="0" w:right="1134"/>
        <w:rPr>
          <w:rStyle w:val="default"/>
          <w:rFonts w:cs="FrankRuehl" w:hint="cs"/>
          <w:rtl/>
        </w:rPr>
      </w:pPr>
      <w:r>
        <w:rPr>
          <w:rFonts w:cs="FrankRuehl"/>
          <w:sz w:val="32"/>
          <w:rtl/>
        </w:rPr>
        <w:br w:type="page"/>
      </w:r>
      <w:r w:rsidR="00697C8B">
        <w:rPr>
          <w:rFonts w:cs="FrankRuehl"/>
          <w:sz w:val="32"/>
          <w:rtl/>
        </w:rPr>
        <w:lastRenderedPageBreak/>
        <w:t>חו</w:t>
      </w:r>
      <w:r w:rsidR="00697C8B">
        <w:rPr>
          <w:rFonts w:cs="FrankRuehl" w:hint="cs"/>
          <w:sz w:val="32"/>
          <w:rtl/>
        </w:rPr>
        <w:t>ק רכישת מקרקעים (אישור פעולות ופיצויים), תשי"ג-</w:t>
      </w:r>
      <w:r w:rsidR="00697C8B">
        <w:rPr>
          <w:rFonts w:cs="FrankRuehl"/>
          <w:sz w:val="32"/>
          <w:rtl/>
        </w:rPr>
        <w:t>1953</w:t>
      </w:r>
      <w:r w:rsidR="00697C8B">
        <w:rPr>
          <w:rStyle w:val="a6"/>
          <w:rFonts w:cs="FrankRuehl"/>
          <w:sz w:val="32"/>
          <w:rtl/>
        </w:rPr>
        <w:footnoteReference w:customMarkFollows="1" w:id="1"/>
        <w:t>*</w:t>
      </w:r>
    </w:p>
    <w:p w14:paraId="73A02334" w14:textId="77777777" w:rsidR="001F19C3" w:rsidRDefault="001F19C3">
      <w:pPr>
        <w:pStyle w:val="P00"/>
        <w:spacing w:before="72"/>
        <w:ind w:left="0" w:right="1134"/>
        <w:rPr>
          <w:rStyle w:val="default"/>
          <w:rFonts w:cs="FrankRuehl" w:hint="cs"/>
          <w:rtl/>
        </w:rPr>
      </w:pPr>
      <w:bookmarkStart w:id="1" w:name="Seif1"/>
      <w:bookmarkEnd w:id="1"/>
      <w:r>
        <w:rPr>
          <w:lang w:val="he-IL"/>
        </w:rPr>
        <w:pict w14:anchorId="77774D84">
          <v:rect id="_x0000_s1026" style="position:absolute;left:0;text-align:left;margin-left:464.5pt;margin-top:8.05pt;width:75.05pt;height:10.6pt;z-index:251653120" o:allowincell="f" filled="f" stroked="f" strokecolor="lime" strokeweight=".25pt">
            <v:textbox style="mso-next-textbox:#_x0000_s1026" inset="0,0,0,0">
              <w:txbxContent>
                <w:p w14:paraId="69188A03" w14:textId="77777777" w:rsidR="001F19C3" w:rsidRDefault="001F19C3">
                  <w:pPr>
                    <w:spacing w:line="160" w:lineRule="exact"/>
                    <w:jc w:val="left"/>
                    <w:rPr>
                      <w:rFonts w:cs="Miriam"/>
                      <w:noProof/>
                      <w:sz w:val="18"/>
                      <w:szCs w:val="18"/>
                      <w:rtl/>
                    </w:rPr>
                  </w:pPr>
                  <w:r>
                    <w:rPr>
                      <w:rFonts w:cs="Miriam"/>
                      <w:sz w:val="18"/>
                      <w:szCs w:val="18"/>
                      <w:rtl/>
                    </w:rPr>
                    <w:t>פי</w:t>
                  </w:r>
                  <w:r>
                    <w:rPr>
                      <w:rFonts w:cs="Miriam" w:hint="cs"/>
                      <w:sz w:val="18"/>
                      <w:szCs w:val="18"/>
                      <w:rtl/>
                    </w:rPr>
                    <w:t>רושים</w:t>
                  </w:r>
                </w:p>
              </w:txbxContent>
            </v:textbox>
            <w10:anchorlock/>
          </v:rect>
        </w:pict>
      </w:r>
      <w:r>
        <w:rPr>
          <w:rStyle w:val="big-number"/>
          <w:rFonts w:cs="Miriam"/>
          <w:rtl/>
        </w:rPr>
        <w:t>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חוק זה </w:t>
      </w:r>
      <w:r w:rsidR="003D6F3D">
        <w:rPr>
          <w:rStyle w:val="default"/>
          <w:rFonts w:cs="FrankRuehl"/>
          <w:rtl/>
        </w:rPr>
        <w:t>–</w:t>
      </w:r>
    </w:p>
    <w:p w14:paraId="617372A8"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שר" פירושו </w:t>
      </w:r>
      <w:r w:rsidR="003D6F3D">
        <w:rPr>
          <w:rStyle w:val="default"/>
          <w:rFonts w:cs="FrankRuehl" w:hint="cs"/>
          <w:rtl/>
        </w:rPr>
        <w:t>-</w:t>
      </w:r>
      <w:r>
        <w:rPr>
          <w:rStyle w:val="default"/>
          <w:rFonts w:cs="FrankRuehl"/>
          <w:rtl/>
        </w:rPr>
        <w:t xml:space="preserve"> </w:t>
      </w:r>
      <w:r>
        <w:rPr>
          <w:rStyle w:val="default"/>
          <w:rFonts w:cs="FrankRuehl" w:hint="cs"/>
          <w:rtl/>
        </w:rPr>
        <w:t>חבר הממשלה שהממשלה הסמיכה אותו לענין חוק זה בהודעה שפורסמה ברשומות</w:t>
      </w:r>
      <w:r w:rsidR="00697C8B">
        <w:rPr>
          <w:rStyle w:val="a6"/>
          <w:rFonts w:cs="FrankRuehl"/>
          <w:sz w:val="26"/>
          <w:rtl/>
        </w:rPr>
        <w:footnoteReference w:id="2"/>
      </w:r>
      <w:r>
        <w:rPr>
          <w:rStyle w:val="default"/>
          <w:rFonts w:cs="FrankRuehl"/>
          <w:rtl/>
        </w:rPr>
        <w:t>;</w:t>
      </w:r>
    </w:p>
    <w:p w14:paraId="25027F1C"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"ר</w:t>
      </w:r>
      <w:r>
        <w:rPr>
          <w:rStyle w:val="default"/>
          <w:rFonts w:cs="FrankRuehl" w:hint="cs"/>
          <w:rtl/>
        </w:rPr>
        <w:t xml:space="preserve">שות הפיתוח" פירושו </w:t>
      </w:r>
      <w:r w:rsidR="003D6F3D">
        <w:rPr>
          <w:rStyle w:val="default"/>
          <w:rFonts w:cs="FrankRuehl" w:hint="cs"/>
          <w:rtl/>
        </w:rPr>
        <w:t>-</w:t>
      </w:r>
      <w:r>
        <w:rPr>
          <w:rStyle w:val="default"/>
          <w:rFonts w:cs="FrankRuehl"/>
          <w:rtl/>
        </w:rPr>
        <w:t xml:space="preserve"> </w:t>
      </w:r>
      <w:r>
        <w:rPr>
          <w:rStyle w:val="default"/>
          <w:rFonts w:cs="FrankRuehl" w:hint="cs"/>
          <w:rtl/>
        </w:rPr>
        <w:t>רשות הפיתוח שהוקמה על פי חוק רשות פ</w:t>
      </w:r>
      <w:r>
        <w:rPr>
          <w:rStyle w:val="default"/>
          <w:rFonts w:cs="FrankRuehl"/>
          <w:rtl/>
        </w:rPr>
        <w:t>ית</w:t>
      </w:r>
      <w:r>
        <w:rPr>
          <w:rStyle w:val="default"/>
          <w:rFonts w:cs="FrankRuehl" w:hint="cs"/>
          <w:rtl/>
        </w:rPr>
        <w:t>וח (העברת נכסים), תש"י</w:t>
      </w:r>
      <w:r w:rsidR="003D6F3D">
        <w:rPr>
          <w:rStyle w:val="default"/>
          <w:rFonts w:cs="FrankRuehl" w:hint="cs"/>
          <w:rtl/>
        </w:rPr>
        <w:t>-</w:t>
      </w:r>
      <w:r>
        <w:rPr>
          <w:rStyle w:val="default"/>
          <w:rFonts w:cs="FrankRuehl"/>
          <w:rtl/>
        </w:rPr>
        <w:t>1950;</w:t>
      </w:r>
    </w:p>
    <w:p w14:paraId="6BD3141C"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פירושו </w:t>
      </w:r>
      <w:r w:rsidR="003D6F3D">
        <w:rPr>
          <w:rStyle w:val="default"/>
          <w:rFonts w:cs="FrankRuehl" w:hint="cs"/>
          <w:rtl/>
        </w:rPr>
        <w:t>-</w:t>
      </w:r>
      <w:r>
        <w:rPr>
          <w:rStyle w:val="default"/>
          <w:rFonts w:cs="FrankRuehl"/>
          <w:rtl/>
        </w:rPr>
        <w:t xml:space="preserve"> </w:t>
      </w:r>
      <w:r>
        <w:rPr>
          <w:rStyle w:val="default"/>
          <w:rFonts w:cs="FrankRuehl" w:hint="cs"/>
          <w:rtl/>
        </w:rPr>
        <w:t>מקרקעים;</w:t>
      </w:r>
    </w:p>
    <w:p w14:paraId="1BB76631"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"נ</w:t>
      </w:r>
      <w:r>
        <w:rPr>
          <w:rStyle w:val="default"/>
          <w:rFonts w:cs="FrankRuehl" w:hint="cs"/>
          <w:rtl/>
        </w:rPr>
        <w:t xml:space="preserve">כס נרכש" פירושו </w:t>
      </w:r>
      <w:r w:rsidR="003D6F3D">
        <w:rPr>
          <w:rStyle w:val="default"/>
          <w:rFonts w:cs="FrankRuehl" w:hint="cs"/>
          <w:rtl/>
        </w:rPr>
        <w:t>-</w:t>
      </w:r>
      <w:r>
        <w:rPr>
          <w:rStyle w:val="default"/>
          <w:rFonts w:cs="FrankRuehl"/>
          <w:rtl/>
        </w:rPr>
        <w:t xml:space="preserve"> </w:t>
      </w:r>
      <w:r>
        <w:rPr>
          <w:rStyle w:val="default"/>
          <w:rFonts w:cs="FrankRuehl" w:hint="cs"/>
          <w:rtl/>
        </w:rPr>
        <w:t>נכס שקם לקנין רשות הפ</w:t>
      </w:r>
      <w:r>
        <w:rPr>
          <w:rStyle w:val="default"/>
          <w:rFonts w:cs="FrankRuehl"/>
          <w:rtl/>
        </w:rPr>
        <w:t>י</w:t>
      </w:r>
      <w:r>
        <w:rPr>
          <w:rStyle w:val="default"/>
          <w:rFonts w:cs="FrankRuehl" w:hint="cs"/>
          <w:rtl/>
        </w:rPr>
        <w:t>תוח לפי סעיף 2;</w:t>
      </w:r>
    </w:p>
    <w:p w14:paraId="65D82E8E"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 xml:space="preserve">אריך הרכישה" פירושו </w:t>
      </w:r>
      <w:r w:rsidR="003D6F3D">
        <w:rPr>
          <w:rStyle w:val="default"/>
          <w:rFonts w:cs="FrankRuehl" w:hint="cs"/>
          <w:rtl/>
        </w:rPr>
        <w:t>-</w:t>
      </w:r>
      <w:r>
        <w:rPr>
          <w:rStyle w:val="default"/>
          <w:rFonts w:cs="FrankRuehl"/>
          <w:rtl/>
        </w:rPr>
        <w:t xml:space="preserve"> </w:t>
      </w:r>
      <w:r>
        <w:rPr>
          <w:rStyle w:val="default"/>
          <w:rFonts w:cs="FrankRuehl" w:hint="cs"/>
          <w:rtl/>
        </w:rPr>
        <w:t>התאריך שבו קם נכס לקנין רשות הפיתוח לפי סעיף 2;</w:t>
      </w:r>
    </w:p>
    <w:p w14:paraId="317EE5BD"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עלים'" של נכס נרכש, פירושו </w:t>
      </w:r>
      <w:r w:rsidR="003D6F3D">
        <w:rPr>
          <w:rStyle w:val="default"/>
          <w:rFonts w:cs="FrankRuehl" w:hint="cs"/>
          <w:rtl/>
        </w:rPr>
        <w:t>-</w:t>
      </w:r>
      <w:r>
        <w:rPr>
          <w:rStyle w:val="default"/>
          <w:rFonts w:cs="FrankRuehl"/>
          <w:rtl/>
        </w:rPr>
        <w:t xml:space="preserve"> </w:t>
      </w:r>
      <w:r>
        <w:rPr>
          <w:rStyle w:val="default"/>
          <w:rFonts w:cs="FrankRuehl" w:hint="cs"/>
          <w:rtl/>
        </w:rPr>
        <w:t>מי שהיו ערב תאריך הרכישה בעלי הנכס א</w:t>
      </w:r>
      <w:r>
        <w:rPr>
          <w:rStyle w:val="default"/>
          <w:rFonts w:cs="FrankRuehl"/>
          <w:rtl/>
        </w:rPr>
        <w:t xml:space="preserve">ו </w:t>
      </w:r>
      <w:r>
        <w:rPr>
          <w:rStyle w:val="default"/>
          <w:rFonts w:cs="FrankRuehl" w:hint="cs"/>
          <w:rtl/>
        </w:rPr>
        <w:t>בעלי זכות או טובת הנאה בו, לרבות מי שבא תחתיהם;</w:t>
      </w:r>
    </w:p>
    <w:p w14:paraId="6C404991"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 xml:space="preserve">ית המשפט" פירושו </w:t>
      </w:r>
      <w:r w:rsidR="003D6F3D">
        <w:rPr>
          <w:rStyle w:val="default"/>
          <w:rFonts w:cs="FrankRuehl" w:hint="cs"/>
          <w:rtl/>
        </w:rPr>
        <w:t>-</w:t>
      </w:r>
      <w:r>
        <w:rPr>
          <w:rStyle w:val="default"/>
          <w:rFonts w:cs="FrankRuehl"/>
          <w:rtl/>
        </w:rPr>
        <w:t xml:space="preserve"> </w:t>
      </w:r>
      <w:r>
        <w:rPr>
          <w:rStyle w:val="default"/>
          <w:rFonts w:cs="FrankRuehl" w:hint="cs"/>
          <w:rtl/>
        </w:rPr>
        <w:t>בית המשפט המחוזי שבתחום שי</w:t>
      </w:r>
      <w:r>
        <w:rPr>
          <w:rStyle w:val="default"/>
          <w:rFonts w:cs="FrankRuehl"/>
          <w:rtl/>
        </w:rPr>
        <w:t>פ</w:t>
      </w:r>
      <w:r>
        <w:rPr>
          <w:rStyle w:val="default"/>
          <w:rFonts w:cs="FrankRuehl" w:hint="cs"/>
          <w:rtl/>
        </w:rPr>
        <w:t>וטו נמצא נכס נרכש.</w:t>
      </w:r>
    </w:p>
    <w:p w14:paraId="79532B92"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גבי בעל זכות או טובת הנאה בנכס, יראו כל מקום בחוק זה שבו מדובר בנכס, כאילו מדובר בו באותה זכות או טובת הנאה.</w:t>
      </w:r>
    </w:p>
    <w:p w14:paraId="06BB6F76" w14:textId="77777777" w:rsidR="001F19C3" w:rsidRDefault="001F19C3">
      <w:pPr>
        <w:pStyle w:val="P00"/>
        <w:spacing w:before="72"/>
        <w:ind w:left="0" w:right="1134"/>
        <w:rPr>
          <w:rStyle w:val="default"/>
          <w:rFonts w:cs="FrankRuehl"/>
          <w:rtl/>
        </w:rPr>
      </w:pPr>
      <w:bookmarkStart w:id="2" w:name="Seif2"/>
      <w:bookmarkEnd w:id="2"/>
      <w:r>
        <w:rPr>
          <w:lang w:val="he-IL"/>
        </w:rPr>
        <w:pict w14:anchorId="36E5B475">
          <v:rect id="_x0000_s1027" style="position:absolute;left:0;text-align:left;margin-left:464.5pt;margin-top:8.05pt;width:75.05pt;height:27.5pt;z-index:251654144" o:allowincell="f" filled="f" stroked="f" strokecolor="lime" strokeweight=".25pt">
            <v:textbox inset="0,0,0,0">
              <w:txbxContent>
                <w:p w14:paraId="02AC9888" w14:textId="77777777" w:rsidR="001F19C3" w:rsidRDefault="001F19C3" w:rsidP="003D6F3D">
                  <w:pPr>
                    <w:spacing w:line="160" w:lineRule="exact"/>
                    <w:jc w:val="left"/>
                    <w:rPr>
                      <w:rFonts w:cs="Miriam"/>
                      <w:noProof/>
                      <w:sz w:val="18"/>
                      <w:szCs w:val="18"/>
                      <w:rtl/>
                    </w:rPr>
                  </w:pPr>
                  <w:r>
                    <w:rPr>
                      <w:rFonts w:cs="Miriam"/>
                      <w:sz w:val="18"/>
                      <w:szCs w:val="18"/>
                      <w:rtl/>
                    </w:rPr>
                    <w:t>רכ</w:t>
                  </w:r>
                  <w:r>
                    <w:rPr>
                      <w:rFonts w:cs="Miriam" w:hint="cs"/>
                      <w:sz w:val="18"/>
                      <w:szCs w:val="18"/>
                      <w:rtl/>
                    </w:rPr>
                    <w:t xml:space="preserve">ישת </w:t>
                  </w:r>
                  <w:r>
                    <w:rPr>
                      <w:rFonts w:cs="Miriam"/>
                      <w:sz w:val="18"/>
                      <w:szCs w:val="18"/>
                      <w:rtl/>
                    </w:rPr>
                    <w:t>מק</w:t>
                  </w:r>
                  <w:r>
                    <w:rPr>
                      <w:rFonts w:cs="Miriam" w:hint="cs"/>
                      <w:sz w:val="18"/>
                      <w:szCs w:val="18"/>
                      <w:rtl/>
                    </w:rPr>
                    <w:t>רקעים</w:t>
                  </w:r>
                  <w:r w:rsidR="003D6F3D">
                    <w:rPr>
                      <w:rFonts w:cs="Miriam" w:hint="cs"/>
                      <w:sz w:val="18"/>
                      <w:szCs w:val="18"/>
                      <w:rtl/>
                    </w:rPr>
                    <w:t xml:space="preserve"> </w:t>
                  </w:r>
                  <w:r>
                    <w:rPr>
                      <w:rFonts w:cs="Miriam"/>
                      <w:sz w:val="18"/>
                      <w:szCs w:val="18"/>
                      <w:rtl/>
                    </w:rPr>
                    <w:t>לצ</w:t>
                  </w:r>
                  <w:r>
                    <w:rPr>
                      <w:rFonts w:cs="Miriam" w:hint="cs"/>
                      <w:sz w:val="18"/>
                      <w:szCs w:val="18"/>
                      <w:rtl/>
                    </w:rPr>
                    <w:t>ורכי פיתוח,</w:t>
                  </w:r>
                  <w:r w:rsidR="003D6F3D">
                    <w:rPr>
                      <w:rFonts w:cs="Miriam" w:hint="cs"/>
                      <w:sz w:val="18"/>
                      <w:szCs w:val="18"/>
                      <w:rtl/>
                    </w:rPr>
                    <w:t xml:space="preserve"> </w:t>
                  </w:r>
                  <w:r>
                    <w:rPr>
                      <w:rFonts w:cs="Miriam"/>
                      <w:sz w:val="18"/>
                      <w:szCs w:val="18"/>
                      <w:rtl/>
                    </w:rPr>
                    <w:t>הת</w:t>
                  </w:r>
                  <w:r>
                    <w:rPr>
                      <w:rFonts w:cs="Miriam" w:hint="cs"/>
                      <w:sz w:val="18"/>
                      <w:szCs w:val="18"/>
                      <w:rtl/>
                    </w:rPr>
                    <w:t>ישבות</w:t>
                  </w:r>
                  <w:r w:rsidR="003D6F3D">
                    <w:rPr>
                      <w:rFonts w:cs="Miriam" w:hint="cs"/>
                      <w:sz w:val="18"/>
                      <w:szCs w:val="18"/>
                      <w:rtl/>
                    </w:rPr>
                    <w:t xml:space="preserve"> </w:t>
                  </w:r>
                  <w:r>
                    <w:rPr>
                      <w:rFonts w:cs="Miriam"/>
                      <w:sz w:val="18"/>
                      <w:szCs w:val="18"/>
                      <w:rtl/>
                    </w:rPr>
                    <w:t>או</w:t>
                  </w:r>
                  <w:r>
                    <w:rPr>
                      <w:rFonts w:cs="Miriam" w:hint="cs"/>
                      <w:sz w:val="18"/>
                      <w:szCs w:val="18"/>
                      <w:rtl/>
                    </w:rPr>
                    <w:t xml:space="preserve"> בטחון</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נ</w:t>
      </w:r>
      <w:r>
        <w:rPr>
          <w:rStyle w:val="default"/>
          <w:rFonts w:cs="FrankRuehl" w:hint="cs"/>
          <w:rtl/>
        </w:rPr>
        <w:t>כס שהשר העיד ע</w:t>
      </w:r>
      <w:r>
        <w:rPr>
          <w:rStyle w:val="default"/>
          <w:rFonts w:cs="FrankRuehl"/>
          <w:rtl/>
        </w:rPr>
        <w:t>לי</w:t>
      </w:r>
      <w:r>
        <w:rPr>
          <w:rStyle w:val="default"/>
          <w:rFonts w:cs="FrankRuehl" w:hint="cs"/>
          <w:rtl/>
        </w:rPr>
        <w:t>ו בתעודה חתומה בידו כי נתקיימו בו שלושה אלה:</w:t>
      </w:r>
    </w:p>
    <w:p w14:paraId="5FAFB93D" w14:textId="77777777" w:rsidR="001F19C3" w:rsidRDefault="001F19C3">
      <w:pPr>
        <w:pStyle w:val="P22"/>
        <w:spacing w:before="72"/>
        <w:ind w:left="1021" w:right="1134"/>
        <w:rPr>
          <w:rStyle w:val="default"/>
          <w:rFonts w:cs="FrankRuehl"/>
          <w:rtl/>
        </w:rPr>
      </w:pPr>
      <w:r>
        <w:rPr>
          <w:rStyle w:val="default"/>
          <w:rFonts w:cs="FrankRuehl"/>
          <w:rtl/>
        </w:rPr>
        <w:t>(1)</w:t>
      </w:r>
      <w:r>
        <w:rPr>
          <w:rStyle w:val="default"/>
          <w:rFonts w:cs="FrankRuehl"/>
          <w:rtl/>
        </w:rPr>
        <w:tab/>
        <w:t>ב</w:t>
      </w:r>
      <w:r>
        <w:rPr>
          <w:rStyle w:val="default"/>
          <w:rFonts w:cs="FrankRuehl" w:hint="cs"/>
          <w:rtl/>
        </w:rPr>
        <w:t>יום ו' בניסן תשי"ב (1 באפריל 1952) לא היה בחזקת בעליו;</w:t>
      </w:r>
    </w:p>
    <w:p w14:paraId="73623BEA" w14:textId="77777777" w:rsidR="001F19C3" w:rsidRDefault="001F19C3">
      <w:pPr>
        <w:pStyle w:val="P22"/>
        <w:spacing w:before="72"/>
        <w:ind w:left="1021" w:right="1134"/>
        <w:rPr>
          <w:rStyle w:val="default"/>
          <w:rFonts w:cs="FrankRuehl"/>
          <w:rtl/>
        </w:rPr>
      </w:pPr>
      <w:r>
        <w:rPr>
          <w:rStyle w:val="default"/>
          <w:rFonts w:cs="FrankRuehl" w:hint="cs"/>
          <w:rtl/>
        </w:rPr>
        <w:t>(2)</w:t>
      </w:r>
      <w:r>
        <w:rPr>
          <w:rStyle w:val="default"/>
          <w:rFonts w:cs="FrankRuehl"/>
          <w:rtl/>
        </w:rPr>
        <w:tab/>
        <w:t>ש</w:t>
      </w:r>
      <w:r>
        <w:rPr>
          <w:rStyle w:val="default"/>
          <w:rFonts w:cs="FrankRuehl" w:hint="cs"/>
          <w:rtl/>
        </w:rPr>
        <w:t>ימש או הוקצה בתוך התקופה שבין ה' באייר תש"ח (14 במאי 1948) ובין ו' בניסן תשי"ב (1 באפריל 1952) לצרכי פיתוח חיוניים, התישבות או בטחון;</w:t>
      </w:r>
    </w:p>
    <w:p w14:paraId="1AA16949" w14:textId="77777777" w:rsidR="001F19C3" w:rsidRDefault="001F19C3">
      <w:pPr>
        <w:pStyle w:val="P22"/>
        <w:spacing w:before="72"/>
        <w:ind w:left="1021" w:right="1134"/>
        <w:rPr>
          <w:rStyle w:val="default"/>
          <w:rFonts w:cs="FrankRuehl"/>
          <w:rtl/>
        </w:rPr>
      </w:pPr>
      <w:r>
        <w:rPr>
          <w:rStyle w:val="default"/>
          <w:rFonts w:cs="FrankRuehl" w:hint="cs"/>
          <w:rtl/>
        </w:rPr>
        <w:t>(3)</w:t>
      </w:r>
      <w:r>
        <w:rPr>
          <w:rStyle w:val="default"/>
          <w:rFonts w:cs="FrankRuehl"/>
          <w:rtl/>
        </w:rPr>
        <w:tab/>
        <w:t>ע</w:t>
      </w:r>
      <w:r>
        <w:rPr>
          <w:rStyle w:val="default"/>
          <w:rFonts w:cs="FrankRuehl" w:hint="cs"/>
          <w:rtl/>
        </w:rPr>
        <w:t xml:space="preserve">ודנו </w:t>
      </w:r>
      <w:r>
        <w:rPr>
          <w:rStyle w:val="default"/>
          <w:rFonts w:cs="FrankRuehl"/>
          <w:rtl/>
        </w:rPr>
        <w:t>דר</w:t>
      </w:r>
      <w:r>
        <w:rPr>
          <w:rStyle w:val="default"/>
          <w:rFonts w:cs="FrankRuehl" w:hint="cs"/>
          <w:rtl/>
        </w:rPr>
        <w:t>וש לאחד הצרכים האלה;</w:t>
      </w:r>
    </w:p>
    <w:p w14:paraId="3D50D0F0" w14:textId="77777777" w:rsidR="001F19C3" w:rsidRDefault="001F19C3">
      <w:pPr>
        <w:pStyle w:val="P00"/>
        <w:spacing w:before="72"/>
        <w:ind w:left="0" w:right="1134"/>
        <w:rPr>
          <w:rFonts w:cs="FrankRuehl"/>
          <w:sz w:val="26"/>
          <w:rtl/>
        </w:rPr>
      </w:pPr>
      <w:r>
        <w:rPr>
          <w:rFonts w:cs="FrankRuehl"/>
          <w:sz w:val="26"/>
          <w:rtl/>
        </w:rPr>
        <w:t>יק</w:t>
      </w:r>
      <w:r>
        <w:rPr>
          <w:rFonts w:cs="FrankRuehl" w:hint="cs"/>
          <w:sz w:val="26"/>
          <w:rtl/>
        </w:rPr>
        <w:t>ום לקנין רשות הפיתוח, ורואים אותו נקי מכל שעבוד, ורשות הפיתוח רשאית להחזיק בו מיד.</w:t>
      </w:r>
    </w:p>
    <w:p w14:paraId="606C6299"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נכס יקום לקנין רשות הפיתוח מן התאריך שיצויין בתעודה האמורה; התעודה לא תינתן אלא תוך שנה אחת מיום תחילת תקפו של חוק זה, ותפורסם ברשומות סמוך כ</w:t>
      </w:r>
      <w:r>
        <w:rPr>
          <w:rStyle w:val="default"/>
          <w:rFonts w:cs="FrankRuehl"/>
          <w:rtl/>
        </w:rPr>
        <w:t>כל</w:t>
      </w:r>
      <w:r>
        <w:rPr>
          <w:rStyle w:val="default"/>
          <w:rFonts w:cs="FrankRuehl" w:hint="cs"/>
          <w:rtl/>
        </w:rPr>
        <w:t xml:space="preserve"> האפשר ליום נתינתה.</w:t>
      </w:r>
    </w:p>
    <w:p w14:paraId="390F7880"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 xml:space="preserve">כס שהוקנה לרשות הפיתוח </w:t>
      </w:r>
      <w:r>
        <w:rPr>
          <w:rStyle w:val="default"/>
          <w:rFonts w:cs="FrankRuehl"/>
          <w:rtl/>
        </w:rPr>
        <w:t>כ</w:t>
      </w:r>
      <w:r>
        <w:rPr>
          <w:rStyle w:val="default"/>
          <w:rFonts w:cs="FrankRuehl" w:hint="cs"/>
          <w:rtl/>
        </w:rPr>
        <w:t>אמור, יירשם בספרי האחוזה בשמה; ואולם אי רישום לא יפגע בתוקף הקניית הנכס לרשות הפיתוח.</w:t>
      </w:r>
    </w:p>
    <w:p w14:paraId="218E9613"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ת</w:t>
      </w:r>
      <w:r>
        <w:rPr>
          <w:rStyle w:val="default"/>
          <w:rFonts w:cs="FrankRuehl" w:hint="cs"/>
          <w:rtl/>
        </w:rPr>
        <w:t>עודה לפי סעיף זה לא תשמש כהודאה כי נכס נרכש אינו, או לא היה, נכס המדינה, או כי למדינה אין, או לא היתה, זכות או ט</w:t>
      </w:r>
      <w:r>
        <w:rPr>
          <w:rStyle w:val="default"/>
          <w:rFonts w:cs="FrankRuehl"/>
          <w:rtl/>
        </w:rPr>
        <w:t>וב</w:t>
      </w:r>
      <w:r>
        <w:rPr>
          <w:rStyle w:val="default"/>
          <w:rFonts w:cs="FrankRuehl" w:hint="cs"/>
          <w:rtl/>
        </w:rPr>
        <w:t>ת הנאה בו.</w:t>
      </w:r>
    </w:p>
    <w:p w14:paraId="76202CFE" w14:textId="77777777" w:rsidR="001F19C3" w:rsidRDefault="001F19C3" w:rsidP="003D6F3D">
      <w:pPr>
        <w:pStyle w:val="P00"/>
        <w:spacing w:before="72"/>
        <w:ind w:left="0" w:right="1134"/>
        <w:rPr>
          <w:rStyle w:val="default"/>
          <w:rFonts w:cs="FrankRuehl"/>
          <w:rtl/>
        </w:rPr>
      </w:pPr>
      <w:bookmarkStart w:id="3" w:name="Seif3"/>
      <w:bookmarkEnd w:id="3"/>
      <w:r>
        <w:rPr>
          <w:lang w:val="he-IL"/>
        </w:rPr>
        <w:pict w14:anchorId="2548B32A">
          <v:rect id="_x0000_s1028" style="position:absolute;left:0;text-align:left;margin-left:464.5pt;margin-top:8.05pt;width:75.05pt;height:11.2pt;z-index:251655168" o:allowincell="f" filled="f" stroked="f" strokecolor="lime" strokeweight=".25pt">
            <v:textbox inset="0,0,0,0">
              <w:txbxContent>
                <w:p w14:paraId="4B485E66" w14:textId="77777777" w:rsidR="001F19C3" w:rsidRDefault="001F19C3">
                  <w:pPr>
                    <w:spacing w:line="160" w:lineRule="exact"/>
                    <w:jc w:val="left"/>
                    <w:rPr>
                      <w:rFonts w:cs="Miriam"/>
                      <w:noProof/>
                      <w:sz w:val="18"/>
                      <w:szCs w:val="18"/>
                      <w:rtl/>
                    </w:rPr>
                  </w:pPr>
                  <w:r>
                    <w:rPr>
                      <w:rFonts w:cs="Miriam"/>
                      <w:sz w:val="18"/>
                      <w:szCs w:val="18"/>
                      <w:rtl/>
                    </w:rPr>
                    <w:t>זכ</w:t>
                  </w:r>
                  <w:r>
                    <w:rPr>
                      <w:rFonts w:cs="Miriam" w:hint="cs"/>
                      <w:sz w:val="18"/>
                      <w:szCs w:val="18"/>
                      <w:rtl/>
                    </w:rPr>
                    <w:t>ות לפיצויים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עליו של נכס נ</w:t>
      </w:r>
      <w:r>
        <w:rPr>
          <w:rStyle w:val="default"/>
          <w:rFonts w:cs="FrankRuehl"/>
          <w:rtl/>
        </w:rPr>
        <w:t>ר</w:t>
      </w:r>
      <w:r>
        <w:rPr>
          <w:rStyle w:val="default"/>
          <w:rFonts w:cs="FrankRuehl" w:hint="cs"/>
          <w:rtl/>
        </w:rPr>
        <w:t xml:space="preserve">כש זכאים לפיצויים עליו מאת רשות הפיתוח. הפיצויים יינתנו בכסף, אם לא הוסכם אחרת בין הבעלים ובין רשות הפיתוח. שיעור הפיצויים ייקבע לפי הסכם בין רשות הפיתוח ובין הבעלים, ובאין הסכם </w:t>
      </w:r>
      <w:r w:rsidR="003D6F3D">
        <w:rPr>
          <w:rStyle w:val="default"/>
          <w:rFonts w:cs="FrankRuehl" w:hint="cs"/>
          <w:rtl/>
        </w:rPr>
        <w:t>-</w:t>
      </w:r>
      <w:r>
        <w:rPr>
          <w:rStyle w:val="default"/>
          <w:rFonts w:cs="FrankRuehl"/>
          <w:rtl/>
        </w:rPr>
        <w:t xml:space="preserve"> </w:t>
      </w:r>
      <w:r>
        <w:rPr>
          <w:rStyle w:val="default"/>
          <w:rFonts w:cs="FrankRuehl" w:hint="cs"/>
          <w:rtl/>
        </w:rPr>
        <w:t>על ידי בית המשפט, בהתאם לאמור להלן.</w:t>
      </w:r>
    </w:p>
    <w:p w14:paraId="4B6B0129" w14:textId="77777777" w:rsidR="001F19C3" w:rsidRDefault="001F19C3" w:rsidP="003D6F3D">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ימש הנכס הנרכש לחקלאות, והיה מקור פרנסתו העיקרי של בע</w:t>
      </w:r>
      <w:r>
        <w:rPr>
          <w:rStyle w:val="default"/>
          <w:rFonts w:cs="FrankRuehl"/>
          <w:rtl/>
        </w:rPr>
        <w:t>לו</w:t>
      </w:r>
      <w:r>
        <w:rPr>
          <w:rStyle w:val="default"/>
          <w:rFonts w:cs="FrankRuehl" w:hint="cs"/>
          <w:rtl/>
        </w:rPr>
        <w:t xml:space="preserve"> ואין לו קרקע אחרת כדי מחייתו, חי</w:t>
      </w:r>
      <w:r>
        <w:rPr>
          <w:rStyle w:val="default"/>
          <w:rFonts w:cs="FrankRuehl"/>
          <w:rtl/>
        </w:rPr>
        <w:t>י</w:t>
      </w:r>
      <w:r>
        <w:rPr>
          <w:rStyle w:val="default"/>
          <w:rFonts w:cs="FrankRuehl" w:hint="cs"/>
          <w:rtl/>
        </w:rPr>
        <w:t xml:space="preserve">בת רשות הפיתוח לפי דרישתו, להציע לו נכס אחר, בין בבעלות ובין בחכירה, כפיצויים מלאים או חלקיים, רשות מוסמכת, שתתמנה לכך על ידי השר, תקבע את סוג הנכס המוצע, מקומו, שטחו, ובמקרה של חכירה </w:t>
      </w:r>
      <w:r w:rsidR="003D6F3D">
        <w:rPr>
          <w:rStyle w:val="default"/>
          <w:rFonts w:cs="FrankRuehl" w:hint="cs"/>
          <w:rtl/>
        </w:rPr>
        <w:t>-</w:t>
      </w:r>
      <w:r>
        <w:rPr>
          <w:rStyle w:val="default"/>
          <w:rFonts w:cs="FrankRuehl"/>
          <w:rtl/>
        </w:rPr>
        <w:t xml:space="preserve"> </w:t>
      </w:r>
      <w:r>
        <w:rPr>
          <w:rStyle w:val="default"/>
          <w:rFonts w:cs="FrankRuehl" w:hint="cs"/>
          <w:rtl/>
        </w:rPr>
        <w:t>תקופת החכירה (ובלבד שלא תפחת מ-49</w:t>
      </w:r>
      <w:r>
        <w:rPr>
          <w:rStyle w:val="default"/>
          <w:rFonts w:cs="FrankRuehl"/>
          <w:rtl/>
        </w:rPr>
        <w:t xml:space="preserve"> </w:t>
      </w:r>
      <w:r>
        <w:rPr>
          <w:rStyle w:val="default"/>
          <w:rFonts w:cs="FrankRuehl" w:hint="cs"/>
          <w:rtl/>
        </w:rPr>
        <w:t>ש</w:t>
      </w:r>
      <w:r>
        <w:rPr>
          <w:rStyle w:val="default"/>
          <w:rFonts w:cs="FrankRuehl"/>
          <w:rtl/>
        </w:rPr>
        <w:t>נ</w:t>
      </w:r>
      <w:r>
        <w:rPr>
          <w:rStyle w:val="default"/>
          <w:rFonts w:cs="FrankRuehl" w:hint="cs"/>
          <w:rtl/>
        </w:rPr>
        <w:t>ה), ושווי הנכס, הן לענין חישוב הפ</w:t>
      </w:r>
      <w:r>
        <w:rPr>
          <w:rStyle w:val="default"/>
          <w:rFonts w:cs="FrankRuehl"/>
          <w:rtl/>
        </w:rPr>
        <w:t>י</w:t>
      </w:r>
      <w:r>
        <w:rPr>
          <w:rStyle w:val="default"/>
          <w:rFonts w:cs="FrankRuehl" w:hint="cs"/>
          <w:rtl/>
        </w:rPr>
        <w:t xml:space="preserve">צויים והן לענין סיפוקו כדי מחייה </w:t>
      </w:r>
      <w:r w:rsidR="003D6F3D">
        <w:rPr>
          <w:rStyle w:val="default"/>
          <w:rFonts w:cs="FrankRuehl" w:hint="cs"/>
          <w:rtl/>
        </w:rPr>
        <w:t>-</w:t>
      </w:r>
      <w:r>
        <w:rPr>
          <w:rStyle w:val="default"/>
          <w:rFonts w:cs="FrankRuehl"/>
          <w:rtl/>
        </w:rPr>
        <w:t xml:space="preserve"> </w:t>
      </w:r>
      <w:r>
        <w:rPr>
          <w:rStyle w:val="default"/>
          <w:rFonts w:cs="FrankRuehl" w:hint="cs"/>
          <w:rtl/>
        </w:rPr>
        <w:t>הכל בהתאם לכללים שייקבעו בתקנות.</w:t>
      </w:r>
    </w:p>
    <w:p w14:paraId="63186985"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וראות סעיף קטן (ב) באות להוסיף על הוראות סעיף קטן (א) ולא לגרוע מהן.</w:t>
      </w:r>
    </w:p>
    <w:p w14:paraId="3A94F52C" w14:textId="77777777" w:rsidR="001F19C3" w:rsidRDefault="001F19C3">
      <w:pPr>
        <w:pStyle w:val="P00"/>
        <w:spacing w:before="72"/>
        <w:ind w:left="0" w:right="1134"/>
        <w:rPr>
          <w:rStyle w:val="default"/>
          <w:rFonts w:cs="FrankRuehl"/>
          <w:rtl/>
        </w:rPr>
      </w:pPr>
      <w:bookmarkStart w:id="4" w:name="Seif4"/>
      <w:bookmarkEnd w:id="4"/>
      <w:r>
        <w:rPr>
          <w:lang w:val="he-IL"/>
        </w:rPr>
        <w:pict w14:anchorId="710E10BF">
          <v:rect id="_x0000_s1029" style="position:absolute;left:0;text-align:left;margin-left:464.5pt;margin-top:8.05pt;width:75.05pt;height:24pt;z-index:251656192" o:allowincell="f" filled="f" stroked="f" strokecolor="lime" strokeweight=".25pt">
            <v:textbox inset="0,0,0,0">
              <w:txbxContent>
                <w:p w14:paraId="4CFEA71D" w14:textId="77777777" w:rsidR="001F19C3" w:rsidRDefault="001F19C3" w:rsidP="003D6F3D">
                  <w:pPr>
                    <w:spacing w:line="160" w:lineRule="exact"/>
                    <w:jc w:val="left"/>
                    <w:rPr>
                      <w:rFonts w:cs="Miriam"/>
                      <w:noProof/>
                      <w:sz w:val="18"/>
                      <w:szCs w:val="18"/>
                      <w:rtl/>
                    </w:rPr>
                  </w:pPr>
                  <w:r>
                    <w:rPr>
                      <w:rFonts w:cs="Miriam"/>
                      <w:sz w:val="18"/>
                      <w:szCs w:val="18"/>
                      <w:rtl/>
                    </w:rPr>
                    <w:t>קב</w:t>
                  </w:r>
                  <w:r>
                    <w:rPr>
                      <w:rFonts w:cs="Miriam" w:hint="cs"/>
                      <w:sz w:val="18"/>
                      <w:szCs w:val="18"/>
                      <w:rtl/>
                    </w:rPr>
                    <w:t>יעת הפיצויים</w:t>
                  </w:r>
                  <w:r w:rsidR="003D6F3D">
                    <w:rPr>
                      <w:rFonts w:cs="Miriam" w:hint="cs"/>
                      <w:sz w:val="18"/>
                      <w:szCs w:val="18"/>
                      <w:rtl/>
                    </w:rPr>
                    <w:t xml:space="preserve"> </w:t>
                  </w:r>
                  <w:r>
                    <w:rPr>
                      <w:rFonts w:cs="Miriam"/>
                      <w:sz w:val="18"/>
                      <w:szCs w:val="18"/>
                      <w:rtl/>
                    </w:rPr>
                    <w:t>על</w:t>
                  </w:r>
                  <w:r>
                    <w:rPr>
                      <w:rFonts w:cs="Miriam" w:hint="cs"/>
                      <w:sz w:val="18"/>
                      <w:szCs w:val="18"/>
                      <w:rtl/>
                    </w:rPr>
                    <w:t xml:space="preserve"> ידי</w:t>
                  </w:r>
                  <w:r w:rsidR="003D6F3D">
                    <w:rPr>
                      <w:rFonts w:cs="Miriam" w:hint="cs"/>
                      <w:noProof/>
                      <w:sz w:val="18"/>
                      <w:szCs w:val="18"/>
                      <w:rtl/>
                    </w:rPr>
                    <w:t xml:space="preserve"> </w:t>
                  </w:r>
                  <w:r>
                    <w:rPr>
                      <w:rFonts w:cs="Miriam"/>
                      <w:sz w:val="18"/>
                      <w:szCs w:val="18"/>
                      <w:rtl/>
                    </w:rPr>
                    <w:t>בי</w:t>
                  </w:r>
                  <w:r>
                    <w:rPr>
                      <w:rFonts w:cs="Miriam" w:hint="cs"/>
                      <w:sz w:val="18"/>
                      <w:szCs w:val="18"/>
                      <w:rtl/>
                    </w:rPr>
                    <w:t>ת המשפט</w:t>
                  </w:r>
                </w:p>
              </w:txbxContent>
            </v:textbox>
            <w10:anchorlock/>
          </v:rect>
        </w:pict>
      </w:r>
      <w:r>
        <w:rPr>
          <w:rStyle w:val="big-number"/>
          <w:rFonts w:cs="Miriam"/>
          <w:rtl/>
        </w:rPr>
        <w:t>4.</w:t>
      </w:r>
      <w:r>
        <w:rPr>
          <w:rStyle w:val="big-number"/>
          <w:rFonts w:cs="Miriam"/>
          <w:rtl/>
        </w:rPr>
        <w:tab/>
      </w:r>
      <w:r>
        <w:rPr>
          <w:rStyle w:val="default"/>
          <w:rFonts w:cs="FrankRuehl"/>
          <w:rtl/>
        </w:rPr>
        <w:t>וא</w:t>
      </w:r>
      <w:r>
        <w:rPr>
          <w:rStyle w:val="default"/>
          <w:rFonts w:cs="FrankRuehl" w:hint="cs"/>
          <w:rtl/>
        </w:rPr>
        <w:t>לה המקרים שבהם יקבע בית המשפט, לבקשת רשות הפיתוח או לבקשת בעל הנכס הנרכ</w:t>
      </w:r>
      <w:r>
        <w:rPr>
          <w:rStyle w:val="default"/>
          <w:rFonts w:cs="FrankRuehl"/>
          <w:rtl/>
        </w:rPr>
        <w:t xml:space="preserve">ש, </w:t>
      </w:r>
      <w:r>
        <w:rPr>
          <w:rStyle w:val="default"/>
          <w:rFonts w:cs="FrankRuehl" w:hint="cs"/>
          <w:rtl/>
        </w:rPr>
        <w:t>את זכות הפיצויים ושיעורם:</w:t>
      </w:r>
    </w:p>
    <w:p w14:paraId="7F8E7B5D" w14:textId="77777777" w:rsidR="001F19C3" w:rsidRDefault="001F19C3">
      <w:pPr>
        <w:pStyle w:val="P22"/>
        <w:spacing w:before="72"/>
        <w:ind w:left="1021" w:right="1134"/>
        <w:rPr>
          <w:rStyle w:val="default"/>
          <w:rFonts w:cs="FrankRuehl"/>
          <w:rtl/>
        </w:rPr>
      </w:pPr>
      <w:r>
        <w:rPr>
          <w:rStyle w:val="default"/>
          <w:rFonts w:cs="FrankRuehl"/>
          <w:rtl/>
        </w:rPr>
        <w:lastRenderedPageBreak/>
        <w:t>(1)</w:t>
      </w:r>
      <w:r>
        <w:rPr>
          <w:rStyle w:val="default"/>
          <w:rFonts w:cs="FrankRuehl"/>
          <w:rtl/>
        </w:rPr>
        <w:tab/>
        <w:t>א</w:t>
      </w:r>
      <w:r>
        <w:rPr>
          <w:rStyle w:val="default"/>
          <w:rFonts w:cs="FrankRuehl" w:hint="cs"/>
          <w:rtl/>
        </w:rPr>
        <w:t>ין הסכם בין רשות הפיתוח ובין בעל הנכס הנרכש על מתן פיצויים או על שיעורם;</w:t>
      </w:r>
    </w:p>
    <w:p w14:paraId="181F8B95" w14:textId="77777777" w:rsidR="001F19C3" w:rsidRDefault="001F19C3">
      <w:pPr>
        <w:pStyle w:val="P22"/>
        <w:spacing w:before="72"/>
        <w:ind w:left="1021" w:right="1134"/>
        <w:rPr>
          <w:rStyle w:val="default"/>
          <w:rFonts w:cs="FrankRuehl"/>
          <w:rtl/>
        </w:rPr>
      </w:pPr>
      <w:r>
        <w:rPr>
          <w:rStyle w:val="default"/>
          <w:rFonts w:cs="FrankRuehl" w:hint="cs"/>
          <w:rtl/>
        </w:rPr>
        <w:t>(2)</w:t>
      </w:r>
      <w:r>
        <w:rPr>
          <w:rStyle w:val="default"/>
          <w:rFonts w:cs="FrankRuehl"/>
          <w:rtl/>
        </w:rPr>
        <w:tab/>
        <w:t>ב</w:t>
      </w:r>
      <w:r>
        <w:rPr>
          <w:rStyle w:val="default"/>
          <w:rFonts w:cs="FrankRuehl" w:hint="cs"/>
          <w:rtl/>
        </w:rPr>
        <w:t>על הנכס הנרכש לא הגיש תביעת פיצויים לרשות הפיתוח תוך שנה אחת מיום פרסום התעודה לפי סעיף 2;</w:t>
      </w:r>
    </w:p>
    <w:p w14:paraId="0D3AA315" w14:textId="77777777" w:rsidR="001F19C3" w:rsidRDefault="001F19C3">
      <w:pPr>
        <w:pStyle w:val="P22"/>
        <w:spacing w:before="72"/>
        <w:ind w:left="1021" w:right="1134"/>
        <w:rPr>
          <w:rStyle w:val="default"/>
          <w:rFonts w:cs="FrankRuehl"/>
          <w:rtl/>
        </w:rPr>
      </w:pPr>
      <w:r>
        <w:rPr>
          <w:rStyle w:val="default"/>
          <w:rFonts w:cs="FrankRuehl" w:hint="cs"/>
          <w:rtl/>
        </w:rPr>
        <w:t>(3)</w:t>
      </w:r>
      <w:r>
        <w:rPr>
          <w:rStyle w:val="default"/>
          <w:rFonts w:cs="FrankRuehl"/>
          <w:rtl/>
        </w:rPr>
        <w:tab/>
        <w:t>ה</w:t>
      </w:r>
      <w:r>
        <w:rPr>
          <w:rStyle w:val="default"/>
          <w:rFonts w:cs="FrankRuehl" w:hint="cs"/>
          <w:rtl/>
        </w:rPr>
        <w:t>וגשה תביעה ולא הוגשו ראיות מספיקות לחיזוקה;</w:t>
      </w:r>
    </w:p>
    <w:p w14:paraId="1D8F08D7" w14:textId="77777777" w:rsidR="001F19C3" w:rsidRDefault="001F19C3">
      <w:pPr>
        <w:pStyle w:val="P22"/>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ה</w:t>
      </w:r>
      <w:r>
        <w:rPr>
          <w:rStyle w:val="default"/>
          <w:rFonts w:cs="FrankRuehl"/>
          <w:rtl/>
        </w:rPr>
        <w:t>ו</w:t>
      </w:r>
      <w:r>
        <w:rPr>
          <w:rStyle w:val="default"/>
          <w:rFonts w:cs="FrankRuehl" w:hint="cs"/>
          <w:rtl/>
        </w:rPr>
        <w:t>גשו תביעות שונות או סותרות ביחס לנכס הנרכש.</w:t>
      </w:r>
    </w:p>
    <w:p w14:paraId="1352DA07" w14:textId="77777777" w:rsidR="001F19C3" w:rsidRDefault="001F19C3">
      <w:pPr>
        <w:pStyle w:val="P00"/>
        <w:spacing w:before="72"/>
        <w:ind w:left="0" w:right="1134"/>
        <w:rPr>
          <w:rStyle w:val="default"/>
          <w:rFonts w:cs="FrankRuehl"/>
          <w:rtl/>
        </w:rPr>
      </w:pPr>
      <w:bookmarkStart w:id="5" w:name="Seif5"/>
      <w:bookmarkEnd w:id="5"/>
      <w:r>
        <w:rPr>
          <w:lang w:val="he-IL"/>
        </w:rPr>
        <w:pict w14:anchorId="43A55BF5">
          <v:rect id="_x0000_s1030" style="position:absolute;left:0;text-align:left;margin-left:464.5pt;margin-top:8.05pt;width:75.05pt;height:18.1pt;z-index:251657216" o:allowincell="f" filled="f" stroked="f" strokecolor="lime" strokeweight=".25pt">
            <v:textbox inset="0,0,0,0">
              <w:txbxContent>
                <w:p w14:paraId="0B47A5F5" w14:textId="77777777" w:rsidR="001F19C3" w:rsidRDefault="001F19C3" w:rsidP="003D6F3D">
                  <w:pPr>
                    <w:spacing w:line="160" w:lineRule="exact"/>
                    <w:jc w:val="left"/>
                    <w:rPr>
                      <w:rFonts w:cs="Miriam"/>
                      <w:noProof/>
                      <w:sz w:val="18"/>
                      <w:szCs w:val="18"/>
                      <w:rtl/>
                    </w:rPr>
                  </w:pPr>
                  <w:r>
                    <w:rPr>
                      <w:rFonts w:cs="Miriam"/>
                      <w:sz w:val="18"/>
                      <w:szCs w:val="18"/>
                      <w:rtl/>
                    </w:rPr>
                    <w:t>כל</w:t>
                  </w:r>
                  <w:r>
                    <w:rPr>
                      <w:rFonts w:cs="Miriam" w:hint="cs"/>
                      <w:sz w:val="18"/>
                      <w:szCs w:val="18"/>
                      <w:rtl/>
                    </w:rPr>
                    <w:t>לים לקביעת</w:t>
                  </w:r>
                  <w:r w:rsidR="003D6F3D">
                    <w:rPr>
                      <w:rFonts w:cs="Miriam" w:hint="cs"/>
                      <w:sz w:val="18"/>
                      <w:szCs w:val="18"/>
                      <w:rtl/>
                    </w:rPr>
                    <w:t xml:space="preserve"> </w:t>
                  </w:r>
                  <w:r>
                    <w:rPr>
                      <w:rFonts w:cs="Miriam"/>
                      <w:sz w:val="18"/>
                      <w:szCs w:val="18"/>
                      <w:rtl/>
                    </w:rPr>
                    <w:t>הפ</w:t>
                  </w:r>
                  <w:r>
                    <w:rPr>
                      <w:rFonts w:cs="Miriam" w:hint="cs"/>
                      <w:sz w:val="18"/>
                      <w:szCs w:val="18"/>
                      <w:rtl/>
                    </w:rPr>
                    <w:t>יצויים</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קביעת שיעור הפיצויים ינהג בית המשפט לפי הכללים שבסעיף 12 לפקודת הקרקעות (רכישה לצרכי הציבור), 1943, בשינויים המחוייבים לפי הענין. ובלבד שיראו את יום י"ב בטבת תש"י (1 בינואר 1950)</w:t>
      </w:r>
      <w:r>
        <w:rPr>
          <w:rStyle w:val="default"/>
          <w:rFonts w:cs="FrankRuehl"/>
          <w:rtl/>
        </w:rPr>
        <w:t xml:space="preserve"> </w:t>
      </w:r>
      <w:r>
        <w:rPr>
          <w:rStyle w:val="default"/>
          <w:rFonts w:cs="FrankRuehl" w:hint="cs"/>
          <w:rtl/>
        </w:rPr>
        <w:t>כמועד אשר בו פורסמה הו</w:t>
      </w:r>
      <w:r>
        <w:rPr>
          <w:rStyle w:val="default"/>
          <w:rFonts w:cs="FrankRuehl"/>
          <w:rtl/>
        </w:rPr>
        <w:t>דע</w:t>
      </w:r>
      <w:r>
        <w:rPr>
          <w:rStyle w:val="default"/>
          <w:rFonts w:cs="FrankRuehl" w:hint="cs"/>
          <w:rtl/>
        </w:rPr>
        <w:t>ה על כוונת הרכישה, לצרכי הסעיף האמור.</w:t>
      </w:r>
    </w:p>
    <w:p w14:paraId="6C8301AD"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כל סכום שבית המשפט יקבע כאמור, תיווסף תוספת בשיעור של שלושה אחוזים למאה לשנה, החל מיום י"ב בטבת תש"י (1 בינואר 1950).</w:t>
      </w:r>
    </w:p>
    <w:p w14:paraId="78E44075" w14:textId="77777777" w:rsidR="001F19C3" w:rsidRDefault="001F19C3" w:rsidP="003D6F3D">
      <w:pPr>
        <w:pStyle w:val="P00"/>
        <w:spacing w:before="72"/>
        <w:ind w:left="0" w:right="1134"/>
        <w:rPr>
          <w:rStyle w:val="default"/>
          <w:rFonts w:cs="FrankRuehl"/>
          <w:rtl/>
        </w:rPr>
      </w:pPr>
      <w:bookmarkStart w:id="6" w:name="Seif6"/>
      <w:bookmarkEnd w:id="6"/>
      <w:r>
        <w:rPr>
          <w:lang w:val="he-IL"/>
        </w:rPr>
        <w:pict w14:anchorId="39C5A77C">
          <v:rect id="_x0000_s1031" style="position:absolute;left:0;text-align:left;margin-left:464.5pt;margin-top:8.05pt;width:75.05pt;height:19.15pt;z-index:251658240" o:allowincell="f" filled="f" stroked="f" strokecolor="lime" strokeweight=".25pt">
            <v:textbox inset="0,0,0,0">
              <w:txbxContent>
                <w:p w14:paraId="2CB5314C" w14:textId="77777777" w:rsidR="001F19C3" w:rsidRDefault="001F19C3" w:rsidP="003D6F3D">
                  <w:pPr>
                    <w:spacing w:line="160" w:lineRule="exact"/>
                    <w:jc w:val="left"/>
                    <w:rPr>
                      <w:rFonts w:cs="Miriam"/>
                      <w:noProof/>
                      <w:sz w:val="18"/>
                      <w:szCs w:val="18"/>
                      <w:rtl/>
                    </w:rPr>
                  </w:pPr>
                  <w:r>
                    <w:rPr>
                      <w:rFonts w:cs="Miriam"/>
                      <w:sz w:val="18"/>
                      <w:szCs w:val="18"/>
                      <w:rtl/>
                    </w:rPr>
                    <w:t>הח</w:t>
                  </w:r>
                  <w:r>
                    <w:rPr>
                      <w:rFonts w:cs="Miriam" w:hint="cs"/>
                      <w:sz w:val="18"/>
                      <w:szCs w:val="18"/>
                      <w:rtl/>
                    </w:rPr>
                    <w:t>לטת</w:t>
                  </w:r>
                  <w:r w:rsidR="003D6F3D">
                    <w:rPr>
                      <w:rFonts w:cs="Miriam" w:hint="cs"/>
                      <w:sz w:val="18"/>
                      <w:szCs w:val="18"/>
                      <w:rtl/>
                    </w:rPr>
                    <w:t xml:space="preserve"> </w:t>
                  </w:r>
                  <w:r>
                    <w:rPr>
                      <w:rFonts w:cs="Miriam"/>
                      <w:sz w:val="18"/>
                      <w:szCs w:val="18"/>
                      <w:rtl/>
                    </w:rPr>
                    <w:t>בי</w:t>
                  </w:r>
                  <w:r>
                    <w:rPr>
                      <w:rFonts w:cs="Miriam" w:hint="cs"/>
                      <w:sz w:val="18"/>
                      <w:szCs w:val="18"/>
                      <w:rtl/>
                    </w:rPr>
                    <w:t>ת המשפט</w:t>
                  </w:r>
                  <w:r w:rsidR="003D6F3D">
                    <w:rPr>
                      <w:rFonts w:cs="Miriam" w:hint="cs"/>
                      <w:sz w:val="18"/>
                      <w:szCs w:val="18"/>
                      <w:rtl/>
                    </w:rPr>
                    <w:t xml:space="preserve"> </w:t>
                  </w:r>
                  <w:r>
                    <w:rPr>
                      <w:rFonts w:cs="Miriam"/>
                      <w:sz w:val="18"/>
                      <w:szCs w:val="18"/>
                      <w:rtl/>
                    </w:rPr>
                    <w:t>בה</w:t>
                  </w:r>
                  <w:r>
                    <w:rPr>
                      <w:rFonts w:cs="Miriam" w:hint="cs"/>
                      <w:sz w:val="18"/>
                      <w:szCs w:val="18"/>
                      <w:rtl/>
                    </w:rPr>
                    <w:t>שלשת</w:t>
                  </w:r>
                  <w:r w:rsidR="003D6F3D">
                    <w:rPr>
                      <w:rFonts w:cs="Miriam" w:hint="cs"/>
                      <w:sz w:val="18"/>
                      <w:szCs w:val="18"/>
                      <w:rtl/>
                    </w:rPr>
                    <w:t xml:space="preserve"> </w:t>
                  </w:r>
                  <w:r>
                    <w:rPr>
                      <w:rFonts w:cs="Miriam"/>
                      <w:sz w:val="18"/>
                      <w:szCs w:val="18"/>
                      <w:rtl/>
                    </w:rPr>
                    <w:t>הפ</w:t>
                  </w:r>
                  <w:r>
                    <w:rPr>
                      <w:rFonts w:cs="Miriam" w:hint="cs"/>
                      <w:sz w:val="18"/>
                      <w:szCs w:val="18"/>
                      <w:rtl/>
                    </w:rPr>
                    <w:t>יצויים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 xml:space="preserve">חלטת בית המשפט </w:t>
      </w:r>
      <w:r w:rsidR="003D6F3D">
        <w:rPr>
          <w:rStyle w:val="default"/>
          <w:rFonts w:cs="FrankRuehl" w:hint="cs"/>
          <w:rtl/>
        </w:rPr>
        <w:t>-</w:t>
      </w:r>
      <w:r>
        <w:rPr>
          <w:rStyle w:val="default"/>
          <w:rFonts w:cs="FrankRuehl"/>
          <w:rtl/>
        </w:rPr>
        <w:t xml:space="preserve"> </w:t>
      </w:r>
      <w:r>
        <w:rPr>
          <w:rStyle w:val="default"/>
          <w:rFonts w:cs="FrankRuehl" w:hint="cs"/>
          <w:rtl/>
        </w:rPr>
        <w:t>ובמקרה של</w:t>
      </w:r>
      <w:r>
        <w:rPr>
          <w:rStyle w:val="default"/>
          <w:rFonts w:cs="FrankRuehl"/>
          <w:rtl/>
        </w:rPr>
        <w:t xml:space="preserve"> </w:t>
      </w:r>
      <w:r>
        <w:rPr>
          <w:rStyle w:val="default"/>
          <w:rFonts w:cs="FrankRuehl" w:hint="cs"/>
          <w:rtl/>
        </w:rPr>
        <w:t xml:space="preserve">ערעור, החלטת בית המשפט לערעורים אזרחיים </w:t>
      </w:r>
      <w:r w:rsidR="003D6F3D">
        <w:rPr>
          <w:rStyle w:val="default"/>
          <w:rFonts w:cs="FrankRuehl" w:hint="cs"/>
          <w:rtl/>
        </w:rPr>
        <w:t>-</w:t>
      </w:r>
      <w:r>
        <w:rPr>
          <w:rStyle w:val="default"/>
          <w:rFonts w:cs="FrankRuehl"/>
          <w:rtl/>
        </w:rPr>
        <w:t xml:space="preserve"> </w:t>
      </w:r>
      <w:r>
        <w:rPr>
          <w:rStyle w:val="default"/>
          <w:rFonts w:cs="FrankRuehl" w:hint="cs"/>
          <w:rtl/>
        </w:rPr>
        <w:t>תהיה סופית ביח</w:t>
      </w:r>
      <w:r>
        <w:rPr>
          <w:rStyle w:val="default"/>
          <w:rFonts w:cs="FrankRuehl"/>
          <w:rtl/>
        </w:rPr>
        <w:t xml:space="preserve">ס </w:t>
      </w:r>
      <w:r>
        <w:rPr>
          <w:rStyle w:val="default"/>
          <w:rFonts w:cs="FrankRuehl" w:hint="cs"/>
          <w:rtl/>
        </w:rPr>
        <w:t>לכל הצדדים שאליהם נשלחו הודעות על בקשה לפי סעיף 4, או שהתייצבו ותבעו פיצויים בעצמם או על ידי מיופי כוח.</w:t>
      </w:r>
    </w:p>
    <w:p w14:paraId="6789B705"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י שלא נשלחה אליו הודעה כאמור, או שלא התייצב ולא תבע כאמור, רשאי להגיש תביעה תוך שנה אחת</w:t>
      </w:r>
      <w:r>
        <w:rPr>
          <w:rStyle w:val="default"/>
          <w:rFonts w:cs="FrankRuehl"/>
          <w:rtl/>
        </w:rPr>
        <w:t xml:space="preserve"> </w:t>
      </w:r>
      <w:r>
        <w:rPr>
          <w:rStyle w:val="default"/>
          <w:rFonts w:cs="FrankRuehl" w:hint="cs"/>
          <w:rtl/>
        </w:rPr>
        <w:t>מתאריך ההחלטה הסופית.</w:t>
      </w:r>
    </w:p>
    <w:p w14:paraId="293F3806"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פ</w:t>
      </w:r>
      <w:r>
        <w:rPr>
          <w:rStyle w:val="default"/>
          <w:rFonts w:cs="FrankRuehl" w:hint="cs"/>
          <w:rtl/>
        </w:rPr>
        <w:t>סק בית המשפט פיצויים ולא הור</w:t>
      </w:r>
      <w:r>
        <w:rPr>
          <w:rStyle w:val="default"/>
          <w:rFonts w:cs="FrankRuehl"/>
          <w:rtl/>
        </w:rPr>
        <w:t xml:space="preserve">ה </w:t>
      </w:r>
      <w:r>
        <w:rPr>
          <w:rStyle w:val="default"/>
          <w:rFonts w:cs="FrankRuehl" w:hint="cs"/>
          <w:rtl/>
        </w:rPr>
        <w:t>על דרך תשלומם, יושלשו הפיצויים בבית המשפט, ובית המשפט לא ישלמם אלא כעבור שנה אחת מתאריך ההחלטה הסופית, או תקופה קצרה יותר, כפי שיחליט, ולאחר שתוגש אליו בקשה על כך מאת אדם התובע את הפיצויים, והפיצויים ישולמו כפי שיורה בית המשפט.</w:t>
      </w:r>
    </w:p>
    <w:p w14:paraId="795505A8"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שלשת הפיצויים בבית ה</w:t>
      </w:r>
      <w:r>
        <w:rPr>
          <w:rStyle w:val="default"/>
          <w:rFonts w:cs="FrankRuehl"/>
          <w:rtl/>
        </w:rPr>
        <w:t>מש</w:t>
      </w:r>
      <w:r>
        <w:rPr>
          <w:rStyle w:val="default"/>
          <w:rFonts w:cs="FrankRuehl" w:hint="cs"/>
          <w:rtl/>
        </w:rPr>
        <w:t>פט כוחה יפה כסילוק מלא והיא פוטרת את רשות הפיתוח מאחריות לכל תביעה ביחס לנכס, אם בית המשפט לא ציווה אחרת על פי תביעה לפי סעיף קטן (ב).</w:t>
      </w:r>
    </w:p>
    <w:p w14:paraId="4DC7092C" w14:textId="77777777" w:rsidR="001F19C3" w:rsidRDefault="001F19C3">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w:t>
      </w:r>
      <w:r>
        <w:rPr>
          <w:rStyle w:val="default"/>
          <w:rFonts w:cs="FrankRuehl"/>
          <w:rtl/>
        </w:rPr>
        <w:tab/>
        <w:t>א</w:t>
      </w:r>
      <w:r>
        <w:rPr>
          <w:rStyle w:val="default"/>
          <w:rFonts w:cs="FrankRuehl" w:hint="cs"/>
          <w:rtl/>
        </w:rPr>
        <w:t>דם הטוען לפיצויים שהושלשו בבית המשפט ושלא שולמו, כולם או</w:t>
      </w:r>
      <w:r>
        <w:rPr>
          <w:rStyle w:val="default"/>
          <w:rFonts w:cs="FrankRuehl"/>
          <w:rtl/>
        </w:rPr>
        <w:t xml:space="preserve"> </w:t>
      </w:r>
      <w:r>
        <w:rPr>
          <w:rStyle w:val="default"/>
          <w:rFonts w:cs="FrankRuehl" w:hint="cs"/>
          <w:rtl/>
        </w:rPr>
        <w:t>מקצתם, רשאי, תוך שלוש שנים מתאריך ההחלטה הסופית, לבקש מא</w:t>
      </w:r>
      <w:r>
        <w:rPr>
          <w:rStyle w:val="default"/>
          <w:rFonts w:cs="FrankRuehl"/>
          <w:rtl/>
        </w:rPr>
        <w:t xml:space="preserve">ת </w:t>
      </w:r>
      <w:r>
        <w:rPr>
          <w:rStyle w:val="default"/>
          <w:rFonts w:cs="FrankRuehl" w:hint="cs"/>
          <w:rtl/>
        </w:rPr>
        <w:t>בית המשפט תשלום אותם הפיצויים, כולם או מקצתם. כן יהיה כל אדם הטוען שזכותו עדיפה לקבלת הפיצויים, כולם או מקצתם, רשאי להגיש תביעה נגד האדם שהפיצויים שולמו לו.</w:t>
      </w:r>
    </w:p>
    <w:p w14:paraId="67B7C2A9" w14:textId="77777777" w:rsidR="001F19C3" w:rsidRDefault="001F19C3">
      <w:pPr>
        <w:pStyle w:val="P00"/>
        <w:spacing w:before="72"/>
        <w:ind w:left="0" w:right="1134"/>
        <w:rPr>
          <w:rStyle w:val="default"/>
          <w:rFonts w:cs="FrankRuehl"/>
          <w:rtl/>
        </w:rPr>
      </w:pPr>
      <w:bookmarkStart w:id="7" w:name="Seif7"/>
      <w:bookmarkEnd w:id="7"/>
      <w:r>
        <w:rPr>
          <w:lang w:val="he-IL"/>
        </w:rPr>
        <w:pict w14:anchorId="6EB725F2">
          <v:rect id="_x0000_s1032" style="position:absolute;left:0;text-align:left;margin-left:464.5pt;margin-top:8.05pt;width:75.05pt;height:24pt;z-index:251659264" o:allowincell="f" filled="f" stroked="f" strokecolor="lime" strokeweight=".25pt">
            <v:textbox inset="0,0,0,0">
              <w:txbxContent>
                <w:p w14:paraId="781D69F5" w14:textId="77777777" w:rsidR="001F19C3" w:rsidRDefault="001F19C3" w:rsidP="003D6F3D">
                  <w:pPr>
                    <w:spacing w:line="160" w:lineRule="exact"/>
                    <w:jc w:val="left"/>
                    <w:rPr>
                      <w:rFonts w:cs="Miriam"/>
                      <w:noProof/>
                      <w:sz w:val="18"/>
                      <w:szCs w:val="18"/>
                      <w:rtl/>
                    </w:rPr>
                  </w:pPr>
                  <w:r>
                    <w:rPr>
                      <w:rFonts w:cs="Miriam"/>
                      <w:sz w:val="18"/>
                      <w:szCs w:val="18"/>
                      <w:rtl/>
                    </w:rPr>
                    <w:t>פט</w:t>
                  </w:r>
                  <w:r>
                    <w:rPr>
                      <w:rFonts w:cs="Miriam" w:hint="cs"/>
                      <w:sz w:val="18"/>
                      <w:szCs w:val="18"/>
                      <w:rtl/>
                    </w:rPr>
                    <w:t>ור מאחריות</w:t>
                  </w:r>
                  <w:r w:rsidR="003D6F3D">
                    <w:rPr>
                      <w:rFonts w:cs="Miriam" w:hint="cs"/>
                      <w:sz w:val="18"/>
                      <w:szCs w:val="18"/>
                      <w:rtl/>
                    </w:rPr>
                    <w:t xml:space="preserve"> </w:t>
                  </w:r>
                  <w:r>
                    <w:rPr>
                      <w:rFonts w:cs="Miriam"/>
                      <w:sz w:val="18"/>
                      <w:szCs w:val="18"/>
                      <w:rtl/>
                    </w:rPr>
                    <w:t>על</w:t>
                  </w:r>
                  <w:r>
                    <w:rPr>
                      <w:rFonts w:cs="Miriam" w:hint="cs"/>
                      <w:sz w:val="18"/>
                      <w:szCs w:val="18"/>
                      <w:rtl/>
                    </w:rPr>
                    <w:t xml:space="preserve"> שימוש</w:t>
                  </w:r>
                  <w:r w:rsidR="003D6F3D">
                    <w:rPr>
                      <w:rFonts w:cs="Miriam" w:hint="cs"/>
                      <w:noProof/>
                      <w:sz w:val="18"/>
                      <w:szCs w:val="18"/>
                      <w:rtl/>
                    </w:rPr>
                    <w:t xml:space="preserve"> </w:t>
                  </w:r>
                  <w:r>
                    <w:rPr>
                      <w:rFonts w:cs="Miriam"/>
                      <w:sz w:val="18"/>
                      <w:szCs w:val="18"/>
                      <w:rtl/>
                    </w:rPr>
                    <w:t>בפ</w:t>
                  </w:r>
                  <w:r>
                    <w:rPr>
                      <w:rFonts w:cs="Miriam" w:hint="cs"/>
                      <w:sz w:val="18"/>
                      <w:szCs w:val="18"/>
                      <w:rtl/>
                    </w:rPr>
                    <w:t>יצויים</w:t>
                  </w:r>
                </w:p>
              </w:txbxContent>
            </v:textbox>
            <w10:anchorlock/>
          </v:rect>
        </w:pict>
      </w:r>
      <w:r>
        <w:rPr>
          <w:rStyle w:val="big-number"/>
          <w:rFonts w:cs="Miriam"/>
          <w:rtl/>
        </w:rPr>
        <w:t>7.</w:t>
      </w:r>
      <w:r>
        <w:rPr>
          <w:rStyle w:val="big-number"/>
          <w:rFonts w:cs="Miriam"/>
          <w:rtl/>
        </w:rPr>
        <w:tab/>
      </w:r>
      <w:r>
        <w:rPr>
          <w:rStyle w:val="default"/>
          <w:rFonts w:cs="FrankRuehl"/>
          <w:rtl/>
        </w:rPr>
        <w:t>מת</w:t>
      </w:r>
      <w:r>
        <w:rPr>
          <w:rStyle w:val="default"/>
          <w:rFonts w:cs="FrankRuehl" w:hint="cs"/>
          <w:rtl/>
        </w:rPr>
        <w:t>ן פיצויים, בין בכסף ובין במקרקעים, בין לפי הסכם ובין לפי החלטת ב</w:t>
      </w:r>
      <w:r>
        <w:rPr>
          <w:rStyle w:val="default"/>
          <w:rFonts w:cs="FrankRuehl"/>
          <w:rtl/>
        </w:rPr>
        <w:t>ית</w:t>
      </w:r>
      <w:r>
        <w:rPr>
          <w:rStyle w:val="default"/>
          <w:rFonts w:cs="FrankRuehl" w:hint="cs"/>
          <w:rtl/>
        </w:rPr>
        <w:t xml:space="preserve"> המשפט, או השלשתם לפי סעיף 6, פוטרים את רשות הפיתוח מכל אחריות על אופן השימוש באותם פיצויים או השימוש בהם לרעה.</w:t>
      </w:r>
    </w:p>
    <w:p w14:paraId="0FB3B9E5" w14:textId="77777777" w:rsidR="001F19C3" w:rsidRDefault="001F19C3" w:rsidP="003D6F3D">
      <w:pPr>
        <w:pStyle w:val="P00"/>
        <w:spacing w:before="72"/>
        <w:ind w:left="0" w:right="1134"/>
        <w:rPr>
          <w:rStyle w:val="default"/>
          <w:rFonts w:cs="FrankRuehl"/>
          <w:rtl/>
        </w:rPr>
      </w:pPr>
      <w:bookmarkStart w:id="8" w:name="Seif8"/>
      <w:bookmarkEnd w:id="8"/>
      <w:r>
        <w:rPr>
          <w:lang w:val="he-IL"/>
        </w:rPr>
        <w:pict w14:anchorId="0337B652">
          <v:rect id="_x0000_s1033" style="position:absolute;left:0;text-align:left;margin-left:464.5pt;margin-top:8.05pt;width:75.05pt;height:10.8pt;z-index:251660288" o:allowincell="f" filled="f" stroked="f" strokecolor="lime" strokeweight=".25pt">
            <v:textbox inset="0,0,0,0">
              <w:txbxContent>
                <w:p w14:paraId="39F90E48" w14:textId="77777777" w:rsidR="001F19C3" w:rsidRDefault="001F19C3">
                  <w:pPr>
                    <w:spacing w:line="160" w:lineRule="exact"/>
                    <w:jc w:val="left"/>
                    <w:rPr>
                      <w:rFonts w:cs="Miriam"/>
                      <w:noProof/>
                      <w:sz w:val="18"/>
                      <w:szCs w:val="18"/>
                      <w:rtl/>
                    </w:rPr>
                  </w:pPr>
                  <w:r>
                    <w:rPr>
                      <w:rFonts w:cs="Miriam"/>
                      <w:sz w:val="18"/>
                      <w:szCs w:val="18"/>
                      <w:rtl/>
                    </w:rPr>
                    <w:t>אי</w:t>
                  </w:r>
                  <w:r>
                    <w:rPr>
                      <w:rFonts w:cs="Miriam" w:hint="cs"/>
                      <w:sz w:val="18"/>
                      <w:szCs w:val="18"/>
                      <w:rtl/>
                    </w:rPr>
                    <w:t>-תחולה</w:t>
                  </w:r>
                </w:p>
              </w:txbxContent>
            </v:textbox>
            <w10:anchorlock/>
          </v:rect>
        </w:pict>
      </w:r>
      <w:r>
        <w:rPr>
          <w:rStyle w:val="big-number"/>
          <w:rFonts w:cs="Miriam"/>
          <w:rtl/>
        </w:rPr>
        <w:t>8.</w:t>
      </w:r>
      <w:r>
        <w:rPr>
          <w:rStyle w:val="big-number"/>
          <w:rFonts w:cs="Miriam"/>
          <w:rtl/>
        </w:rPr>
        <w:tab/>
      </w:r>
      <w:r>
        <w:rPr>
          <w:rStyle w:val="default"/>
          <w:rFonts w:cs="FrankRuehl"/>
          <w:rtl/>
        </w:rPr>
        <w:t>סע</w:t>
      </w:r>
      <w:r>
        <w:rPr>
          <w:rStyle w:val="default"/>
          <w:rFonts w:cs="FrankRuehl" w:hint="cs"/>
          <w:rtl/>
        </w:rPr>
        <w:t>יף 3(4)(א) לחוק רשות פיתוח (העברת נ</w:t>
      </w:r>
      <w:r>
        <w:rPr>
          <w:rStyle w:val="default"/>
          <w:rFonts w:cs="FrankRuehl"/>
          <w:rtl/>
        </w:rPr>
        <w:t>כ</w:t>
      </w:r>
      <w:r>
        <w:rPr>
          <w:rStyle w:val="default"/>
          <w:rFonts w:cs="FrankRuehl" w:hint="cs"/>
          <w:rtl/>
        </w:rPr>
        <w:t>סים), תש"י</w:t>
      </w:r>
      <w:r w:rsidR="003D6F3D">
        <w:rPr>
          <w:rStyle w:val="default"/>
          <w:rFonts w:cs="FrankRuehl" w:hint="cs"/>
          <w:rtl/>
        </w:rPr>
        <w:t>-</w:t>
      </w:r>
      <w:r>
        <w:rPr>
          <w:rStyle w:val="default"/>
          <w:rFonts w:cs="FrankRuehl"/>
          <w:rtl/>
        </w:rPr>
        <w:t xml:space="preserve">1950, </w:t>
      </w:r>
      <w:r>
        <w:rPr>
          <w:rStyle w:val="default"/>
          <w:rFonts w:cs="FrankRuehl" w:hint="cs"/>
          <w:rtl/>
        </w:rPr>
        <w:t>לא יחול על נכס מנכסי רשות הפיתוח שהוצע או שניתן לבעלו של נכס נרכש כפיצויים מלאים או</w:t>
      </w:r>
      <w:r>
        <w:rPr>
          <w:rStyle w:val="default"/>
          <w:rFonts w:cs="FrankRuehl"/>
          <w:rtl/>
        </w:rPr>
        <w:t xml:space="preserve"> ח</w:t>
      </w:r>
      <w:r>
        <w:rPr>
          <w:rStyle w:val="default"/>
          <w:rFonts w:cs="FrankRuehl" w:hint="cs"/>
          <w:rtl/>
        </w:rPr>
        <w:t>לקיים בעד הנכס הנרכש.</w:t>
      </w:r>
    </w:p>
    <w:p w14:paraId="7CEF3A43" w14:textId="77777777" w:rsidR="001F19C3" w:rsidRDefault="001F19C3">
      <w:pPr>
        <w:pStyle w:val="P00"/>
        <w:spacing w:before="72"/>
        <w:ind w:left="0" w:right="1134"/>
        <w:rPr>
          <w:rStyle w:val="default"/>
          <w:rFonts w:cs="FrankRuehl"/>
          <w:rtl/>
        </w:rPr>
      </w:pPr>
      <w:bookmarkStart w:id="9" w:name="Seif9"/>
      <w:bookmarkEnd w:id="9"/>
      <w:r>
        <w:rPr>
          <w:lang w:val="he-IL"/>
        </w:rPr>
        <w:pict w14:anchorId="0B5A0F94">
          <v:rect id="_x0000_s1034" style="position:absolute;left:0;text-align:left;margin-left:464.5pt;margin-top:8.05pt;width:75.05pt;height:15.25pt;z-index:251661312" o:allowincell="f" filled="f" stroked="f" strokecolor="lime" strokeweight=".25pt">
            <v:textbox inset="0,0,0,0">
              <w:txbxContent>
                <w:p w14:paraId="47B581A6" w14:textId="77777777" w:rsidR="001F19C3" w:rsidRDefault="001F19C3">
                  <w:pPr>
                    <w:spacing w:line="160" w:lineRule="exact"/>
                    <w:jc w:val="left"/>
                    <w:rPr>
                      <w:rFonts w:cs="Miriam"/>
                      <w:noProof/>
                      <w:sz w:val="18"/>
                      <w:szCs w:val="18"/>
                      <w:rtl/>
                    </w:rPr>
                  </w:pPr>
                  <w:r>
                    <w:rPr>
                      <w:rFonts w:cs="Miriam"/>
                      <w:sz w:val="18"/>
                      <w:szCs w:val="18"/>
                      <w:rtl/>
                    </w:rPr>
                    <w:t>חס</w:t>
                  </w:r>
                  <w:r>
                    <w:rPr>
                      <w:rFonts w:cs="Miriam" w:hint="cs"/>
                      <w:sz w:val="18"/>
                      <w:szCs w:val="18"/>
                      <w:rtl/>
                    </w:rPr>
                    <w:t>ינות</w:t>
                  </w:r>
                </w:p>
              </w:txbxContent>
            </v:textbox>
            <w10:anchorlock/>
          </v:rect>
        </w:pict>
      </w:r>
      <w:r>
        <w:rPr>
          <w:rStyle w:val="big-number"/>
          <w:rFonts w:cs="Miriam"/>
          <w:rtl/>
        </w:rPr>
        <w:t>9.</w:t>
      </w:r>
      <w:r>
        <w:rPr>
          <w:rStyle w:val="big-number"/>
          <w:rFonts w:cs="Miriam"/>
          <w:rtl/>
        </w:rPr>
        <w:tab/>
      </w:r>
      <w:r>
        <w:rPr>
          <w:rStyle w:val="default"/>
          <w:rFonts w:cs="FrankRuehl"/>
          <w:rtl/>
        </w:rPr>
        <w:t>אי</w:t>
      </w:r>
      <w:r>
        <w:rPr>
          <w:rStyle w:val="default"/>
          <w:rFonts w:cs="FrankRuehl" w:hint="cs"/>
          <w:rtl/>
        </w:rPr>
        <w:t xml:space="preserve">שר השר בתעודה בחתימת ידו שפעולה נעשתה מטעם המדינה או רשות הפיתוח בנכס, אחרי ששימש או שהוקצה לראשונה לצרכי פיתוח חיוניים, לצרכי התישבות או לצרכי בטחון, ולפני שהיה לנכס נרכש, לא תשמש פעולה זו עילה לתביעה מצד בעל הנכס או מי שקדם </w:t>
      </w:r>
      <w:r>
        <w:rPr>
          <w:rStyle w:val="default"/>
          <w:rFonts w:cs="FrankRuehl"/>
          <w:rtl/>
        </w:rPr>
        <w:t>לו</w:t>
      </w:r>
      <w:r>
        <w:rPr>
          <w:rStyle w:val="default"/>
          <w:rFonts w:cs="FrankRuehl" w:hint="cs"/>
          <w:rtl/>
        </w:rPr>
        <w:t xml:space="preserve"> בזכות, או יסוד להאשמה.</w:t>
      </w:r>
    </w:p>
    <w:p w14:paraId="009B25C3" w14:textId="77777777" w:rsidR="001F19C3" w:rsidRDefault="001F19C3">
      <w:pPr>
        <w:pStyle w:val="P00"/>
        <w:spacing w:before="72"/>
        <w:ind w:left="0" w:right="1134"/>
        <w:rPr>
          <w:rStyle w:val="default"/>
          <w:rFonts w:cs="FrankRuehl" w:hint="cs"/>
          <w:rtl/>
        </w:rPr>
      </w:pPr>
      <w:bookmarkStart w:id="10" w:name="Seif10"/>
      <w:bookmarkEnd w:id="10"/>
      <w:r>
        <w:rPr>
          <w:lang w:val="he-IL"/>
        </w:rPr>
        <w:pict w14:anchorId="1914658E">
          <v:rect id="_x0000_s1035" style="position:absolute;left:0;text-align:left;margin-left:464.5pt;margin-top:8.05pt;width:75.05pt;height:12.35pt;z-index:251662336" o:allowincell="f" filled="f" stroked="f" strokecolor="lime" strokeweight=".25pt">
            <v:textbox inset="0,0,0,0">
              <w:txbxContent>
                <w:p w14:paraId="1F220C9B" w14:textId="77777777" w:rsidR="001F19C3" w:rsidRDefault="001F19C3">
                  <w:pPr>
                    <w:spacing w:line="160" w:lineRule="exact"/>
                    <w:jc w:val="left"/>
                    <w:rPr>
                      <w:rFonts w:cs="Miriam"/>
                      <w:noProof/>
                      <w:sz w:val="18"/>
                      <w:szCs w:val="18"/>
                      <w:rtl/>
                    </w:rPr>
                  </w:pPr>
                  <w:r>
                    <w:rPr>
                      <w:rFonts w:cs="Miriam"/>
                      <w:sz w:val="18"/>
                      <w:szCs w:val="18"/>
                      <w:rtl/>
                    </w:rPr>
                    <w:t>תק</w:t>
                  </w:r>
                  <w:r>
                    <w:rPr>
                      <w:rFonts w:cs="Miriam" w:hint="cs"/>
                      <w:sz w:val="18"/>
                      <w:szCs w:val="18"/>
                      <w:rtl/>
                    </w:rPr>
                    <w:t>נות</w:t>
                  </w:r>
                </w:p>
              </w:txbxContent>
            </v:textbox>
            <w10:anchorlock/>
          </v:rect>
        </w:pict>
      </w:r>
      <w:r>
        <w:rPr>
          <w:rStyle w:val="big-number"/>
          <w:rFonts w:cs="Miriam"/>
          <w:rtl/>
        </w:rPr>
        <w:t>10.</w:t>
      </w:r>
      <w:r>
        <w:rPr>
          <w:rStyle w:val="big-number"/>
          <w:rFonts w:cs="Miriam"/>
          <w:rtl/>
        </w:rPr>
        <w:tab/>
      </w:r>
      <w:r>
        <w:rPr>
          <w:rStyle w:val="default"/>
          <w:rFonts w:cs="FrankRuehl"/>
          <w:rtl/>
        </w:rPr>
        <w:t>הש</w:t>
      </w:r>
      <w:r>
        <w:rPr>
          <w:rStyle w:val="default"/>
          <w:rFonts w:cs="FrankRuehl" w:hint="cs"/>
          <w:rtl/>
        </w:rPr>
        <w:t>ר רשאי להתקין תקנות בכל ענין הנוגע לביצוע חוק זה.</w:t>
      </w:r>
    </w:p>
    <w:p w14:paraId="5B046269" w14:textId="77777777" w:rsidR="003D6F3D" w:rsidRDefault="003D6F3D">
      <w:pPr>
        <w:pStyle w:val="P00"/>
        <w:spacing w:before="72"/>
        <w:ind w:left="0" w:right="1134"/>
        <w:rPr>
          <w:rStyle w:val="default"/>
          <w:rFonts w:cs="FrankRuehl"/>
          <w:rtl/>
        </w:rPr>
      </w:pPr>
    </w:p>
    <w:p w14:paraId="5240354E" w14:textId="77777777" w:rsidR="001F19C3" w:rsidRDefault="001F19C3">
      <w:pPr>
        <w:pStyle w:val="P00"/>
        <w:spacing w:before="72"/>
        <w:ind w:left="0" w:right="1134"/>
        <w:rPr>
          <w:rStyle w:val="default"/>
          <w:rFonts w:cs="FrankRuehl"/>
          <w:rtl/>
        </w:rPr>
      </w:pPr>
    </w:p>
    <w:p w14:paraId="0449CA81" w14:textId="77777777" w:rsidR="001F19C3" w:rsidRPr="003D6F3D" w:rsidRDefault="001F19C3" w:rsidP="003D6F3D">
      <w:pPr>
        <w:pStyle w:val="sig-1"/>
        <w:widowControl/>
        <w:spacing w:before="72"/>
        <w:ind w:left="0" w:right="1134"/>
        <w:rPr>
          <w:rFonts w:cs="FrankRuehl"/>
          <w:sz w:val="26"/>
          <w:szCs w:val="26"/>
          <w:rtl/>
        </w:rPr>
      </w:pPr>
      <w:r w:rsidRPr="003D6F3D">
        <w:rPr>
          <w:rFonts w:cs="FrankRuehl"/>
          <w:sz w:val="26"/>
          <w:szCs w:val="26"/>
          <w:rtl/>
        </w:rPr>
        <w:tab/>
        <w:t>י</w:t>
      </w:r>
      <w:r w:rsidRPr="003D6F3D">
        <w:rPr>
          <w:rFonts w:cs="FrankRuehl" w:hint="cs"/>
          <w:sz w:val="26"/>
          <w:szCs w:val="26"/>
          <w:rtl/>
        </w:rPr>
        <w:t>צחק בן-צבי</w:t>
      </w:r>
      <w:r w:rsidRPr="003D6F3D">
        <w:rPr>
          <w:rFonts w:cs="FrankRuehl"/>
          <w:sz w:val="26"/>
          <w:szCs w:val="26"/>
          <w:rtl/>
        </w:rPr>
        <w:tab/>
        <w:t>ד</w:t>
      </w:r>
      <w:r w:rsidRPr="003D6F3D">
        <w:rPr>
          <w:rFonts w:cs="FrankRuehl" w:hint="cs"/>
          <w:sz w:val="26"/>
          <w:szCs w:val="26"/>
          <w:rtl/>
        </w:rPr>
        <w:t>וד בן-גוריון</w:t>
      </w:r>
    </w:p>
    <w:p w14:paraId="1DEA7030" w14:textId="77777777" w:rsidR="001F19C3" w:rsidRDefault="001F19C3">
      <w:pPr>
        <w:pStyle w:val="sig-1"/>
        <w:widowControl/>
        <w:ind w:left="0" w:right="1134"/>
        <w:rPr>
          <w:rFonts w:cs="FrankRuehl" w:hint="cs"/>
          <w:sz w:val="22"/>
          <w:rtl/>
        </w:rPr>
      </w:pPr>
      <w:r>
        <w:rPr>
          <w:rFonts w:cs="FrankRuehl"/>
          <w:sz w:val="22"/>
          <w:rtl/>
        </w:rPr>
        <w:tab/>
        <w:t>נ</w:t>
      </w:r>
      <w:r>
        <w:rPr>
          <w:rFonts w:cs="FrankRuehl" w:hint="cs"/>
          <w:sz w:val="22"/>
          <w:rtl/>
        </w:rPr>
        <w:t>שיא המדינה</w:t>
      </w:r>
      <w:r>
        <w:rPr>
          <w:rFonts w:cs="FrankRuehl"/>
          <w:sz w:val="22"/>
          <w:rtl/>
        </w:rPr>
        <w:tab/>
        <w:t>ר</w:t>
      </w:r>
      <w:r>
        <w:rPr>
          <w:rFonts w:cs="FrankRuehl" w:hint="cs"/>
          <w:sz w:val="22"/>
          <w:rtl/>
        </w:rPr>
        <w:t>אש הממשלה</w:t>
      </w:r>
    </w:p>
    <w:p w14:paraId="45DE9331" w14:textId="77777777" w:rsidR="003D6F3D" w:rsidRPr="003D6F3D" w:rsidRDefault="003D6F3D" w:rsidP="003D6F3D">
      <w:pPr>
        <w:pStyle w:val="P00"/>
        <w:spacing w:before="72"/>
        <w:ind w:left="0" w:right="1134"/>
        <w:rPr>
          <w:rStyle w:val="default"/>
          <w:rFonts w:cs="FrankRuehl" w:hint="cs"/>
          <w:rtl/>
        </w:rPr>
      </w:pPr>
    </w:p>
    <w:p w14:paraId="06C189A8" w14:textId="77777777" w:rsidR="003D6F3D" w:rsidRPr="003D6F3D" w:rsidRDefault="003D6F3D" w:rsidP="003D6F3D">
      <w:pPr>
        <w:pStyle w:val="P00"/>
        <w:spacing w:before="72"/>
        <w:ind w:left="0" w:right="1134"/>
        <w:rPr>
          <w:rStyle w:val="default"/>
          <w:rFonts w:cs="FrankRuehl"/>
          <w:rtl/>
        </w:rPr>
      </w:pPr>
    </w:p>
    <w:p w14:paraId="49CAB71D" w14:textId="77777777" w:rsidR="001F19C3" w:rsidRPr="003D6F3D" w:rsidRDefault="001F19C3" w:rsidP="003D6F3D">
      <w:pPr>
        <w:pStyle w:val="P00"/>
        <w:spacing w:before="72"/>
        <w:ind w:left="0" w:right="1134"/>
        <w:rPr>
          <w:rStyle w:val="default"/>
          <w:rFonts w:cs="FrankRuehl"/>
          <w:rtl/>
        </w:rPr>
      </w:pPr>
      <w:bookmarkStart w:id="11" w:name="LawPartEnd"/>
    </w:p>
    <w:bookmarkEnd w:id="11"/>
    <w:p w14:paraId="00DFBF83" w14:textId="77777777" w:rsidR="002622F2" w:rsidRDefault="002622F2" w:rsidP="003D6F3D">
      <w:pPr>
        <w:pStyle w:val="P00"/>
        <w:spacing w:before="72"/>
        <w:ind w:left="0" w:right="1134"/>
        <w:rPr>
          <w:rStyle w:val="default"/>
          <w:rFonts w:cs="FrankRuehl"/>
          <w:rtl/>
        </w:rPr>
      </w:pPr>
    </w:p>
    <w:p w14:paraId="22C2AE41" w14:textId="77777777" w:rsidR="002622F2" w:rsidRDefault="002622F2" w:rsidP="003D6F3D">
      <w:pPr>
        <w:pStyle w:val="P00"/>
        <w:spacing w:before="72"/>
        <w:ind w:left="0" w:right="1134"/>
        <w:rPr>
          <w:rStyle w:val="default"/>
          <w:rFonts w:cs="FrankRuehl"/>
          <w:rtl/>
        </w:rPr>
      </w:pPr>
    </w:p>
    <w:p w14:paraId="21A3A6CB" w14:textId="77777777" w:rsidR="002622F2" w:rsidRDefault="002622F2" w:rsidP="002622F2">
      <w:pPr>
        <w:pStyle w:val="P00"/>
        <w:spacing w:before="72"/>
        <w:ind w:left="0" w:right="1134"/>
        <w:jc w:val="center"/>
        <w:rPr>
          <w:rStyle w:val="default"/>
          <w:rFonts w:cs="David"/>
          <w:color w:val="0000FF"/>
          <w:szCs w:val="24"/>
          <w:u w:val="single"/>
          <w:rtl/>
        </w:rPr>
      </w:pPr>
      <w:hyperlink r:id="rId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E427B0C" w14:textId="77777777" w:rsidR="001F19C3" w:rsidRPr="002622F2" w:rsidRDefault="001F19C3" w:rsidP="002622F2">
      <w:pPr>
        <w:pStyle w:val="P00"/>
        <w:spacing w:before="72"/>
        <w:ind w:left="0" w:right="1134"/>
        <w:jc w:val="center"/>
        <w:rPr>
          <w:rStyle w:val="default"/>
          <w:rFonts w:cs="David"/>
          <w:color w:val="0000FF"/>
          <w:szCs w:val="24"/>
          <w:u w:val="single"/>
          <w:rtl/>
        </w:rPr>
      </w:pPr>
    </w:p>
    <w:sectPr w:rsidR="001F19C3" w:rsidRPr="002622F2">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A5A3C" w14:textId="77777777" w:rsidR="009819CA" w:rsidRDefault="009819CA">
      <w:r>
        <w:separator/>
      </w:r>
    </w:p>
  </w:endnote>
  <w:endnote w:type="continuationSeparator" w:id="0">
    <w:p w14:paraId="6701358C" w14:textId="77777777" w:rsidR="009819CA" w:rsidRDefault="00981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2D3C" w14:textId="77777777" w:rsidR="001F19C3" w:rsidRDefault="001F19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522A1942" w14:textId="77777777" w:rsidR="001F19C3" w:rsidRDefault="001F19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417D73D" w14:textId="77777777" w:rsidR="001F19C3" w:rsidRDefault="001F19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22F2">
      <w:rPr>
        <w:rFonts w:cs="TopType Jerushalmi"/>
        <w:noProof/>
        <w:color w:val="000000"/>
        <w:sz w:val="14"/>
        <w:szCs w:val="14"/>
      </w:rPr>
      <w:t>Y:\0000-2010----------------\06-June\2010-06-03\01\tav\p214_002.doc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AEB1" w14:textId="77777777" w:rsidR="001F19C3" w:rsidRDefault="001F19C3">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622F2">
      <w:rPr>
        <w:rFonts w:hAnsi="FrankRuehl" w:cs="FrankRuehl"/>
        <w:noProof/>
        <w:sz w:val="24"/>
        <w:szCs w:val="24"/>
        <w:rtl/>
      </w:rPr>
      <w:t>4</w:t>
    </w:r>
    <w:r>
      <w:rPr>
        <w:rFonts w:hAnsi="FrankRuehl" w:cs="FrankRuehl"/>
        <w:sz w:val="24"/>
        <w:szCs w:val="24"/>
        <w:rtl/>
      </w:rPr>
      <w:fldChar w:fldCharType="end"/>
    </w:r>
  </w:p>
  <w:p w14:paraId="7D0088A6" w14:textId="77777777" w:rsidR="001F19C3" w:rsidRDefault="001F19C3">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8874C08" w14:textId="77777777" w:rsidR="001F19C3" w:rsidRDefault="001F19C3">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2622F2">
      <w:rPr>
        <w:rFonts w:cs="TopType Jerushalmi"/>
        <w:noProof/>
        <w:color w:val="000000"/>
        <w:sz w:val="14"/>
        <w:szCs w:val="14"/>
      </w:rPr>
      <w:t>Y:\0000-2010----------------\06-June\2010-06-03\01\tav\p214_002.doc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8B951" w14:textId="77777777" w:rsidR="009819CA" w:rsidRDefault="009819CA" w:rsidP="00697C8B">
      <w:pPr>
        <w:spacing w:before="60" w:line="240" w:lineRule="auto"/>
        <w:ind w:right="1134"/>
      </w:pPr>
      <w:r>
        <w:separator/>
      </w:r>
    </w:p>
  </w:footnote>
  <w:footnote w:type="continuationSeparator" w:id="0">
    <w:p w14:paraId="37023ACB" w14:textId="77777777" w:rsidR="009819CA" w:rsidRDefault="009819CA">
      <w:r>
        <w:continuationSeparator/>
      </w:r>
    </w:p>
  </w:footnote>
  <w:footnote w:id="1">
    <w:p w14:paraId="542CC373" w14:textId="77777777" w:rsidR="00697C8B" w:rsidRPr="00697C8B" w:rsidRDefault="00697C8B" w:rsidP="00697C8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97C8B">
        <w:rPr>
          <w:rFonts w:cs="FrankRuehl"/>
          <w:rtl/>
        </w:rPr>
        <w:t xml:space="preserve">* </w:t>
      </w:r>
      <w:r>
        <w:rPr>
          <w:rFonts w:cs="FrankRuehl"/>
          <w:rtl/>
        </w:rPr>
        <w:t>פו</w:t>
      </w:r>
      <w:r>
        <w:rPr>
          <w:rFonts w:cs="FrankRuehl" w:hint="cs"/>
          <w:rtl/>
        </w:rPr>
        <w:t>רסם ס"ח תשי"ג מס' 122 מיום 20.3.1953 עמ' 58 (</w:t>
      </w:r>
      <w:hyperlink r:id="rId1" w:history="1">
        <w:r w:rsidRPr="00697C8B">
          <w:rPr>
            <w:rStyle w:val="Hyperlink"/>
            <w:rFonts w:cs="FrankRuehl" w:hint="cs"/>
            <w:rtl/>
          </w:rPr>
          <w:t>ה"ח תשי"ב מס' 118</w:t>
        </w:r>
      </w:hyperlink>
      <w:r>
        <w:rPr>
          <w:rFonts w:cs="FrankRuehl" w:hint="cs"/>
          <w:rtl/>
        </w:rPr>
        <w:t xml:space="preserve"> עמ' 232).</w:t>
      </w:r>
    </w:p>
  </w:footnote>
  <w:footnote w:id="2">
    <w:p w14:paraId="5452F994" w14:textId="77777777" w:rsidR="00697C8B" w:rsidRDefault="00697C8B" w:rsidP="00697C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r>
        <w:rPr>
          <w:rStyle w:val="a6"/>
        </w:rPr>
        <w:footnoteRef/>
      </w:r>
      <w:r w:rsidRPr="00697C8B">
        <w:rPr>
          <w:rtl/>
        </w:rPr>
        <w:t xml:space="preserve"> </w:t>
      </w:r>
      <w:r w:rsidRPr="00697C8B">
        <w:rPr>
          <w:rFonts w:cs="FrankRuehl"/>
          <w:rtl/>
        </w:rPr>
        <w:t>המ</w:t>
      </w:r>
      <w:r w:rsidRPr="00697C8B">
        <w:rPr>
          <w:rFonts w:cs="FrankRuehl" w:hint="cs"/>
          <w:rtl/>
        </w:rPr>
        <w:t xml:space="preserve">משלה </w:t>
      </w:r>
      <w:r>
        <w:rPr>
          <w:rFonts w:cs="FrankRuehl" w:hint="cs"/>
          <w:rtl/>
        </w:rPr>
        <w:t>הסמיכה את שר האוצר לענין חוק זה:</w:t>
      </w:r>
      <w:r w:rsidRPr="00697C8B">
        <w:rPr>
          <w:rFonts w:cs="FrankRuehl"/>
          <w:rtl/>
        </w:rPr>
        <w:t xml:space="preserve"> </w:t>
      </w:r>
      <w:hyperlink r:id="rId2" w:history="1">
        <w:r w:rsidRPr="00A77ED2">
          <w:rPr>
            <w:rStyle w:val="Hyperlink"/>
            <w:rFonts w:cs="FrankRuehl" w:hint="cs"/>
            <w:rtl/>
          </w:rPr>
          <w:t xml:space="preserve">י"פ תשי"ג </w:t>
        </w:r>
        <w:r w:rsidRPr="00A77ED2">
          <w:rPr>
            <w:rStyle w:val="Hyperlink"/>
            <w:rFonts w:cs="FrankRuehl" w:hint="cs"/>
            <w:rtl/>
          </w:rPr>
          <w:t>מ</w:t>
        </w:r>
        <w:r w:rsidRPr="00A77ED2">
          <w:rPr>
            <w:rStyle w:val="Hyperlink"/>
            <w:rFonts w:cs="FrankRuehl" w:hint="cs"/>
            <w:rtl/>
          </w:rPr>
          <w:t>ס' 288</w:t>
        </w:r>
      </w:hyperlink>
      <w:r w:rsidRPr="00697C8B">
        <w:rPr>
          <w:rFonts w:cs="FrankRuehl" w:hint="cs"/>
          <w:rtl/>
        </w:rPr>
        <w:t xml:space="preserve"> מיום </w:t>
      </w:r>
      <w:r>
        <w:rPr>
          <w:rFonts w:cs="FrankRuehl" w:hint="cs"/>
          <w:rtl/>
        </w:rPr>
        <w:t>28.4.1953</w:t>
      </w:r>
      <w:r w:rsidRPr="00697C8B">
        <w:rPr>
          <w:rFonts w:cs="FrankRuehl" w:hint="cs"/>
          <w:rtl/>
        </w:rPr>
        <w:t xml:space="preserve"> עמ' 897.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6E38" w14:textId="77777777" w:rsidR="001F19C3" w:rsidRDefault="001F19C3">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רכישת מקרקעים (אישור פעולות ופיצויים), תשי"ג–1953</w:t>
    </w:r>
  </w:p>
  <w:p w14:paraId="3D673083" w14:textId="77777777" w:rsidR="001F19C3" w:rsidRDefault="001F19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ABCE715" w14:textId="77777777" w:rsidR="001F19C3" w:rsidRDefault="001F19C3">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79E95" w14:textId="77777777" w:rsidR="001F19C3" w:rsidRDefault="001F19C3" w:rsidP="00697C8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רכישת מקרקעים (אישור פעולות ופיצויים), תשי"ג</w:t>
    </w:r>
    <w:r w:rsidR="00697C8B">
      <w:rPr>
        <w:rFonts w:hAnsi="FrankRuehl" w:cs="FrankRuehl" w:hint="cs"/>
        <w:color w:val="000000"/>
        <w:sz w:val="28"/>
        <w:szCs w:val="28"/>
        <w:rtl/>
      </w:rPr>
      <w:t>-</w:t>
    </w:r>
    <w:r>
      <w:rPr>
        <w:rFonts w:hAnsi="FrankRuehl" w:cs="FrankRuehl"/>
        <w:color w:val="000000"/>
        <w:sz w:val="28"/>
        <w:szCs w:val="28"/>
        <w:rtl/>
      </w:rPr>
      <w:t>1953</w:t>
    </w:r>
  </w:p>
  <w:p w14:paraId="082B9911" w14:textId="77777777" w:rsidR="001F19C3" w:rsidRDefault="001F19C3">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B9BD9FA" w14:textId="77777777" w:rsidR="001F19C3" w:rsidRDefault="001F19C3">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2303"/>
    <w:rsid w:val="001F19C3"/>
    <w:rsid w:val="002622F2"/>
    <w:rsid w:val="00330EC7"/>
    <w:rsid w:val="003D6F3D"/>
    <w:rsid w:val="004E1532"/>
    <w:rsid w:val="00697C8B"/>
    <w:rsid w:val="006A4C06"/>
    <w:rsid w:val="009819CA"/>
    <w:rsid w:val="00A77ED2"/>
    <w:rsid w:val="00D8230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83C30CD"/>
  <w15:chartTrackingRefBased/>
  <w15:docId w15:val="{A5FA043F-F61A-44AD-83C6-3CB4E9EB4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97C8B"/>
    <w:rPr>
      <w:sz w:val="20"/>
      <w:szCs w:val="20"/>
    </w:rPr>
  </w:style>
  <w:style w:type="character" w:styleId="a6">
    <w:name w:val="footnote reference"/>
    <w:basedOn w:val="a0"/>
    <w:semiHidden/>
    <w:rsid w:val="00697C8B"/>
    <w:rPr>
      <w:vertAlign w:val="superscript"/>
    </w:rPr>
  </w:style>
  <w:style w:type="character" w:styleId="FollowedHyperlink">
    <w:name w:val="FollowedHyperlink"/>
    <w:basedOn w:val="a0"/>
    <w:rsid w:val="00A77ED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0/YALKUT-0288.pdf" TargetMode="External"/><Relationship Id="rId1" Type="http://schemas.openxmlformats.org/officeDocument/2006/relationships/hyperlink" Target="http://www.nevo.co.il/Law_word/law17/PROP-0118.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904</Words>
  <Characters>5154</Characters>
  <Application>Microsoft Office Word</Application>
  <DocSecurity>0</DocSecurity>
  <Lines>42</Lines>
  <Paragraphs>12</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214</vt:lpstr>
      <vt:lpstr>פרק 214</vt:lpstr>
    </vt:vector>
  </TitlesOfParts>
  <Company/>
  <LinksUpToDate>false</LinksUpToDate>
  <CharactersWithSpaces>6046</CharactersWithSpaces>
  <SharedDoc>false</SharedDoc>
  <HLinks>
    <vt:vector size="78" baseType="variant">
      <vt:variant>
        <vt:i4>393283</vt:i4>
      </vt:variant>
      <vt:variant>
        <vt:i4>60</vt:i4>
      </vt:variant>
      <vt:variant>
        <vt:i4>0</vt:i4>
      </vt:variant>
      <vt:variant>
        <vt:i4>5</vt:i4>
      </vt:variant>
      <vt:variant>
        <vt:lpwstr>http://www.nevo.co.il/advertisements/nevo-100.doc</vt:lpwstr>
      </vt:variant>
      <vt:variant>
        <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8060937</vt:i4>
      </vt:variant>
      <vt:variant>
        <vt:i4>3</vt:i4>
      </vt:variant>
      <vt:variant>
        <vt:i4>0</vt:i4>
      </vt:variant>
      <vt:variant>
        <vt:i4>5</vt:i4>
      </vt:variant>
      <vt:variant>
        <vt:lpwstr>http://www.nevo.co.il/law_word/law10/YALKUT-0288.pdf</vt:lpwstr>
      </vt:variant>
      <vt:variant>
        <vt:lpwstr/>
      </vt:variant>
      <vt:variant>
        <vt:i4>124</vt:i4>
      </vt:variant>
      <vt:variant>
        <vt:i4>0</vt:i4>
      </vt:variant>
      <vt:variant>
        <vt:i4>0</vt:i4>
      </vt:variant>
      <vt:variant>
        <vt:i4>5</vt:i4>
      </vt:variant>
      <vt:variant>
        <vt:lpwstr>http://www.nevo.co.il/Law_word/law17/PROP-0118.pdf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2023-06-05T19:09:00Z</dcterms:created>
  <dcterms:modified xsi:type="dcterms:W3CDTF">2023-06-05T19:09:00Z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p214</vt:lpwstr>
  </property>
  <property fmtid="{D5CDD505-2E9C-101B-9397-08002B2CF9AE}" pid="3" name="CHNAME">
    <vt:lpwstr>רשות פיתוח</vt:lpwstr>
  </property>
  <property fmtid="{D5CDD505-2E9C-101B-9397-08002B2CF9AE}" pid="4" name="LAWNAME">
    <vt:lpwstr>חוק רכישת מקרקעים (אישור פעולות ופיצויים), תשי"ג-1953</vt:lpwstr>
  </property>
  <property fmtid="{D5CDD505-2E9C-101B-9397-08002B2CF9AE}" pid="5" name="LAWNUMBER">
    <vt:lpwstr>0002</vt:lpwstr>
  </property>
  <property fmtid="{D5CDD505-2E9C-101B-9397-08002B2CF9AE}" pid="6" name="TYPE">
    <vt:lpwstr>01</vt:lpwstr>
  </property>
  <property fmtid="{D5CDD505-2E9C-101B-9397-08002B2CF9AE}" pid="7" name="NOSE41">
    <vt:lpwstr/>
  </property>
  <property fmtid="{D5CDD505-2E9C-101B-9397-08002B2CF9AE}" pid="8" name="NOSE12">
    <vt:lpwstr>משפט פרטי וכלכלה</vt:lpwstr>
  </property>
  <property fmtid="{D5CDD505-2E9C-101B-9397-08002B2CF9AE}" pid="9" name="NOSE22">
    <vt:lpwstr>קניין</vt:lpwstr>
  </property>
  <property fmtid="{D5CDD505-2E9C-101B-9397-08002B2CF9AE}" pid="10" name="NOSE32">
    <vt:lpwstr>מקרקעין</vt:lpwstr>
  </property>
  <property fmtid="{D5CDD505-2E9C-101B-9397-08002B2CF9AE}" pid="11" name="NOSE42">
    <vt:lpwstr>פינוי והפקעה</vt:lpwstr>
  </property>
  <property fmtid="{D5CDD505-2E9C-101B-9397-08002B2CF9AE}" pid="12" name="NOSE13">
    <vt:lpwstr/>
  </property>
  <property fmtid="{D5CDD505-2E9C-101B-9397-08002B2CF9AE}" pid="13" name="NOSE23">
    <vt:lpwstr/>
  </property>
  <property fmtid="{D5CDD505-2E9C-101B-9397-08002B2CF9AE}" pid="14" name="NOSE33">
    <vt:lpwstr/>
  </property>
  <property fmtid="{D5CDD505-2E9C-101B-9397-08002B2CF9AE}" pid="15" name="NOSE43">
    <vt:lpwstr/>
  </property>
  <property fmtid="{D5CDD505-2E9C-101B-9397-08002B2CF9AE}" pid="16" name="NOSE14">
    <vt:lpwstr/>
  </property>
  <property fmtid="{D5CDD505-2E9C-101B-9397-08002B2CF9AE}" pid="17" name="NOSE24">
    <vt:lpwstr/>
  </property>
  <property fmtid="{D5CDD505-2E9C-101B-9397-08002B2CF9AE}" pid="18" name="NOSE34">
    <vt:lpwstr/>
  </property>
  <property fmtid="{D5CDD505-2E9C-101B-9397-08002B2CF9AE}" pid="19" name="NOSE44">
    <vt:lpwstr/>
  </property>
  <property fmtid="{D5CDD505-2E9C-101B-9397-08002B2CF9AE}" pid="20" name="NOSE15">
    <vt:lpwstr/>
  </property>
  <property fmtid="{D5CDD505-2E9C-101B-9397-08002B2CF9AE}" pid="21" name="NOSE25">
    <vt:lpwstr/>
  </property>
  <property fmtid="{D5CDD505-2E9C-101B-9397-08002B2CF9AE}" pid="22" name="NOSE35">
    <vt:lpwstr/>
  </property>
  <property fmtid="{D5CDD505-2E9C-101B-9397-08002B2CF9AE}" pid="23" name="NOSE45">
    <vt:lpwstr/>
  </property>
  <property fmtid="{D5CDD505-2E9C-101B-9397-08002B2CF9AE}" pid="24" name="NOSE16">
    <vt:lpwstr/>
  </property>
  <property fmtid="{D5CDD505-2E9C-101B-9397-08002B2CF9AE}" pid="25" name="NOSE26">
    <vt:lpwstr/>
  </property>
  <property fmtid="{D5CDD505-2E9C-101B-9397-08002B2CF9AE}" pid="26" name="NOSE36">
    <vt:lpwstr/>
  </property>
  <property fmtid="{D5CDD505-2E9C-101B-9397-08002B2CF9AE}" pid="27" name="NOSE46">
    <vt:lpwstr/>
  </property>
  <property fmtid="{D5CDD505-2E9C-101B-9397-08002B2CF9AE}" pid="28" name="NOSE17">
    <vt:lpwstr/>
  </property>
  <property fmtid="{D5CDD505-2E9C-101B-9397-08002B2CF9AE}" pid="29" name="NOSE27">
    <vt:lpwstr/>
  </property>
  <property fmtid="{D5CDD505-2E9C-101B-9397-08002B2CF9AE}" pid="30" name="NOSE37">
    <vt:lpwstr/>
  </property>
  <property fmtid="{D5CDD505-2E9C-101B-9397-08002B2CF9AE}" pid="31" name="NOSE47">
    <vt:lpwstr/>
  </property>
  <property fmtid="{D5CDD505-2E9C-101B-9397-08002B2CF9AE}" pid="32" name="NOSE18">
    <vt:lpwstr/>
  </property>
  <property fmtid="{D5CDD505-2E9C-101B-9397-08002B2CF9AE}" pid="33" name="NOSE28">
    <vt:lpwstr/>
  </property>
  <property fmtid="{D5CDD505-2E9C-101B-9397-08002B2CF9AE}" pid="34" name="NOSE38">
    <vt:lpwstr/>
  </property>
  <property fmtid="{D5CDD505-2E9C-101B-9397-08002B2CF9AE}" pid="35" name="NOSE48">
    <vt:lpwstr/>
  </property>
  <property fmtid="{D5CDD505-2E9C-101B-9397-08002B2CF9AE}" pid="36" name="NOSE19">
    <vt:lpwstr/>
  </property>
  <property fmtid="{D5CDD505-2E9C-101B-9397-08002B2CF9AE}" pid="37" name="NOSE29">
    <vt:lpwstr/>
  </property>
  <property fmtid="{D5CDD505-2E9C-101B-9397-08002B2CF9AE}" pid="38" name="NOSE39">
    <vt:lpwstr/>
  </property>
  <property fmtid="{D5CDD505-2E9C-101B-9397-08002B2CF9AE}" pid="39" name="NOSE49">
    <vt:lpwstr/>
  </property>
  <property fmtid="{D5CDD505-2E9C-101B-9397-08002B2CF9AE}" pid="40" name="NOSE110">
    <vt:lpwstr/>
  </property>
  <property fmtid="{D5CDD505-2E9C-101B-9397-08002B2CF9AE}" pid="41" name="NOSE210">
    <vt:lpwstr/>
  </property>
  <property fmtid="{D5CDD505-2E9C-101B-9397-08002B2CF9AE}" pid="42" name="NOSE310">
    <vt:lpwstr/>
  </property>
  <property fmtid="{D5CDD505-2E9C-101B-9397-08002B2CF9AE}" pid="43" name="NOSE410">
    <vt:lpwstr/>
  </property>
  <property fmtid="{D5CDD505-2E9C-101B-9397-08002B2CF9AE}" pid="44" name="NOSE11">
    <vt:lpwstr/>
  </property>
  <property fmtid="{D5CDD505-2E9C-101B-9397-08002B2CF9AE}" pid="45" name="NOSE21">
    <vt:lpwstr/>
  </property>
  <property fmtid="{D5CDD505-2E9C-101B-9397-08002B2CF9AE}" pid="46" name="NOSE31">
    <vt:lpwstr/>
  </property>
</Properties>
</file>