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B358" w14:textId="77777777" w:rsidR="00EC667A" w:rsidRDefault="00EC667A" w:rsidP="00DF0280">
      <w:pPr>
        <w:pStyle w:val="big-header"/>
        <w:ind w:left="0" w:right="1134"/>
        <w:rPr>
          <w:rFonts w:cs="FrankRuehl"/>
          <w:sz w:val="32"/>
        </w:rPr>
      </w:pPr>
      <w:r>
        <w:rPr>
          <w:rFonts w:cs="FrankRuehl"/>
          <w:sz w:val="32"/>
          <w:rtl/>
        </w:rPr>
        <w:t>חוק רציפות הדיון בהצעות חוק, תשנ"ג</w:t>
      </w:r>
      <w:r w:rsidR="00DF0280">
        <w:rPr>
          <w:rFonts w:cs="FrankRuehl" w:hint="cs"/>
          <w:sz w:val="32"/>
          <w:rtl/>
        </w:rPr>
        <w:t>-</w:t>
      </w:r>
      <w:r>
        <w:rPr>
          <w:rFonts w:cs="FrankRuehl"/>
          <w:sz w:val="32"/>
          <w:rtl/>
        </w:rPr>
        <w:t>1993</w:t>
      </w:r>
    </w:p>
    <w:p w14:paraId="60C8014C" w14:textId="77777777" w:rsidR="00496C92" w:rsidRPr="00496C92" w:rsidRDefault="00496C92" w:rsidP="00496C92">
      <w:pPr>
        <w:spacing w:line="320" w:lineRule="auto"/>
        <w:jc w:val="left"/>
        <w:rPr>
          <w:rFonts w:cs="FrankRuehl"/>
          <w:szCs w:val="26"/>
          <w:rtl/>
        </w:rPr>
      </w:pPr>
    </w:p>
    <w:p w14:paraId="73E6A1A3" w14:textId="77777777" w:rsidR="00496C92" w:rsidRDefault="00496C92" w:rsidP="00496C92">
      <w:pPr>
        <w:spacing w:line="320" w:lineRule="auto"/>
        <w:jc w:val="left"/>
        <w:rPr>
          <w:rtl/>
        </w:rPr>
      </w:pPr>
    </w:p>
    <w:p w14:paraId="71D3F308" w14:textId="77777777" w:rsidR="00496C92" w:rsidRPr="00496C92" w:rsidRDefault="00496C92" w:rsidP="00496C92">
      <w:pPr>
        <w:spacing w:line="320" w:lineRule="auto"/>
        <w:jc w:val="left"/>
        <w:rPr>
          <w:rFonts w:cs="Miriam"/>
          <w:szCs w:val="22"/>
          <w:rtl/>
        </w:rPr>
      </w:pPr>
      <w:r w:rsidRPr="00496C92">
        <w:rPr>
          <w:rFonts w:cs="Miriam"/>
          <w:szCs w:val="22"/>
          <w:rtl/>
        </w:rPr>
        <w:t xml:space="preserve">דיני חוקה </w:t>
      </w:r>
      <w:r w:rsidRPr="00496C92">
        <w:rPr>
          <w:rFonts w:cs="FrankRuehl"/>
          <w:szCs w:val="26"/>
          <w:rtl/>
        </w:rPr>
        <w:t xml:space="preserve"> – כנסת – הצעות חוק – רציפות הדיון</w:t>
      </w:r>
    </w:p>
    <w:p w14:paraId="6B1F6DD1" w14:textId="77777777" w:rsidR="00EC667A" w:rsidRDefault="00EC667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C667A" w14:paraId="6A9EDBD7" w14:textId="77777777">
        <w:tblPrEx>
          <w:tblCellMar>
            <w:top w:w="0" w:type="dxa"/>
            <w:bottom w:w="0" w:type="dxa"/>
          </w:tblCellMar>
        </w:tblPrEx>
        <w:tc>
          <w:tcPr>
            <w:tcW w:w="850" w:type="dxa"/>
          </w:tcPr>
          <w:p w14:paraId="2FC4EB21" w14:textId="77777777" w:rsidR="00EC667A" w:rsidRDefault="00EC667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F0280">
              <w:rPr>
                <w:noProof/>
                <w:sz w:val="24"/>
                <w:rtl/>
              </w:rPr>
              <w:t>2</w:t>
            </w:r>
            <w:r>
              <w:rPr>
                <w:sz w:val="24"/>
                <w:rtl/>
              </w:rPr>
              <w:fldChar w:fldCharType="end"/>
            </w:r>
          </w:p>
        </w:tc>
        <w:tc>
          <w:tcPr>
            <w:tcW w:w="567" w:type="dxa"/>
          </w:tcPr>
          <w:p w14:paraId="307D22BC" w14:textId="77777777" w:rsidR="00EC667A" w:rsidRDefault="00EC667A">
            <w:pPr>
              <w:spacing w:line="240" w:lineRule="auto"/>
              <w:rPr>
                <w:sz w:val="24"/>
              </w:rPr>
            </w:pPr>
            <w:hyperlink w:anchor="Seif0" w:tooltip="הצעת הממשלה" w:history="1">
              <w:r>
                <w:rPr>
                  <w:rStyle w:val="Hyperlink"/>
                </w:rPr>
                <w:t>Go</w:t>
              </w:r>
            </w:hyperlink>
          </w:p>
        </w:tc>
        <w:tc>
          <w:tcPr>
            <w:tcW w:w="5669" w:type="dxa"/>
          </w:tcPr>
          <w:p w14:paraId="4BAA66A7" w14:textId="77777777" w:rsidR="00EC667A" w:rsidRDefault="00EC667A">
            <w:pPr>
              <w:spacing w:line="240" w:lineRule="auto"/>
              <w:rPr>
                <w:sz w:val="24"/>
                <w:rtl/>
              </w:rPr>
            </w:pPr>
            <w:r>
              <w:rPr>
                <w:sz w:val="24"/>
                <w:rtl/>
              </w:rPr>
              <w:t>הצעת הממשלה</w:t>
            </w:r>
          </w:p>
        </w:tc>
        <w:tc>
          <w:tcPr>
            <w:tcW w:w="1247" w:type="dxa"/>
          </w:tcPr>
          <w:p w14:paraId="63310522" w14:textId="77777777" w:rsidR="00EC667A" w:rsidRDefault="00EC667A">
            <w:pPr>
              <w:spacing w:line="240" w:lineRule="auto"/>
              <w:rPr>
                <w:sz w:val="24"/>
              </w:rPr>
            </w:pPr>
            <w:r>
              <w:rPr>
                <w:sz w:val="24"/>
                <w:rtl/>
              </w:rPr>
              <w:t xml:space="preserve">סעיף 1 </w:t>
            </w:r>
          </w:p>
        </w:tc>
      </w:tr>
      <w:tr w:rsidR="00EC667A" w14:paraId="2DF5755F" w14:textId="77777777">
        <w:tblPrEx>
          <w:tblCellMar>
            <w:top w:w="0" w:type="dxa"/>
            <w:bottom w:w="0" w:type="dxa"/>
          </w:tblCellMar>
        </w:tblPrEx>
        <w:tc>
          <w:tcPr>
            <w:tcW w:w="850" w:type="dxa"/>
          </w:tcPr>
          <w:p w14:paraId="6B64B5EC" w14:textId="77777777" w:rsidR="00EC667A" w:rsidRDefault="00EC667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F0280">
              <w:rPr>
                <w:noProof/>
                <w:sz w:val="24"/>
                <w:rtl/>
              </w:rPr>
              <w:t>2</w:t>
            </w:r>
            <w:r>
              <w:rPr>
                <w:sz w:val="24"/>
                <w:rtl/>
              </w:rPr>
              <w:fldChar w:fldCharType="end"/>
            </w:r>
          </w:p>
        </w:tc>
        <w:tc>
          <w:tcPr>
            <w:tcW w:w="567" w:type="dxa"/>
          </w:tcPr>
          <w:p w14:paraId="11A41161" w14:textId="77777777" w:rsidR="00EC667A" w:rsidRDefault="00EC667A">
            <w:pPr>
              <w:spacing w:line="240" w:lineRule="auto"/>
              <w:rPr>
                <w:sz w:val="24"/>
              </w:rPr>
            </w:pPr>
            <w:hyperlink w:anchor="Seif1" w:tooltip="הצעת ועדה של הכנסת" w:history="1">
              <w:r>
                <w:rPr>
                  <w:rStyle w:val="Hyperlink"/>
                </w:rPr>
                <w:t>Go</w:t>
              </w:r>
            </w:hyperlink>
          </w:p>
        </w:tc>
        <w:tc>
          <w:tcPr>
            <w:tcW w:w="5669" w:type="dxa"/>
          </w:tcPr>
          <w:p w14:paraId="5E3B666A" w14:textId="77777777" w:rsidR="00EC667A" w:rsidRDefault="00EC667A">
            <w:pPr>
              <w:spacing w:line="240" w:lineRule="auto"/>
              <w:rPr>
                <w:sz w:val="24"/>
                <w:rtl/>
              </w:rPr>
            </w:pPr>
            <w:r>
              <w:rPr>
                <w:sz w:val="24"/>
                <w:rtl/>
              </w:rPr>
              <w:t>הצעת ועדה של הכנסת</w:t>
            </w:r>
          </w:p>
        </w:tc>
        <w:tc>
          <w:tcPr>
            <w:tcW w:w="1247" w:type="dxa"/>
          </w:tcPr>
          <w:p w14:paraId="27D4E8D8" w14:textId="77777777" w:rsidR="00EC667A" w:rsidRDefault="00EC667A">
            <w:pPr>
              <w:spacing w:line="240" w:lineRule="auto"/>
              <w:rPr>
                <w:sz w:val="24"/>
              </w:rPr>
            </w:pPr>
            <w:r>
              <w:rPr>
                <w:sz w:val="24"/>
                <w:rtl/>
              </w:rPr>
              <w:t xml:space="preserve">סעיף 2 </w:t>
            </w:r>
          </w:p>
        </w:tc>
      </w:tr>
      <w:tr w:rsidR="00EC667A" w14:paraId="2E3D99CD" w14:textId="77777777">
        <w:tblPrEx>
          <w:tblCellMar>
            <w:top w:w="0" w:type="dxa"/>
            <w:bottom w:w="0" w:type="dxa"/>
          </w:tblCellMar>
        </w:tblPrEx>
        <w:tc>
          <w:tcPr>
            <w:tcW w:w="850" w:type="dxa"/>
          </w:tcPr>
          <w:p w14:paraId="3CA47B41" w14:textId="77777777" w:rsidR="00EC667A" w:rsidRDefault="00EC667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F0280">
              <w:rPr>
                <w:noProof/>
                <w:sz w:val="24"/>
                <w:rtl/>
              </w:rPr>
              <w:t>2</w:t>
            </w:r>
            <w:r>
              <w:rPr>
                <w:sz w:val="24"/>
                <w:rtl/>
              </w:rPr>
              <w:fldChar w:fldCharType="end"/>
            </w:r>
          </w:p>
        </w:tc>
        <w:tc>
          <w:tcPr>
            <w:tcW w:w="567" w:type="dxa"/>
          </w:tcPr>
          <w:p w14:paraId="0D1939DE" w14:textId="77777777" w:rsidR="00EC667A" w:rsidRDefault="00EC667A">
            <w:pPr>
              <w:spacing w:line="240" w:lineRule="auto"/>
              <w:rPr>
                <w:sz w:val="24"/>
              </w:rPr>
            </w:pPr>
            <w:hyperlink w:anchor="Seif2" w:tooltip="הסכמת חבר הכנסת" w:history="1">
              <w:r>
                <w:rPr>
                  <w:rStyle w:val="Hyperlink"/>
                </w:rPr>
                <w:t>Go</w:t>
              </w:r>
            </w:hyperlink>
          </w:p>
        </w:tc>
        <w:tc>
          <w:tcPr>
            <w:tcW w:w="5669" w:type="dxa"/>
          </w:tcPr>
          <w:p w14:paraId="1BCDB78B" w14:textId="77777777" w:rsidR="00EC667A" w:rsidRDefault="00EC667A">
            <w:pPr>
              <w:spacing w:line="240" w:lineRule="auto"/>
              <w:rPr>
                <w:sz w:val="24"/>
                <w:rtl/>
              </w:rPr>
            </w:pPr>
            <w:r>
              <w:rPr>
                <w:sz w:val="24"/>
                <w:rtl/>
              </w:rPr>
              <w:t>הסכמת חבר הכנסת</w:t>
            </w:r>
          </w:p>
        </w:tc>
        <w:tc>
          <w:tcPr>
            <w:tcW w:w="1247" w:type="dxa"/>
          </w:tcPr>
          <w:p w14:paraId="3E070452" w14:textId="77777777" w:rsidR="00EC667A" w:rsidRDefault="00EC667A">
            <w:pPr>
              <w:spacing w:line="240" w:lineRule="auto"/>
              <w:rPr>
                <w:sz w:val="24"/>
              </w:rPr>
            </w:pPr>
            <w:r>
              <w:rPr>
                <w:sz w:val="24"/>
                <w:rtl/>
              </w:rPr>
              <w:t xml:space="preserve">סעיף 3 </w:t>
            </w:r>
          </w:p>
        </w:tc>
      </w:tr>
      <w:tr w:rsidR="00EC667A" w14:paraId="0BBF2559" w14:textId="77777777">
        <w:tblPrEx>
          <w:tblCellMar>
            <w:top w:w="0" w:type="dxa"/>
            <w:bottom w:w="0" w:type="dxa"/>
          </w:tblCellMar>
        </w:tblPrEx>
        <w:tc>
          <w:tcPr>
            <w:tcW w:w="850" w:type="dxa"/>
          </w:tcPr>
          <w:p w14:paraId="0C42296A" w14:textId="77777777" w:rsidR="00EC667A" w:rsidRDefault="00EC667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F0280">
              <w:rPr>
                <w:noProof/>
                <w:sz w:val="24"/>
                <w:rtl/>
              </w:rPr>
              <w:t>2</w:t>
            </w:r>
            <w:r>
              <w:rPr>
                <w:sz w:val="24"/>
                <w:rtl/>
              </w:rPr>
              <w:fldChar w:fldCharType="end"/>
            </w:r>
          </w:p>
        </w:tc>
        <w:tc>
          <w:tcPr>
            <w:tcW w:w="567" w:type="dxa"/>
          </w:tcPr>
          <w:p w14:paraId="613B761D" w14:textId="77777777" w:rsidR="00EC667A" w:rsidRDefault="00EC667A">
            <w:pPr>
              <w:spacing w:line="240" w:lineRule="auto"/>
              <w:rPr>
                <w:sz w:val="24"/>
              </w:rPr>
            </w:pPr>
            <w:hyperlink w:anchor="Seif3" w:tooltip="הדיון בועדה" w:history="1">
              <w:r>
                <w:rPr>
                  <w:rStyle w:val="Hyperlink"/>
                </w:rPr>
                <w:t>Go</w:t>
              </w:r>
            </w:hyperlink>
          </w:p>
        </w:tc>
        <w:tc>
          <w:tcPr>
            <w:tcW w:w="5669" w:type="dxa"/>
          </w:tcPr>
          <w:p w14:paraId="412F0FA0" w14:textId="77777777" w:rsidR="00EC667A" w:rsidRDefault="00EC667A">
            <w:pPr>
              <w:spacing w:line="240" w:lineRule="auto"/>
              <w:rPr>
                <w:sz w:val="24"/>
                <w:rtl/>
              </w:rPr>
            </w:pPr>
            <w:r>
              <w:rPr>
                <w:sz w:val="24"/>
                <w:rtl/>
              </w:rPr>
              <w:t>הדיון בועדה</w:t>
            </w:r>
          </w:p>
        </w:tc>
        <w:tc>
          <w:tcPr>
            <w:tcW w:w="1247" w:type="dxa"/>
          </w:tcPr>
          <w:p w14:paraId="457745D7" w14:textId="77777777" w:rsidR="00EC667A" w:rsidRDefault="00EC667A">
            <w:pPr>
              <w:spacing w:line="240" w:lineRule="auto"/>
              <w:rPr>
                <w:sz w:val="24"/>
              </w:rPr>
            </w:pPr>
            <w:r>
              <w:rPr>
                <w:sz w:val="24"/>
                <w:rtl/>
              </w:rPr>
              <w:t xml:space="preserve">סעיף 4 </w:t>
            </w:r>
          </w:p>
        </w:tc>
      </w:tr>
      <w:tr w:rsidR="00EC667A" w14:paraId="5A3D6420" w14:textId="77777777">
        <w:tblPrEx>
          <w:tblCellMar>
            <w:top w:w="0" w:type="dxa"/>
            <w:bottom w:w="0" w:type="dxa"/>
          </w:tblCellMar>
        </w:tblPrEx>
        <w:tc>
          <w:tcPr>
            <w:tcW w:w="850" w:type="dxa"/>
          </w:tcPr>
          <w:p w14:paraId="3F086B73" w14:textId="77777777" w:rsidR="00EC667A" w:rsidRDefault="00EC667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F0280">
              <w:rPr>
                <w:noProof/>
                <w:sz w:val="24"/>
                <w:rtl/>
              </w:rPr>
              <w:t>2</w:t>
            </w:r>
            <w:r>
              <w:rPr>
                <w:sz w:val="24"/>
                <w:rtl/>
              </w:rPr>
              <w:fldChar w:fldCharType="end"/>
            </w:r>
          </w:p>
        </w:tc>
        <w:tc>
          <w:tcPr>
            <w:tcW w:w="567" w:type="dxa"/>
          </w:tcPr>
          <w:p w14:paraId="410EE362" w14:textId="77777777" w:rsidR="00EC667A" w:rsidRDefault="00EC667A">
            <w:pPr>
              <w:spacing w:line="240" w:lineRule="auto"/>
              <w:rPr>
                <w:sz w:val="24"/>
              </w:rPr>
            </w:pPr>
            <w:hyperlink w:anchor="Seif4" w:tooltip="התנגדות לרציפות" w:history="1">
              <w:r>
                <w:rPr>
                  <w:rStyle w:val="Hyperlink"/>
                </w:rPr>
                <w:t>Go</w:t>
              </w:r>
            </w:hyperlink>
          </w:p>
        </w:tc>
        <w:tc>
          <w:tcPr>
            <w:tcW w:w="5669" w:type="dxa"/>
          </w:tcPr>
          <w:p w14:paraId="733600D0" w14:textId="77777777" w:rsidR="00EC667A" w:rsidRDefault="00EC667A">
            <w:pPr>
              <w:spacing w:line="240" w:lineRule="auto"/>
              <w:rPr>
                <w:sz w:val="24"/>
                <w:rtl/>
              </w:rPr>
            </w:pPr>
            <w:r>
              <w:rPr>
                <w:sz w:val="24"/>
                <w:rtl/>
              </w:rPr>
              <w:t>התנגדות לרציפות</w:t>
            </w:r>
          </w:p>
        </w:tc>
        <w:tc>
          <w:tcPr>
            <w:tcW w:w="1247" w:type="dxa"/>
          </w:tcPr>
          <w:p w14:paraId="79CA2013" w14:textId="77777777" w:rsidR="00EC667A" w:rsidRDefault="00EC667A">
            <w:pPr>
              <w:spacing w:line="240" w:lineRule="auto"/>
              <w:rPr>
                <w:sz w:val="24"/>
              </w:rPr>
            </w:pPr>
            <w:r>
              <w:rPr>
                <w:sz w:val="24"/>
                <w:rtl/>
              </w:rPr>
              <w:t xml:space="preserve">סעיף 5 </w:t>
            </w:r>
          </w:p>
        </w:tc>
      </w:tr>
      <w:tr w:rsidR="00EC667A" w14:paraId="117E77BD" w14:textId="77777777">
        <w:tblPrEx>
          <w:tblCellMar>
            <w:top w:w="0" w:type="dxa"/>
            <w:bottom w:w="0" w:type="dxa"/>
          </w:tblCellMar>
        </w:tblPrEx>
        <w:tc>
          <w:tcPr>
            <w:tcW w:w="850" w:type="dxa"/>
          </w:tcPr>
          <w:p w14:paraId="0036F6C5" w14:textId="77777777" w:rsidR="00EC667A" w:rsidRDefault="00EC667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F0280">
              <w:rPr>
                <w:noProof/>
                <w:sz w:val="24"/>
                <w:rtl/>
              </w:rPr>
              <w:t>2</w:t>
            </w:r>
            <w:r>
              <w:rPr>
                <w:sz w:val="24"/>
                <w:rtl/>
              </w:rPr>
              <w:fldChar w:fldCharType="end"/>
            </w:r>
          </w:p>
        </w:tc>
        <w:tc>
          <w:tcPr>
            <w:tcW w:w="567" w:type="dxa"/>
          </w:tcPr>
          <w:p w14:paraId="57A5A08F" w14:textId="77777777" w:rsidR="00EC667A" w:rsidRDefault="00EC667A">
            <w:pPr>
              <w:spacing w:line="240" w:lineRule="auto"/>
              <w:rPr>
                <w:sz w:val="24"/>
              </w:rPr>
            </w:pPr>
            <w:hyperlink w:anchor="Seif5" w:tooltip="דין רציפות" w:history="1">
              <w:r>
                <w:rPr>
                  <w:rStyle w:val="Hyperlink"/>
                </w:rPr>
                <w:t>Go</w:t>
              </w:r>
            </w:hyperlink>
          </w:p>
        </w:tc>
        <w:tc>
          <w:tcPr>
            <w:tcW w:w="5669" w:type="dxa"/>
          </w:tcPr>
          <w:p w14:paraId="080D6240" w14:textId="77777777" w:rsidR="00EC667A" w:rsidRDefault="00EC667A">
            <w:pPr>
              <w:spacing w:line="240" w:lineRule="auto"/>
              <w:rPr>
                <w:sz w:val="24"/>
                <w:rtl/>
              </w:rPr>
            </w:pPr>
            <w:r>
              <w:rPr>
                <w:sz w:val="24"/>
                <w:rtl/>
              </w:rPr>
              <w:t>דין רציפות</w:t>
            </w:r>
          </w:p>
        </w:tc>
        <w:tc>
          <w:tcPr>
            <w:tcW w:w="1247" w:type="dxa"/>
          </w:tcPr>
          <w:p w14:paraId="047EDA04" w14:textId="77777777" w:rsidR="00EC667A" w:rsidRDefault="00EC667A">
            <w:pPr>
              <w:spacing w:line="240" w:lineRule="auto"/>
              <w:rPr>
                <w:sz w:val="24"/>
              </w:rPr>
            </w:pPr>
            <w:r>
              <w:rPr>
                <w:sz w:val="24"/>
                <w:rtl/>
              </w:rPr>
              <w:t xml:space="preserve">סעיף 6 </w:t>
            </w:r>
          </w:p>
        </w:tc>
      </w:tr>
      <w:tr w:rsidR="00EC667A" w14:paraId="02192854" w14:textId="77777777">
        <w:tblPrEx>
          <w:tblCellMar>
            <w:top w:w="0" w:type="dxa"/>
            <w:bottom w:w="0" w:type="dxa"/>
          </w:tblCellMar>
        </w:tblPrEx>
        <w:tc>
          <w:tcPr>
            <w:tcW w:w="850" w:type="dxa"/>
          </w:tcPr>
          <w:p w14:paraId="3BC44E8C" w14:textId="77777777" w:rsidR="00EC667A" w:rsidRDefault="00EC667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F0280">
              <w:rPr>
                <w:noProof/>
                <w:sz w:val="24"/>
                <w:rtl/>
              </w:rPr>
              <w:t>2</w:t>
            </w:r>
            <w:r>
              <w:rPr>
                <w:sz w:val="24"/>
                <w:rtl/>
              </w:rPr>
              <w:fldChar w:fldCharType="end"/>
            </w:r>
          </w:p>
        </w:tc>
        <w:tc>
          <w:tcPr>
            <w:tcW w:w="567" w:type="dxa"/>
          </w:tcPr>
          <w:p w14:paraId="7506363C" w14:textId="77777777" w:rsidR="00EC667A" w:rsidRDefault="00EC667A">
            <w:pPr>
              <w:spacing w:line="240" w:lineRule="auto"/>
              <w:rPr>
                <w:sz w:val="24"/>
              </w:rPr>
            </w:pPr>
            <w:hyperlink w:anchor="Seif6" w:tooltip="ביטול" w:history="1">
              <w:r>
                <w:rPr>
                  <w:rStyle w:val="Hyperlink"/>
                </w:rPr>
                <w:t>Go</w:t>
              </w:r>
            </w:hyperlink>
          </w:p>
        </w:tc>
        <w:tc>
          <w:tcPr>
            <w:tcW w:w="5669" w:type="dxa"/>
          </w:tcPr>
          <w:p w14:paraId="0A5B92C9" w14:textId="77777777" w:rsidR="00EC667A" w:rsidRDefault="00EC667A">
            <w:pPr>
              <w:spacing w:line="240" w:lineRule="auto"/>
              <w:rPr>
                <w:sz w:val="24"/>
                <w:rtl/>
              </w:rPr>
            </w:pPr>
            <w:r>
              <w:rPr>
                <w:sz w:val="24"/>
                <w:rtl/>
              </w:rPr>
              <w:t>ביטול</w:t>
            </w:r>
          </w:p>
        </w:tc>
        <w:tc>
          <w:tcPr>
            <w:tcW w:w="1247" w:type="dxa"/>
          </w:tcPr>
          <w:p w14:paraId="761AED93" w14:textId="77777777" w:rsidR="00EC667A" w:rsidRDefault="00EC667A">
            <w:pPr>
              <w:spacing w:line="240" w:lineRule="auto"/>
              <w:rPr>
                <w:sz w:val="24"/>
              </w:rPr>
            </w:pPr>
            <w:r>
              <w:rPr>
                <w:sz w:val="24"/>
                <w:rtl/>
              </w:rPr>
              <w:t xml:space="preserve">סעיף 7 </w:t>
            </w:r>
          </w:p>
        </w:tc>
      </w:tr>
    </w:tbl>
    <w:p w14:paraId="1A2CBED0" w14:textId="77777777" w:rsidR="00EC667A" w:rsidRDefault="00EC667A">
      <w:pPr>
        <w:pStyle w:val="big-header"/>
        <w:ind w:left="0" w:right="1134"/>
        <w:rPr>
          <w:rFonts w:cs="FrankRuehl"/>
          <w:sz w:val="32"/>
          <w:rtl/>
        </w:rPr>
      </w:pPr>
    </w:p>
    <w:p w14:paraId="41A0F00E" w14:textId="77777777" w:rsidR="00EC667A" w:rsidRDefault="00EC667A" w:rsidP="00496C92">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רציפות הדיון בהצעות חוק, תשנ"ג</w:t>
      </w:r>
      <w:r w:rsidR="00DF0280">
        <w:rPr>
          <w:rFonts w:cs="FrankRuehl" w:hint="cs"/>
          <w:sz w:val="32"/>
          <w:rtl/>
        </w:rPr>
        <w:t>-</w:t>
      </w:r>
      <w:r>
        <w:rPr>
          <w:rFonts w:cs="FrankRuehl"/>
          <w:sz w:val="32"/>
          <w:rtl/>
        </w:rPr>
        <w:t>1993</w:t>
      </w:r>
      <w:r w:rsidR="00DF0280">
        <w:rPr>
          <w:rStyle w:val="a6"/>
          <w:rFonts w:cs="FrankRuehl"/>
          <w:sz w:val="32"/>
          <w:rtl/>
        </w:rPr>
        <w:footnoteReference w:customMarkFollows="1" w:id="1"/>
        <w:t>*</w:t>
      </w:r>
    </w:p>
    <w:p w14:paraId="5626264C" w14:textId="77777777" w:rsidR="00EC667A" w:rsidRDefault="00EC667A">
      <w:pPr>
        <w:pStyle w:val="P00"/>
        <w:spacing w:before="72"/>
        <w:ind w:left="0" w:right="1134"/>
        <w:rPr>
          <w:rStyle w:val="default"/>
          <w:rFonts w:cs="FrankRuehl"/>
          <w:rtl/>
        </w:rPr>
      </w:pPr>
      <w:bookmarkStart w:id="0" w:name="Seif0"/>
      <w:bookmarkEnd w:id="0"/>
      <w:r>
        <w:rPr>
          <w:lang w:val="he-IL"/>
        </w:rPr>
        <w:pict w14:anchorId="094B7F86">
          <v:rect id="_x0000_s1026" style="position:absolute;left:0;text-align:left;margin-left:464.5pt;margin-top:8.05pt;width:75.05pt;height:11.4pt;z-index:251654656" o:allowincell="f" filled="f" stroked="f" strokecolor="lime" strokeweight=".25pt">
            <v:textbox inset="0,0,0,0">
              <w:txbxContent>
                <w:p w14:paraId="344868AD" w14:textId="77777777" w:rsidR="00EC667A" w:rsidRDefault="00EC667A">
                  <w:pPr>
                    <w:spacing w:line="160" w:lineRule="exact"/>
                    <w:jc w:val="left"/>
                    <w:rPr>
                      <w:rFonts w:cs="Miriam"/>
                      <w:noProof/>
                      <w:sz w:val="18"/>
                      <w:szCs w:val="18"/>
                      <w:rtl/>
                    </w:rPr>
                  </w:pPr>
                  <w:r>
                    <w:rPr>
                      <w:rFonts w:cs="Miriam"/>
                      <w:sz w:val="18"/>
                      <w:szCs w:val="18"/>
                      <w:rtl/>
                    </w:rPr>
                    <w:t>הצ</w:t>
                  </w:r>
                  <w:r>
                    <w:rPr>
                      <w:rFonts w:cs="Miriam" w:hint="cs"/>
                      <w:sz w:val="18"/>
                      <w:szCs w:val="18"/>
                      <w:rtl/>
                    </w:rPr>
                    <w:t>עת הממ</w:t>
                  </w:r>
                  <w:r>
                    <w:rPr>
                      <w:rFonts w:cs="Miriam"/>
                      <w:sz w:val="18"/>
                      <w:szCs w:val="18"/>
                      <w:rtl/>
                    </w:rPr>
                    <w:t>של</w:t>
                  </w:r>
                  <w:r>
                    <w:rPr>
                      <w:rFonts w:cs="Miriam" w:hint="cs"/>
                      <w:sz w:val="18"/>
                      <w:szCs w:val="18"/>
                      <w:rtl/>
                    </w:rPr>
                    <w:t>ה</w:t>
                  </w:r>
                </w:p>
              </w:txbxContent>
            </v:textbox>
            <w10:anchorlock/>
          </v:rect>
        </w:pict>
      </w:r>
      <w:r>
        <w:rPr>
          <w:rStyle w:val="big-number"/>
          <w:rFonts w:cs="Miriam"/>
          <w:rtl/>
        </w:rPr>
        <w:t>1.</w:t>
      </w:r>
      <w:r>
        <w:rPr>
          <w:rStyle w:val="big-number"/>
          <w:rFonts w:cs="Miriam"/>
          <w:rtl/>
        </w:rPr>
        <w:tab/>
      </w:r>
      <w:r>
        <w:rPr>
          <w:rStyle w:val="default"/>
          <w:rFonts w:cs="FrankRuehl"/>
          <w:rtl/>
        </w:rPr>
        <w:t>הצ</w:t>
      </w:r>
      <w:r>
        <w:rPr>
          <w:rStyle w:val="default"/>
          <w:rFonts w:cs="FrankRuehl" w:hint="cs"/>
          <w:rtl/>
        </w:rPr>
        <w:t>עת חוק שכנסת יוצאת העבירה לאחר קריאה ראשונה לאחת מועדותיה, רשאית ממשלה שנתכוננה בכנסת הנכנסת, להודיע במליאת הכנסת על רצונה שיחול עליה דין רציפות כאמור בסעיף 6.</w:t>
      </w:r>
    </w:p>
    <w:p w14:paraId="109809F4" w14:textId="77777777" w:rsidR="00EC667A" w:rsidRDefault="00EC667A" w:rsidP="00DF0280">
      <w:pPr>
        <w:pStyle w:val="P00"/>
        <w:spacing w:before="72"/>
        <w:ind w:left="0" w:right="1134"/>
        <w:rPr>
          <w:rStyle w:val="default"/>
          <w:rFonts w:cs="FrankRuehl"/>
          <w:rtl/>
        </w:rPr>
      </w:pPr>
      <w:bookmarkStart w:id="1" w:name="Seif1"/>
      <w:bookmarkEnd w:id="1"/>
      <w:r>
        <w:rPr>
          <w:lang w:val="he-IL"/>
        </w:rPr>
        <w:pict w14:anchorId="3067E1DE">
          <v:rect id="_x0000_s1027" style="position:absolute;left:0;text-align:left;margin-left:464.5pt;margin-top:8.05pt;width:75.05pt;height:21.5pt;z-index:251655680" o:allowincell="f" filled="f" stroked="f" strokecolor="lime" strokeweight=".25pt">
            <v:textbox inset="0,0,0,0">
              <w:txbxContent>
                <w:p w14:paraId="507427F1" w14:textId="77777777" w:rsidR="00EC667A" w:rsidRDefault="00EC667A">
                  <w:pPr>
                    <w:spacing w:line="160" w:lineRule="exact"/>
                    <w:jc w:val="left"/>
                    <w:rPr>
                      <w:rFonts w:cs="Miriam"/>
                      <w:noProof/>
                      <w:sz w:val="18"/>
                      <w:szCs w:val="18"/>
                      <w:rtl/>
                    </w:rPr>
                  </w:pPr>
                  <w:r>
                    <w:rPr>
                      <w:rFonts w:cs="Miriam"/>
                      <w:sz w:val="18"/>
                      <w:szCs w:val="18"/>
                      <w:rtl/>
                    </w:rPr>
                    <w:t>הצ</w:t>
                  </w:r>
                  <w:r>
                    <w:rPr>
                      <w:rFonts w:cs="Miriam" w:hint="cs"/>
                      <w:sz w:val="18"/>
                      <w:szCs w:val="18"/>
                      <w:rtl/>
                    </w:rPr>
                    <w:t>עת ועדה של הכנסת</w:t>
                  </w:r>
                </w:p>
              </w:txbxContent>
            </v:textbox>
            <w10:anchorlock/>
          </v:rect>
        </w:pict>
      </w:r>
      <w:r>
        <w:rPr>
          <w:rStyle w:val="big-number"/>
          <w:rFonts w:cs="Miriam"/>
          <w:rtl/>
        </w:rPr>
        <w:t>2.</w:t>
      </w:r>
      <w:r>
        <w:rPr>
          <w:rStyle w:val="big-number"/>
          <w:rFonts w:cs="Miriam"/>
          <w:rtl/>
        </w:rPr>
        <w:tab/>
      </w:r>
      <w:r>
        <w:rPr>
          <w:rStyle w:val="default"/>
          <w:rFonts w:cs="FrankRuehl"/>
          <w:rtl/>
        </w:rPr>
        <w:t>הצ</w:t>
      </w:r>
      <w:r>
        <w:rPr>
          <w:rStyle w:val="default"/>
          <w:rFonts w:cs="FrankRuehl" w:hint="cs"/>
          <w:rtl/>
        </w:rPr>
        <w:t xml:space="preserve">עת חוק </w:t>
      </w:r>
      <w:r>
        <w:rPr>
          <w:rStyle w:val="default"/>
          <w:rFonts w:cs="FrankRuehl"/>
          <w:rtl/>
        </w:rPr>
        <w:t>שה</w:t>
      </w:r>
      <w:r>
        <w:rPr>
          <w:rStyle w:val="default"/>
          <w:rFonts w:cs="FrankRuehl" w:hint="cs"/>
          <w:rtl/>
        </w:rPr>
        <w:t xml:space="preserve">ציעה ועדה של הכנסת או שהציע חבר הכנסת, ושכנסת יוצאת העבירה לאחר קריאה ראשונה לאחת מועדותיה, רשאית אותה ועדה, ואם אין ועדה כזו או שאין היא מוסמכת עוד לאותו ענין </w:t>
      </w:r>
      <w:r w:rsidR="00DF0280">
        <w:rPr>
          <w:rStyle w:val="default"/>
          <w:rFonts w:cs="FrankRuehl" w:hint="cs"/>
          <w:rtl/>
        </w:rPr>
        <w:t>-</w:t>
      </w:r>
      <w:r>
        <w:rPr>
          <w:rStyle w:val="default"/>
          <w:rFonts w:cs="FrankRuehl"/>
          <w:rtl/>
        </w:rPr>
        <w:t xml:space="preserve"> </w:t>
      </w:r>
      <w:r>
        <w:rPr>
          <w:rStyle w:val="default"/>
          <w:rFonts w:cs="FrankRuehl" w:hint="cs"/>
          <w:rtl/>
        </w:rPr>
        <w:t xml:space="preserve">הועדה שהצעת החוק היא בתחום ענייניה (להלן </w:t>
      </w:r>
      <w:r w:rsidR="00DF0280">
        <w:rPr>
          <w:rStyle w:val="default"/>
          <w:rFonts w:cs="FrankRuehl" w:hint="cs"/>
          <w:rtl/>
        </w:rPr>
        <w:t>-</w:t>
      </w:r>
      <w:r>
        <w:rPr>
          <w:rStyle w:val="default"/>
          <w:rFonts w:cs="FrankRuehl"/>
          <w:rtl/>
        </w:rPr>
        <w:t xml:space="preserve"> </w:t>
      </w:r>
      <w:r>
        <w:rPr>
          <w:rStyle w:val="default"/>
          <w:rFonts w:cs="FrankRuehl" w:hint="cs"/>
          <w:rtl/>
        </w:rPr>
        <w:t>הועדה), להודיע במליאת הכנסת הנכנסת על רצונה שיחו</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ליה דין רציפות כאמור בסעיף 6.</w:t>
      </w:r>
    </w:p>
    <w:p w14:paraId="33C28F09" w14:textId="77777777" w:rsidR="00EC667A" w:rsidRDefault="00EC667A">
      <w:pPr>
        <w:pStyle w:val="P00"/>
        <w:spacing w:before="72"/>
        <w:ind w:left="0" w:right="1134"/>
        <w:rPr>
          <w:rStyle w:val="default"/>
          <w:rFonts w:cs="FrankRuehl"/>
          <w:rtl/>
        </w:rPr>
      </w:pPr>
      <w:bookmarkStart w:id="2" w:name="Seif2"/>
      <w:bookmarkEnd w:id="2"/>
      <w:r>
        <w:rPr>
          <w:lang w:val="he-IL"/>
        </w:rPr>
        <w:pict w14:anchorId="1C50BF3E">
          <v:rect id="_x0000_s1028" style="position:absolute;left:0;text-align:left;margin-left:464.5pt;margin-top:8.05pt;width:75.05pt;height:11pt;z-index:251656704" o:allowincell="f" filled="f" stroked="f" strokecolor="lime" strokeweight=".25pt">
            <v:textbox inset="0,0,0,0">
              <w:txbxContent>
                <w:p w14:paraId="44A73259" w14:textId="77777777" w:rsidR="00EC667A" w:rsidRDefault="00EC667A">
                  <w:pPr>
                    <w:spacing w:line="160" w:lineRule="exact"/>
                    <w:jc w:val="left"/>
                    <w:rPr>
                      <w:rFonts w:cs="Miriam"/>
                      <w:noProof/>
                      <w:sz w:val="18"/>
                      <w:szCs w:val="18"/>
                      <w:rtl/>
                    </w:rPr>
                  </w:pPr>
                  <w:r>
                    <w:rPr>
                      <w:rFonts w:cs="Miriam"/>
                      <w:sz w:val="18"/>
                      <w:szCs w:val="18"/>
                      <w:rtl/>
                    </w:rPr>
                    <w:t>הס</w:t>
                  </w:r>
                  <w:r>
                    <w:rPr>
                      <w:rFonts w:cs="Miriam" w:hint="cs"/>
                      <w:sz w:val="18"/>
                      <w:szCs w:val="18"/>
                      <w:rtl/>
                    </w:rPr>
                    <w:t>כמת חבר הכנסת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ודעה כאמור בסעיף 1 או 2 לגבי הצעת חוק שהציע חבר הכנסת היוצאת, לא תימסר אלא אם כן אותו חבר הכנסת מכהן בכנסת הנכנסת ונתן את הסכמתו</w:t>
      </w:r>
      <w:r>
        <w:rPr>
          <w:rStyle w:val="default"/>
          <w:rFonts w:cs="FrankRuehl"/>
          <w:rtl/>
        </w:rPr>
        <w:t xml:space="preserve"> </w:t>
      </w:r>
      <w:r>
        <w:rPr>
          <w:rStyle w:val="default"/>
          <w:rFonts w:cs="FrankRuehl" w:hint="cs"/>
          <w:rtl/>
        </w:rPr>
        <w:t>לכך.</w:t>
      </w:r>
    </w:p>
    <w:p w14:paraId="49F62B5A" w14:textId="77777777" w:rsidR="00EC667A" w:rsidRDefault="00EC66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צעת חוק שהגישו בכנסת היוצאת כמה חברי הכנסת, די בכך שנתקיימו לגבי אחד מהם הת</w:t>
      </w:r>
      <w:r>
        <w:rPr>
          <w:rStyle w:val="default"/>
          <w:rFonts w:cs="FrankRuehl"/>
          <w:rtl/>
        </w:rPr>
        <w:t>נא</w:t>
      </w:r>
      <w:r>
        <w:rPr>
          <w:rStyle w:val="default"/>
          <w:rFonts w:cs="FrankRuehl" w:hint="cs"/>
          <w:rtl/>
        </w:rPr>
        <w:t>ים האמורים בסעיף קטן (א).</w:t>
      </w:r>
    </w:p>
    <w:p w14:paraId="03EA08CB" w14:textId="77777777" w:rsidR="00EC667A" w:rsidRDefault="00EC667A">
      <w:pPr>
        <w:pStyle w:val="P00"/>
        <w:spacing w:before="72"/>
        <w:ind w:left="0" w:right="1134"/>
        <w:rPr>
          <w:rStyle w:val="default"/>
          <w:rFonts w:cs="FrankRuehl"/>
          <w:rtl/>
        </w:rPr>
      </w:pPr>
      <w:bookmarkStart w:id="3" w:name="Seif3"/>
      <w:bookmarkEnd w:id="3"/>
      <w:r>
        <w:rPr>
          <w:lang w:val="he-IL"/>
        </w:rPr>
        <w:pict w14:anchorId="60C56CD6">
          <v:rect id="_x0000_s1029" style="position:absolute;left:0;text-align:left;margin-left:464.5pt;margin-top:8.05pt;width:75.05pt;height:10.1pt;z-index:251657728" o:allowincell="f" filled="f" stroked="f" strokecolor="lime" strokeweight=".25pt">
            <v:textbox inset="0,0,0,0">
              <w:txbxContent>
                <w:p w14:paraId="797FF754" w14:textId="77777777" w:rsidR="00EC667A" w:rsidRDefault="00EC667A">
                  <w:pPr>
                    <w:spacing w:line="160" w:lineRule="exact"/>
                    <w:jc w:val="left"/>
                    <w:rPr>
                      <w:rFonts w:cs="Miriam"/>
                      <w:noProof/>
                      <w:sz w:val="18"/>
                      <w:szCs w:val="18"/>
                      <w:rtl/>
                    </w:rPr>
                  </w:pPr>
                  <w:r>
                    <w:rPr>
                      <w:rFonts w:cs="Miriam"/>
                      <w:sz w:val="18"/>
                      <w:szCs w:val="18"/>
                      <w:rtl/>
                    </w:rPr>
                    <w:t>הד</w:t>
                  </w:r>
                  <w:r>
                    <w:rPr>
                      <w:rFonts w:cs="Miriam" w:hint="cs"/>
                      <w:sz w:val="18"/>
                      <w:szCs w:val="18"/>
                      <w:rtl/>
                    </w:rPr>
                    <w:t>יון בועדה</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 xml:space="preserve">דעת הועדה לפי סעיף 2 תימסר לאחר שניתנה לממשלה הודעה על הדיון בועדה, לפחות 21 ימים לפני המועד שנקבע לו; הממשלה רשאית לבקש </w:t>
      </w:r>
      <w:r>
        <w:rPr>
          <w:rStyle w:val="default"/>
          <w:rFonts w:cs="FrankRuehl"/>
          <w:rtl/>
        </w:rPr>
        <w:t>א</w:t>
      </w:r>
      <w:r>
        <w:rPr>
          <w:rStyle w:val="default"/>
          <w:rFonts w:cs="FrankRuehl" w:hint="cs"/>
          <w:rtl/>
        </w:rPr>
        <w:t>רכה של 21 ימים נוספים, וכן רשאית היא להסכים כי הדיון בועדה יתקיים לפני עבור 21 הימים הראשונים או הנו</w:t>
      </w:r>
      <w:r>
        <w:rPr>
          <w:rStyle w:val="default"/>
          <w:rFonts w:cs="FrankRuehl"/>
          <w:rtl/>
        </w:rPr>
        <w:t>ספ</w:t>
      </w:r>
      <w:r>
        <w:rPr>
          <w:rStyle w:val="default"/>
          <w:rFonts w:cs="FrankRuehl" w:hint="cs"/>
          <w:rtl/>
        </w:rPr>
        <w:t>ים.</w:t>
      </w:r>
    </w:p>
    <w:p w14:paraId="44601934" w14:textId="77777777" w:rsidR="00EC667A" w:rsidRDefault="00EC667A">
      <w:pPr>
        <w:pStyle w:val="P00"/>
        <w:spacing w:before="72"/>
        <w:ind w:left="0" w:right="1134"/>
        <w:rPr>
          <w:rStyle w:val="default"/>
          <w:rFonts w:cs="FrankRuehl"/>
          <w:rtl/>
        </w:rPr>
      </w:pPr>
      <w:bookmarkStart w:id="4" w:name="Seif4"/>
      <w:bookmarkEnd w:id="4"/>
      <w:r>
        <w:rPr>
          <w:lang w:val="he-IL"/>
        </w:rPr>
        <w:pict w14:anchorId="10ED3A3E">
          <v:rect id="_x0000_s1030" style="position:absolute;left:0;text-align:left;margin-left:464.5pt;margin-top:8.05pt;width:75.05pt;height:14.6pt;z-index:251658752" o:allowincell="f" filled="f" stroked="f" strokecolor="lime" strokeweight=".25pt">
            <v:textbox inset="0,0,0,0">
              <w:txbxContent>
                <w:p w14:paraId="67695324" w14:textId="77777777" w:rsidR="00EC667A" w:rsidRDefault="00EC667A">
                  <w:pPr>
                    <w:spacing w:line="160" w:lineRule="exact"/>
                    <w:jc w:val="left"/>
                    <w:rPr>
                      <w:rFonts w:cs="Miriam"/>
                      <w:noProof/>
                      <w:sz w:val="18"/>
                      <w:szCs w:val="18"/>
                      <w:rtl/>
                    </w:rPr>
                  </w:pPr>
                  <w:r>
                    <w:rPr>
                      <w:rFonts w:cs="Miriam"/>
                      <w:sz w:val="18"/>
                      <w:szCs w:val="18"/>
                      <w:rtl/>
                    </w:rPr>
                    <w:t>הת</w:t>
                  </w:r>
                  <w:r>
                    <w:rPr>
                      <w:rFonts w:cs="Miriam" w:hint="cs"/>
                      <w:sz w:val="18"/>
                      <w:szCs w:val="18"/>
                      <w:rtl/>
                    </w:rPr>
                    <w:t>נגדות לרציפות</w:t>
                  </w:r>
                </w:p>
              </w:txbxContent>
            </v:textbox>
            <w10:anchorlock/>
          </v:rect>
        </w:pict>
      </w:r>
      <w:r>
        <w:rPr>
          <w:rStyle w:val="big-number"/>
          <w:rFonts w:cs="Miriam"/>
          <w:rtl/>
        </w:rPr>
        <w:t>5.</w:t>
      </w:r>
      <w:r>
        <w:rPr>
          <w:rStyle w:val="big-number"/>
          <w:rFonts w:cs="Miriam"/>
          <w:rtl/>
        </w:rPr>
        <w:tab/>
      </w:r>
      <w:r>
        <w:rPr>
          <w:rStyle w:val="default"/>
          <w:rFonts w:cs="FrankRuehl"/>
          <w:rtl/>
        </w:rPr>
        <w:t>הו</w:t>
      </w:r>
      <w:r>
        <w:rPr>
          <w:rStyle w:val="default"/>
          <w:rFonts w:cs="FrankRuehl" w:hint="cs"/>
          <w:rtl/>
        </w:rPr>
        <w:t xml:space="preserve">דיעה הממשלה, כאמור בסעיף 1, או הועדה כאמור בסעיף 2, רשאית סיעה להציע, תוך שבועיים, שדין הרציפות לא יחול על הצעת החוק, וכן </w:t>
      </w:r>
      <w:r>
        <w:rPr>
          <w:rStyle w:val="default"/>
          <w:rFonts w:cs="FrankRuehl"/>
          <w:rtl/>
        </w:rPr>
        <w:t>רש</w:t>
      </w:r>
      <w:r>
        <w:rPr>
          <w:rStyle w:val="default"/>
          <w:rFonts w:cs="FrankRuehl" w:hint="cs"/>
          <w:rtl/>
        </w:rPr>
        <w:t>אית הממשלה להציע כאמור, לגבי הודעה של ועדה; הוגשה הצעה כזאת, ינמקה אחד מחברי הסיעה או הממשלה, לפי הענין; הממשלה או הועדה, לפי הענין, יש</w:t>
      </w:r>
      <w:r>
        <w:rPr>
          <w:rStyle w:val="default"/>
          <w:rFonts w:cs="FrankRuehl"/>
          <w:rtl/>
        </w:rPr>
        <w:t>י</w:t>
      </w:r>
      <w:r>
        <w:rPr>
          <w:rStyle w:val="default"/>
          <w:rFonts w:cs="FrankRuehl" w:hint="cs"/>
          <w:rtl/>
        </w:rPr>
        <w:t>בו, והכנסת תצביע על ההצעה.</w:t>
      </w:r>
    </w:p>
    <w:p w14:paraId="35B3C857" w14:textId="77777777" w:rsidR="00EC667A" w:rsidRDefault="00EC667A">
      <w:pPr>
        <w:pStyle w:val="P00"/>
        <w:spacing w:before="72"/>
        <w:ind w:left="0" w:right="1134"/>
        <w:rPr>
          <w:rStyle w:val="default"/>
          <w:rFonts w:cs="FrankRuehl"/>
          <w:rtl/>
        </w:rPr>
      </w:pPr>
      <w:bookmarkStart w:id="5" w:name="Seif5"/>
      <w:bookmarkEnd w:id="5"/>
      <w:r>
        <w:rPr>
          <w:lang w:val="he-IL"/>
        </w:rPr>
        <w:pict w14:anchorId="77E01098">
          <v:rect id="_x0000_s1031" style="position:absolute;left:0;text-align:left;margin-left:464.5pt;margin-top:8.05pt;width:75.05pt;height:11.65pt;z-index:251659776" o:allowincell="f" filled="f" stroked="f" strokecolor="lime" strokeweight=".25pt">
            <v:textbox inset="0,0,0,0">
              <w:txbxContent>
                <w:p w14:paraId="09A13BA8" w14:textId="77777777" w:rsidR="00EC667A" w:rsidRDefault="00EC667A">
                  <w:pPr>
                    <w:spacing w:line="160" w:lineRule="exact"/>
                    <w:jc w:val="left"/>
                    <w:rPr>
                      <w:rFonts w:cs="Miriam"/>
                      <w:noProof/>
                      <w:sz w:val="18"/>
                      <w:szCs w:val="18"/>
                      <w:rtl/>
                    </w:rPr>
                  </w:pPr>
                  <w:r>
                    <w:rPr>
                      <w:rFonts w:cs="Miriam"/>
                      <w:sz w:val="18"/>
                      <w:szCs w:val="18"/>
                      <w:rtl/>
                    </w:rPr>
                    <w:t>די</w:t>
                  </w:r>
                  <w:r>
                    <w:rPr>
                      <w:rFonts w:cs="Miriam" w:hint="cs"/>
                      <w:sz w:val="18"/>
                      <w:szCs w:val="18"/>
                      <w:rtl/>
                    </w:rPr>
                    <w:t>ן רציפות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הוצעה הצעה כאמור בסעיף 5, יודיע יושב ראש הכנסת על כך בכנסת, והכנסת תצביע, ללא די</w:t>
      </w:r>
      <w:r>
        <w:rPr>
          <w:rStyle w:val="default"/>
          <w:rFonts w:cs="FrankRuehl"/>
          <w:rtl/>
        </w:rPr>
        <w:t>ון</w:t>
      </w:r>
      <w:r>
        <w:rPr>
          <w:rStyle w:val="default"/>
          <w:rFonts w:cs="FrankRuehl" w:hint="cs"/>
          <w:rtl/>
        </w:rPr>
        <w:t>, אם להחיל רציפות.</w:t>
      </w:r>
    </w:p>
    <w:p w14:paraId="4D199363" w14:textId="77777777" w:rsidR="00EC667A" w:rsidRDefault="00EC66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חליטה הכנסת להחיל רציפות כאמור בסעיף קטן (א), או שהוצעה הצעה כאמור בסעיף 5, ונדחתה על ידי הכנסת, תמשיך הכנסת הנכנסת, לדון בהצעת החוק ורשאית היא לנהוג בדיונים שנתקיימו בכנסת היוצאת כאילו היו אלה דיונים שלה.</w:t>
      </w:r>
    </w:p>
    <w:p w14:paraId="69381860" w14:textId="77777777" w:rsidR="00EC667A" w:rsidRDefault="00EC667A" w:rsidP="00DF0280">
      <w:pPr>
        <w:pStyle w:val="P00"/>
        <w:spacing w:before="72"/>
        <w:ind w:left="0" w:right="1134"/>
        <w:rPr>
          <w:rStyle w:val="default"/>
          <w:rFonts w:cs="FrankRuehl"/>
          <w:rtl/>
        </w:rPr>
      </w:pPr>
      <w:bookmarkStart w:id="6" w:name="Seif6"/>
      <w:bookmarkEnd w:id="6"/>
      <w:r>
        <w:rPr>
          <w:lang w:val="he-IL"/>
        </w:rPr>
        <w:pict w14:anchorId="69E9A0A3">
          <v:rect id="_x0000_s1032" style="position:absolute;left:0;text-align:left;margin-left:464.5pt;margin-top:8.05pt;width:75.05pt;height:14.55pt;z-index:251660800" o:allowincell="f" filled="f" stroked="f" strokecolor="lime" strokeweight=".25pt">
            <v:textbox inset="0,0,0,0">
              <w:txbxContent>
                <w:p w14:paraId="32D070D7" w14:textId="77777777" w:rsidR="00EC667A" w:rsidRDefault="00EC667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7.</w:t>
      </w:r>
      <w:r>
        <w:rPr>
          <w:rStyle w:val="big-number"/>
          <w:rFonts w:cs="Miriam"/>
          <w:rtl/>
        </w:rPr>
        <w:tab/>
      </w:r>
      <w:r>
        <w:rPr>
          <w:rStyle w:val="default"/>
          <w:rFonts w:cs="FrankRuehl"/>
          <w:rtl/>
        </w:rPr>
        <w:t>חו</w:t>
      </w:r>
      <w:r>
        <w:rPr>
          <w:rStyle w:val="default"/>
          <w:rFonts w:cs="FrankRuehl" w:hint="cs"/>
          <w:rtl/>
        </w:rPr>
        <w:t>ק רציפות הדיון בה</w:t>
      </w:r>
      <w:r>
        <w:rPr>
          <w:rStyle w:val="default"/>
          <w:rFonts w:cs="FrankRuehl"/>
          <w:rtl/>
        </w:rPr>
        <w:t>צע</w:t>
      </w:r>
      <w:r>
        <w:rPr>
          <w:rStyle w:val="default"/>
          <w:rFonts w:cs="FrankRuehl" w:hint="cs"/>
          <w:rtl/>
        </w:rPr>
        <w:t>ות חוק, תשכ"ה</w:t>
      </w:r>
      <w:r w:rsidR="00DF0280">
        <w:rPr>
          <w:rStyle w:val="default"/>
          <w:rFonts w:cs="FrankRuehl" w:hint="cs"/>
          <w:rtl/>
        </w:rPr>
        <w:t>-</w:t>
      </w:r>
      <w:r>
        <w:rPr>
          <w:rStyle w:val="default"/>
          <w:rFonts w:cs="FrankRuehl"/>
          <w:rtl/>
        </w:rPr>
        <w:t xml:space="preserve">1964 </w:t>
      </w:r>
      <w:r w:rsidR="00DF0280">
        <w:rPr>
          <w:rStyle w:val="default"/>
          <w:rFonts w:cs="FrankRuehl" w:hint="cs"/>
          <w:rtl/>
        </w:rPr>
        <w:t>-</w:t>
      </w:r>
      <w:r>
        <w:rPr>
          <w:rStyle w:val="default"/>
          <w:rFonts w:cs="FrankRuehl"/>
          <w:rtl/>
        </w:rPr>
        <w:t xml:space="preserve"> </w:t>
      </w:r>
      <w:r>
        <w:rPr>
          <w:rStyle w:val="default"/>
          <w:rFonts w:cs="FrankRuehl" w:hint="cs"/>
          <w:rtl/>
        </w:rPr>
        <w:t>בטל.</w:t>
      </w:r>
    </w:p>
    <w:p w14:paraId="280C0BCB" w14:textId="77777777" w:rsidR="00EC667A" w:rsidRDefault="00EC667A">
      <w:pPr>
        <w:pStyle w:val="P00"/>
        <w:spacing w:before="72"/>
        <w:ind w:left="0" w:right="1134"/>
        <w:rPr>
          <w:rStyle w:val="default"/>
          <w:rFonts w:cs="FrankRuehl" w:hint="cs"/>
          <w:rtl/>
        </w:rPr>
      </w:pPr>
    </w:p>
    <w:p w14:paraId="712D3A51" w14:textId="77777777" w:rsidR="00DF0280" w:rsidRDefault="00DF0280">
      <w:pPr>
        <w:pStyle w:val="P00"/>
        <w:spacing w:before="72"/>
        <w:ind w:left="0" w:right="1134"/>
        <w:rPr>
          <w:rStyle w:val="default"/>
          <w:rFonts w:cs="FrankRuehl" w:hint="cs"/>
          <w:rtl/>
        </w:rPr>
      </w:pPr>
    </w:p>
    <w:p w14:paraId="6F2331E1" w14:textId="77777777" w:rsidR="00EC667A" w:rsidRPr="00DF0280" w:rsidRDefault="00EC667A" w:rsidP="00DF0280">
      <w:pPr>
        <w:pStyle w:val="sig-1"/>
        <w:widowControl/>
        <w:spacing w:before="72"/>
        <w:ind w:left="0" w:right="1134"/>
        <w:rPr>
          <w:rFonts w:cs="FrankRuehl"/>
          <w:sz w:val="26"/>
          <w:szCs w:val="26"/>
          <w:rtl/>
        </w:rPr>
      </w:pPr>
      <w:r w:rsidRPr="00DF0280">
        <w:rPr>
          <w:rFonts w:cs="FrankRuehl"/>
          <w:sz w:val="26"/>
          <w:szCs w:val="26"/>
          <w:rtl/>
        </w:rPr>
        <w:tab/>
      </w:r>
      <w:r w:rsidRPr="00DF0280">
        <w:rPr>
          <w:rFonts w:cs="FrankRuehl"/>
          <w:sz w:val="26"/>
          <w:szCs w:val="26"/>
          <w:rtl/>
        </w:rPr>
        <w:tab/>
        <w:t>י</w:t>
      </w:r>
      <w:r w:rsidRPr="00DF0280">
        <w:rPr>
          <w:rFonts w:cs="FrankRuehl" w:hint="cs"/>
          <w:sz w:val="26"/>
          <w:szCs w:val="26"/>
          <w:rtl/>
        </w:rPr>
        <w:t>צחק רבין</w:t>
      </w:r>
      <w:r w:rsidRPr="00DF0280">
        <w:rPr>
          <w:rFonts w:cs="FrankRuehl"/>
          <w:sz w:val="26"/>
          <w:szCs w:val="26"/>
          <w:rtl/>
        </w:rPr>
        <w:tab/>
        <w:t>ש</w:t>
      </w:r>
      <w:r w:rsidRPr="00DF0280">
        <w:rPr>
          <w:rFonts w:cs="FrankRuehl" w:hint="cs"/>
          <w:sz w:val="26"/>
          <w:szCs w:val="26"/>
          <w:rtl/>
        </w:rPr>
        <w:t>בח וייס</w:t>
      </w:r>
    </w:p>
    <w:p w14:paraId="343D79B4" w14:textId="77777777" w:rsidR="00EC667A" w:rsidRDefault="00EC667A" w:rsidP="00DF0280">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14:paraId="3572B6B3" w14:textId="77777777" w:rsidR="00DF0280" w:rsidRPr="00DF0280" w:rsidRDefault="00DF0280" w:rsidP="00DF0280">
      <w:pPr>
        <w:pStyle w:val="sig-1"/>
        <w:widowControl/>
        <w:spacing w:before="72"/>
        <w:ind w:left="0" w:right="1134"/>
        <w:rPr>
          <w:rFonts w:cs="FrankRuehl"/>
          <w:sz w:val="26"/>
          <w:szCs w:val="26"/>
          <w:rtl/>
        </w:rPr>
      </w:pPr>
      <w:r w:rsidRPr="00DF0280">
        <w:rPr>
          <w:rFonts w:cs="FrankRuehl"/>
          <w:sz w:val="26"/>
          <w:szCs w:val="26"/>
          <w:rtl/>
        </w:rPr>
        <w:tab/>
        <w:t>ח</w:t>
      </w:r>
      <w:r w:rsidRPr="00DF0280">
        <w:rPr>
          <w:rFonts w:cs="FrankRuehl" w:hint="cs"/>
          <w:sz w:val="26"/>
          <w:szCs w:val="26"/>
          <w:rtl/>
        </w:rPr>
        <w:t>יים הרצוג</w:t>
      </w:r>
    </w:p>
    <w:p w14:paraId="0CD7AF5F" w14:textId="77777777" w:rsidR="00DF0280" w:rsidRDefault="00DF0280" w:rsidP="00DF0280">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496F87C8" w14:textId="77777777" w:rsidR="00EC667A" w:rsidRPr="00DF0280" w:rsidRDefault="00EC667A" w:rsidP="00DF0280">
      <w:pPr>
        <w:pStyle w:val="P00"/>
        <w:spacing w:before="72"/>
        <w:ind w:left="0" w:right="1134"/>
        <w:rPr>
          <w:rStyle w:val="default"/>
          <w:rFonts w:cs="FrankRuehl"/>
          <w:rtl/>
        </w:rPr>
      </w:pPr>
    </w:p>
    <w:p w14:paraId="56B8ED4E" w14:textId="77777777" w:rsidR="00EC667A" w:rsidRPr="00DF0280" w:rsidRDefault="00EC667A" w:rsidP="00DF0280">
      <w:pPr>
        <w:pStyle w:val="P00"/>
        <w:spacing w:before="72"/>
        <w:ind w:left="0" w:right="1134"/>
        <w:rPr>
          <w:rStyle w:val="default"/>
          <w:rFonts w:cs="FrankRuehl"/>
          <w:rtl/>
        </w:rPr>
      </w:pPr>
    </w:p>
    <w:p w14:paraId="0F74A786" w14:textId="77777777" w:rsidR="00EC667A" w:rsidRPr="00DF0280" w:rsidRDefault="00EC667A" w:rsidP="00DF0280">
      <w:pPr>
        <w:pStyle w:val="P00"/>
        <w:spacing w:before="72"/>
        <w:ind w:left="0" w:right="1134"/>
        <w:rPr>
          <w:rStyle w:val="default"/>
          <w:rFonts w:cs="FrankRuehl"/>
          <w:rtl/>
        </w:rPr>
      </w:pPr>
    </w:p>
    <w:sectPr w:rsidR="00EC667A" w:rsidRPr="00DF028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4839" w14:textId="77777777" w:rsidR="00862278" w:rsidRDefault="00862278">
      <w:r>
        <w:separator/>
      </w:r>
    </w:p>
  </w:endnote>
  <w:endnote w:type="continuationSeparator" w:id="0">
    <w:p w14:paraId="2885831E" w14:textId="77777777" w:rsidR="00862278" w:rsidRDefault="0086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A2DD" w14:textId="77777777" w:rsidR="00EC667A" w:rsidRDefault="00EC66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21CA42" w14:textId="77777777" w:rsidR="00EC667A" w:rsidRDefault="00EC66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55914E0" w14:textId="77777777" w:rsidR="00EC667A" w:rsidRDefault="00EC66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0280">
      <w:rPr>
        <w:rFonts w:cs="TopType Jerushalmi"/>
        <w:noProof/>
        <w:color w:val="000000"/>
        <w:sz w:val="14"/>
        <w:szCs w:val="14"/>
      </w:rPr>
      <w:t>D:\Yael\hakika\Revadim</w:t>
    </w:r>
    <w:r w:rsidR="00DF0280">
      <w:rPr>
        <w:rFonts w:cs="TopType Jerushalmi"/>
        <w:noProof/>
        <w:color w:val="000000"/>
        <w:sz w:val="14"/>
        <w:szCs w:val="14"/>
        <w:rtl/>
      </w:rPr>
      <w:t>\קישורים\</w:t>
    </w:r>
    <w:r w:rsidR="00DF0280">
      <w:rPr>
        <w:rFonts w:cs="TopType Jerushalmi"/>
        <w:noProof/>
        <w:color w:val="000000"/>
        <w:sz w:val="14"/>
        <w:szCs w:val="14"/>
      </w:rPr>
      <w:t>p212k1_002.doc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70F0" w14:textId="77777777" w:rsidR="00EC667A" w:rsidRDefault="00EC66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6C92">
      <w:rPr>
        <w:rFonts w:hAnsi="FrankRuehl" w:cs="FrankRuehl"/>
        <w:noProof/>
        <w:sz w:val="24"/>
        <w:szCs w:val="24"/>
        <w:rtl/>
      </w:rPr>
      <w:t>2</w:t>
    </w:r>
    <w:r>
      <w:rPr>
        <w:rFonts w:hAnsi="FrankRuehl" w:cs="FrankRuehl"/>
        <w:sz w:val="24"/>
        <w:szCs w:val="24"/>
        <w:rtl/>
      </w:rPr>
      <w:fldChar w:fldCharType="end"/>
    </w:r>
  </w:p>
  <w:p w14:paraId="65836527" w14:textId="77777777" w:rsidR="00EC667A" w:rsidRDefault="00EC66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CC6B52" w14:textId="77777777" w:rsidR="00EC667A" w:rsidRDefault="00EC66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0280">
      <w:rPr>
        <w:rFonts w:cs="TopType Jerushalmi"/>
        <w:noProof/>
        <w:color w:val="000000"/>
        <w:sz w:val="14"/>
        <w:szCs w:val="14"/>
      </w:rPr>
      <w:t>D:\Yael\hakika\Revadim</w:t>
    </w:r>
    <w:r w:rsidR="00DF0280">
      <w:rPr>
        <w:rFonts w:cs="TopType Jerushalmi"/>
        <w:noProof/>
        <w:color w:val="000000"/>
        <w:sz w:val="14"/>
        <w:szCs w:val="14"/>
        <w:rtl/>
      </w:rPr>
      <w:t>\קישורים\</w:t>
    </w:r>
    <w:r w:rsidR="00DF0280">
      <w:rPr>
        <w:rFonts w:cs="TopType Jerushalmi"/>
        <w:noProof/>
        <w:color w:val="000000"/>
        <w:sz w:val="14"/>
        <w:szCs w:val="14"/>
      </w:rPr>
      <w:t>p212k1_002.doc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46C26" w14:textId="77777777" w:rsidR="00862278" w:rsidRDefault="00862278" w:rsidP="00DF0280">
      <w:pPr>
        <w:spacing w:before="60" w:line="240" w:lineRule="auto"/>
        <w:ind w:right="1134"/>
      </w:pPr>
      <w:r>
        <w:separator/>
      </w:r>
    </w:p>
  </w:footnote>
  <w:footnote w:type="continuationSeparator" w:id="0">
    <w:p w14:paraId="3644ED6F" w14:textId="77777777" w:rsidR="00862278" w:rsidRDefault="00862278">
      <w:r>
        <w:continuationSeparator/>
      </w:r>
    </w:p>
  </w:footnote>
  <w:footnote w:id="1">
    <w:p w14:paraId="14446105" w14:textId="77777777" w:rsidR="00DF0280" w:rsidRPr="00DF0280" w:rsidRDefault="00DF0280" w:rsidP="00DF02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F0280">
        <w:rPr>
          <w:rFonts w:cs="FrankRuehl"/>
          <w:rtl/>
        </w:rPr>
        <w:t xml:space="preserve">* </w:t>
      </w:r>
      <w:r>
        <w:rPr>
          <w:rFonts w:cs="FrankRuehl"/>
          <w:rtl/>
        </w:rPr>
        <w:t>פו</w:t>
      </w:r>
      <w:r>
        <w:rPr>
          <w:rFonts w:cs="FrankRuehl" w:hint="cs"/>
          <w:rtl/>
        </w:rPr>
        <w:t xml:space="preserve">רסם </w:t>
      </w:r>
      <w:hyperlink r:id="rId1" w:history="1">
        <w:r w:rsidRPr="00275605">
          <w:rPr>
            <w:rStyle w:val="Hyperlink"/>
            <w:rFonts w:cs="FrankRuehl" w:hint="cs"/>
            <w:rtl/>
          </w:rPr>
          <w:t>ס"ח תשנ"ג מס' 1413</w:t>
        </w:r>
      </w:hyperlink>
      <w:r>
        <w:rPr>
          <w:rFonts w:cs="FrankRuehl" w:hint="cs"/>
          <w:rtl/>
        </w:rPr>
        <w:t xml:space="preserve"> מיום 11.2.1993 עמ' 60 (</w:t>
      </w:r>
      <w:hyperlink r:id="rId2" w:history="1">
        <w:r w:rsidRPr="00275605">
          <w:rPr>
            <w:rStyle w:val="Hyperlink"/>
            <w:rFonts w:cs="FrankRuehl" w:hint="cs"/>
            <w:rtl/>
          </w:rPr>
          <w:t>ה"ח תשנ"ג מס' 2157</w:t>
        </w:r>
      </w:hyperlink>
      <w:r>
        <w:rPr>
          <w:rFonts w:cs="FrankRuehl" w:hint="cs"/>
          <w:rtl/>
        </w:rPr>
        <w:t xml:space="preserve"> עמ' 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6E7C" w14:textId="77777777" w:rsidR="00EC667A" w:rsidRDefault="00EC667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רציפות הדיון בהצעות חוק, תשנ"ג–1993</w:t>
    </w:r>
  </w:p>
  <w:p w14:paraId="41B146D7" w14:textId="77777777" w:rsidR="00EC667A" w:rsidRDefault="00EC66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F77DFF" w14:textId="77777777" w:rsidR="00EC667A" w:rsidRDefault="00EC667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EAB9" w14:textId="77777777" w:rsidR="00EC667A" w:rsidRDefault="00EC667A" w:rsidP="00DF028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רציפות הדיון בהצעות חוק, תשנ"ג</w:t>
    </w:r>
    <w:r w:rsidR="00DF0280">
      <w:rPr>
        <w:rFonts w:hAnsi="FrankRuehl" w:cs="FrankRuehl" w:hint="cs"/>
        <w:color w:val="000000"/>
        <w:sz w:val="28"/>
        <w:szCs w:val="28"/>
        <w:rtl/>
      </w:rPr>
      <w:t>-</w:t>
    </w:r>
    <w:r>
      <w:rPr>
        <w:rFonts w:hAnsi="FrankRuehl" w:cs="FrankRuehl"/>
        <w:color w:val="000000"/>
        <w:sz w:val="28"/>
        <w:szCs w:val="28"/>
        <w:rtl/>
      </w:rPr>
      <w:t>1993</w:t>
    </w:r>
  </w:p>
  <w:p w14:paraId="15ADA60F" w14:textId="77777777" w:rsidR="00EC667A" w:rsidRDefault="00EC66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C841AD" w14:textId="77777777" w:rsidR="00EC667A" w:rsidRDefault="00EC667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B3E"/>
    <w:rsid w:val="00093A49"/>
    <w:rsid w:val="00144F79"/>
    <w:rsid w:val="00275605"/>
    <w:rsid w:val="00496C92"/>
    <w:rsid w:val="00783B3E"/>
    <w:rsid w:val="00862278"/>
    <w:rsid w:val="00A743C9"/>
    <w:rsid w:val="00AA4CF8"/>
    <w:rsid w:val="00DF0280"/>
    <w:rsid w:val="00EC66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602D71B"/>
  <w15:chartTrackingRefBased/>
  <w15:docId w15:val="{48F1FAA2-DC27-4D5C-914D-3481406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F0280"/>
    <w:rPr>
      <w:sz w:val="20"/>
      <w:szCs w:val="20"/>
    </w:rPr>
  </w:style>
  <w:style w:type="character" w:styleId="a6">
    <w:name w:val="footnote reference"/>
    <w:basedOn w:val="a0"/>
    <w:semiHidden/>
    <w:rsid w:val="00DF02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2157.pdf" TargetMode="External"/><Relationship Id="rId1" Type="http://schemas.openxmlformats.org/officeDocument/2006/relationships/hyperlink" Target="http://www.nevo.co.il/Law_word/law14/LAW-14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212א</vt:lpstr>
    </vt:vector>
  </TitlesOfParts>
  <Company/>
  <LinksUpToDate>false</LinksUpToDate>
  <CharactersWithSpaces>2470</CharactersWithSpaces>
  <SharedDoc>false</SharedDoc>
  <HLinks>
    <vt:vector size="54"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983162</vt:i4>
      </vt:variant>
      <vt:variant>
        <vt:i4>3</vt:i4>
      </vt:variant>
      <vt:variant>
        <vt:i4>0</vt:i4>
      </vt:variant>
      <vt:variant>
        <vt:i4>5</vt:i4>
      </vt:variant>
      <vt:variant>
        <vt:lpwstr>http://www.nevo.co.il/Law_word/law17/PROP-2157.pdf</vt:lpwstr>
      </vt:variant>
      <vt:variant>
        <vt:lpwstr/>
      </vt:variant>
      <vt:variant>
        <vt:i4>8323086</vt:i4>
      </vt:variant>
      <vt:variant>
        <vt:i4>0</vt:i4>
      </vt:variant>
      <vt:variant>
        <vt:i4>0</vt:i4>
      </vt:variant>
      <vt:variant>
        <vt:i4>5</vt:i4>
      </vt:variant>
      <vt:variant>
        <vt:lpwstr>http://www.nevo.co.il/Law_word/law14/LAW-1413.pdf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212א</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p212k1</vt:lpwstr>
  </property>
  <property fmtid="{D5CDD505-2E9C-101B-9397-08002B2CF9AE}" pid="3" name="CHNAME">
    <vt:lpwstr>רציפות הדיון בהצעות חוק</vt:lpwstr>
  </property>
  <property fmtid="{D5CDD505-2E9C-101B-9397-08002B2CF9AE}" pid="4" name="LAWNAME">
    <vt:lpwstr>חוק רציפות הדיון בהצעות חוק, תשנ"ג-1993</vt:lpwstr>
  </property>
  <property fmtid="{D5CDD505-2E9C-101B-9397-08002B2CF9AE}" pid="5" name="LAWNUMBER">
    <vt:lpwstr>0002</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כנסת</vt:lpwstr>
  </property>
  <property fmtid="{D5CDD505-2E9C-101B-9397-08002B2CF9AE}" pid="9" name="NOSE31">
    <vt:lpwstr>הצעות חוק</vt:lpwstr>
  </property>
  <property fmtid="{D5CDD505-2E9C-101B-9397-08002B2CF9AE}" pid="10" name="NOSE41">
    <vt:lpwstr>רציפות הדיון</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